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color w:val="000000" w:themeColor="text1"/>
          <w:sz w:val="28"/>
          <w:szCs w:val="28"/>
          <w:lang w:val="en-AU"/>
        </w:rPr>
        <w:id w:val="2067608509"/>
        <w:docPartObj>
          <w:docPartGallery w:val="Cover Pages"/>
          <w:docPartUnique/>
        </w:docPartObj>
      </w:sdtPr>
      <w:sdtEndPr>
        <w:rPr>
          <w:rFonts w:cstheme="minorBidi"/>
          <w:sz w:val="16"/>
          <w:szCs w:val="16"/>
        </w:rPr>
      </w:sdtEndPr>
      <w:sdtContent>
        <w:p w14:paraId="1C101100" w14:textId="77777777" w:rsidR="0035517B" w:rsidRDefault="0035517B" w:rsidP="00260847">
          <w:pPr>
            <w:pStyle w:val="NoSpacing"/>
            <w:spacing w:before="120" w:after="120"/>
            <w:rPr>
              <w:rFonts w:ascii="Arial" w:hAnsi="Arial" w:cs="Arial"/>
              <w:bCs/>
              <w:sz w:val="28"/>
            </w:rPr>
          </w:pPr>
        </w:p>
        <w:p w14:paraId="2F68FCE0" w14:textId="77777777" w:rsidR="0035517B" w:rsidRDefault="0035517B" w:rsidP="00260847">
          <w:pPr>
            <w:pStyle w:val="NoSpacing"/>
            <w:spacing w:before="120" w:after="120"/>
            <w:rPr>
              <w:rFonts w:ascii="Arial" w:hAnsi="Arial" w:cs="Arial"/>
              <w:bCs/>
              <w:sz w:val="28"/>
            </w:rPr>
          </w:pPr>
        </w:p>
        <w:p w14:paraId="69B9E8FA" w14:textId="77777777" w:rsidR="0035517B" w:rsidRDefault="0035517B" w:rsidP="00260847">
          <w:pPr>
            <w:pStyle w:val="NoSpacing"/>
            <w:spacing w:before="120" w:after="120"/>
            <w:rPr>
              <w:rFonts w:ascii="Arial" w:hAnsi="Arial" w:cs="Arial"/>
              <w:bCs/>
              <w:sz w:val="28"/>
            </w:rPr>
          </w:pPr>
          <w:r w:rsidRPr="00F63848">
            <w:rPr>
              <w:noProof/>
              <w:lang w:val="en-AU" w:eastAsia="en-AU"/>
            </w:rPr>
            <w:drawing>
              <wp:inline distT="0" distB="0" distL="0" distR="0" wp14:anchorId="4653C5EE" wp14:editId="16DD136E">
                <wp:extent cx="3259015" cy="1066800"/>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13">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14:paraId="1C2BA33A" w14:textId="77777777" w:rsidR="0035517B" w:rsidRDefault="0035517B" w:rsidP="00260847">
          <w:pPr>
            <w:pStyle w:val="NoSpacing"/>
            <w:spacing w:before="120" w:after="120"/>
            <w:rPr>
              <w:rFonts w:ascii="Arial" w:hAnsi="Arial" w:cs="Arial"/>
              <w:bCs/>
              <w:sz w:val="28"/>
            </w:rPr>
          </w:pPr>
        </w:p>
        <w:p w14:paraId="5121AAD5" w14:textId="77777777" w:rsidR="0035517B" w:rsidRDefault="0035517B" w:rsidP="00260847">
          <w:pPr>
            <w:pStyle w:val="NoSpacing"/>
            <w:spacing w:before="120" w:after="120"/>
            <w:rPr>
              <w:rFonts w:ascii="Arial" w:hAnsi="Arial" w:cs="Arial"/>
              <w:bCs/>
              <w:sz w:val="28"/>
            </w:rPr>
          </w:pPr>
        </w:p>
        <w:p w14:paraId="13A38127" w14:textId="77777777" w:rsidR="0035517B" w:rsidRDefault="0035517B" w:rsidP="00260847">
          <w:pPr>
            <w:pStyle w:val="NoSpacing"/>
            <w:spacing w:before="120" w:after="120"/>
            <w:rPr>
              <w:rFonts w:ascii="Arial" w:hAnsi="Arial" w:cs="Arial"/>
              <w:bCs/>
              <w:sz w:val="28"/>
            </w:rPr>
          </w:pPr>
        </w:p>
        <w:p w14:paraId="029E6B7F" w14:textId="77777777" w:rsidR="0035517B" w:rsidRDefault="0035517B" w:rsidP="00260847">
          <w:pPr>
            <w:pStyle w:val="NoSpacing"/>
            <w:spacing w:before="120" w:after="120"/>
            <w:rPr>
              <w:rFonts w:ascii="Arial" w:hAnsi="Arial" w:cs="Arial"/>
              <w:bCs/>
              <w:sz w:val="28"/>
            </w:rPr>
          </w:pPr>
        </w:p>
        <w:p w14:paraId="128E8EB4" w14:textId="77777777" w:rsidR="0035517B" w:rsidRDefault="0035517B" w:rsidP="00260847">
          <w:pPr>
            <w:pStyle w:val="NoSpacing"/>
            <w:spacing w:before="120" w:after="120"/>
            <w:rPr>
              <w:rFonts w:ascii="Arial" w:hAnsi="Arial" w:cs="Arial"/>
              <w:bCs/>
              <w:sz w:val="28"/>
            </w:rPr>
          </w:pPr>
        </w:p>
        <w:p w14:paraId="02053F47" w14:textId="77777777" w:rsidR="0035517B" w:rsidRDefault="0035517B" w:rsidP="00260847">
          <w:pPr>
            <w:pStyle w:val="NoSpacing"/>
            <w:spacing w:before="120" w:after="120"/>
            <w:rPr>
              <w:rFonts w:ascii="Arial" w:hAnsi="Arial" w:cs="Arial"/>
              <w:bCs/>
              <w:sz w:val="28"/>
            </w:rPr>
          </w:pPr>
        </w:p>
        <w:p w14:paraId="1E592D89" w14:textId="13400559" w:rsidR="0035517B" w:rsidRPr="0035517B" w:rsidRDefault="00A657B6" w:rsidP="0035517B">
          <w:pPr>
            <w:pStyle w:val="Title"/>
          </w:pPr>
          <w:r>
            <w:t>Makin</w:t>
          </w:r>
          <w:r w:rsidR="00B76455">
            <w:t>g</w:t>
          </w:r>
          <w:r>
            <w:t xml:space="preserve"> Queensland Safer</w:t>
          </w:r>
          <w:r w:rsidR="00A03176">
            <w:t xml:space="preserve"> (Adult Crime, Adult Time) Amendment</w:t>
          </w:r>
          <w:r>
            <w:t xml:space="preserve"> Bill</w:t>
          </w:r>
          <w:r w:rsidR="00A03176">
            <w:t xml:space="preserve"> 2025</w:t>
          </w:r>
          <w:r w:rsidR="0035517B">
            <w:t xml:space="preserve"> </w:t>
          </w:r>
        </w:p>
        <w:p w14:paraId="5E3490B9" w14:textId="2C87E285" w:rsidR="00260847" w:rsidRPr="00520083" w:rsidRDefault="00260847" w:rsidP="00B908E4">
          <w:pPr>
            <w:rPr>
              <w:color w:val="1F497D" w:themeColor="text2"/>
              <w:sz w:val="36"/>
              <w:szCs w:val="36"/>
            </w:rPr>
          </w:pPr>
          <w:bookmarkStart w:id="0" w:name="_Toc184118304"/>
          <w:r w:rsidRPr="00520083">
            <w:rPr>
              <w:color w:val="1F497D" w:themeColor="text2"/>
              <w:sz w:val="36"/>
              <w:szCs w:val="36"/>
            </w:rPr>
            <w:t xml:space="preserve">Submission to </w:t>
          </w:r>
          <w:r w:rsidR="00A657B6" w:rsidRPr="00520083">
            <w:rPr>
              <w:color w:val="1F497D" w:themeColor="text2"/>
              <w:sz w:val="36"/>
              <w:szCs w:val="36"/>
            </w:rPr>
            <w:t>Justice, Integrity and Community Safety Committee</w:t>
          </w:r>
          <w:bookmarkEnd w:id="0"/>
        </w:p>
        <w:p w14:paraId="21A103A4" w14:textId="68BC20AB" w:rsidR="00260847" w:rsidRPr="00520083" w:rsidRDefault="00A03176" w:rsidP="00B908E4">
          <w:pPr>
            <w:rPr>
              <w:color w:val="1F497D" w:themeColor="text2"/>
              <w:sz w:val="36"/>
              <w:szCs w:val="36"/>
            </w:rPr>
          </w:pPr>
          <w:r>
            <w:rPr>
              <w:color w:val="1F497D" w:themeColor="text2"/>
              <w:sz w:val="36"/>
              <w:szCs w:val="36"/>
            </w:rPr>
            <w:t>16 April 2025</w:t>
          </w:r>
        </w:p>
        <w:p w14:paraId="39157CC6" w14:textId="77777777" w:rsidR="00260847" w:rsidRDefault="00260847">
          <w:pPr>
            <w:rPr>
              <w:rFonts w:cs="Arial"/>
              <w:bCs/>
              <w:sz w:val="28"/>
              <w:szCs w:val="22"/>
              <w:lang w:val="en-US"/>
            </w:rPr>
          </w:pPr>
          <w:r>
            <w:rPr>
              <w:rFonts w:cs="Arial"/>
              <w:bCs/>
              <w:sz w:val="28"/>
            </w:rPr>
            <w:br w:type="page"/>
          </w:r>
        </w:p>
        <w:p w14:paraId="08609BBD" w14:textId="77777777" w:rsidR="004A2375" w:rsidRDefault="004A2375" w:rsidP="00260847">
          <w:pPr>
            <w:pStyle w:val="NoSpacing"/>
            <w:spacing w:before="120" w:after="120"/>
          </w:pPr>
        </w:p>
        <w:p w14:paraId="7D435309" w14:textId="77777777" w:rsidR="00A16356" w:rsidRPr="004A2375" w:rsidRDefault="00000000">
          <w:pPr>
            <w:rPr>
              <w:rFonts w:eastAsiaTheme="majorEastAsia" w:cstheme="majorBidi"/>
              <w:b/>
              <w:color w:val="365F91" w:themeColor="accent1" w:themeShade="BF"/>
              <w:sz w:val="16"/>
              <w:szCs w:val="16"/>
            </w:rPr>
          </w:pPr>
        </w:p>
      </w:sdtContent>
    </w:sdt>
    <w:bookmarkStart w:id="1" w:name="_Toc195687389" w:displacedByCustomXml="next"/>
    <w:bookmarkStart w:id="2" w:name="_Toc184118306" w:displacedByCustomXml="next"/>
    <w:sdt>
      <w:sdtPr>
        <w:rPr>
          <w:rFonts w:eastAsiaTheme="minorEastAsia" w:cstheme="minorBidi"/>
          <w:color w:val="000000" w:themeColor="text1"/>
          <w:sz w:val="22"/>
          <w:szCs w:val="22"/>
        </w:rPr>
        <w:id w:val="191286308"/>
        <w:docPartObj>
          <w:docPartGallery w:val="Table of Contents"/>
          <w:docPartUnique/>
        </w:docPartObj>
      </w:sdtPr>
      <w:sdtContent>
        <w:p w14:paraId="1AD57503" w14:textId="77777777" w:rsidR="00A16356" w:rsidRPr="00A16356" w:rsidRDefault="00260847" w:rsidP="00260847">
          <w:pPr>
            <w:pStyle w:val="Heading1"/>
          </w:pPr>
          <w:r>
            <w:t>Table of c</w:t>
          </w:r>
          <w:r w:rsidR="00A16356" w:rsidRPr="00A16356">
            <w:t>ontents</w:t>
          </w:r>
          <w:bookmarkEnd w:id="2"/>
          <w:bookmarkEnd w:id="1"/>
        </w:p>
        <w:p w14:paraId="71D5198A" w14:textId="3F61C0A6" w:rsidR="0092186C" w:rsidRDefault="00520083">
          <w:pPr>
            <w:pStyle w:val="TOC1"/>
            <w:tabs>
              <w:tab w:val="right" w:leader="dot" w:pos="8296"/>
            </w:tabs>
            <w:rPr>
              <w:rFonts w:asciiTheme="minorHAnsi" w:hAnsiTheme="minorHAnsi"/>
              <w:noProof/>
              <w:color w:val="auto"/>
              <w:kern w:val="2"/>
              <w:sz w:val="24"/>
              <w:lang w:eastAsia="en-AU"/>
              <w14:ligatures w14:val="standardContextual"/>
            </w:rPr>
          </w:pPr>
          <w:r>
            <w:fldChar w:fldCharType="begin"/>
          </w:r>
          <w:r w:rsidR="00A16356">
            <w:instrText>TOC \o "1-3" \z \u \h</w:instrText>
          </w:r>
          <w:r>
            <w:fldChar w:fldCharType="separate"/>
          </w:r>
          <w:hyperlink w:anchor="_Toc195687389" w:history="1">
            <w:r w:rsidR="0092186C" w:rsidRPr="00546D83">
              <w:rPr>
                <w:rStyle w:val="Hyperlink"/>
                <w:noProof/>
              </w:rPr>
              <w:t>Table of contents</w:t>
            </w:r>
            <w:r w:rsidR="0092186C">
              <w:rPr>
                <w:noProof/>
                <w:webHidden/>
              </w:rPr>
              <w:tab/>
            </w:r>
            <w:r w:rsidR="0092186C">
              <w:rPr>
                <w:noProof/>
                <w:webHidden/>
              </w:rPr>
              <w:fldChar w:fldCharType="begin"/>
            </w:r>
            <w:r w:rsidR="0092186C">
              <w:rPr>
                <w:noProof/>
                <w:webHidden/>
              </w:rPr>
              <w:instrText xml:space="preserve"> PAGEREF _Toc195687389 \h </w:instrText>
            </w:r>
            <w:r w:rsidR="0092186C">
              <w:rPr>
                <w:noProof/>
                <w:webHidden/>
              </w:rPr>
            </w:r>
            <w:r w:rsidR="0092186C">
              <w:rPr>
                <w:noProof/>
                <w:webHidden/>
              </w:rPr>
              <w:fldChar w:fldCharType="separate"/>
            </w:r>
            <w:r w:rsidR="0092186C">
              <w:rPr>
                <w:noProof/>
                <w:webHidden/>
              </w:rPr>
              <w:t>1</w:t>
            </w:r>
            <w:r w:rsidR="0092186C">
              <w:rPr>
                <w:noProof/>
                <w:webHidden/>
              </w:rPr>
              <w:fldChar w:fldCharType="end"/>
            </w:r>
          </w:hyperlink>
        </w:p>
        <w:p w14:paraId="1741B7E0" w14:textId="5C932A21" w:rsidR="0092186C" w:rsidRDefault="0092186C">
          <w:pPr>
            <w:pStyle w:val="TOC1"/>
            <w:tabs>
              <w:tab w:val="right" w:leader="dot" w:pos="8296"/>
            </w:tabs>
            <w:rPr>
              <w:rFonts w:asciiTheme="minorHAnsi" w:hAnsiTheme="minorHAnsi"/>
              <w:noProof/>
              <w:color w:val="auto"/>
              <w:kern w:val="2"/>
              <w:sz w:val="24"/>
              <w:lang w:eastAsia="en-AU"/>
              <w14:ligatures w14:val="standardContextual"/>
            </w:rPr>
          </w:pPr>
          <w:hyperlink w:anchor="_Toc195687390" w:history="1">
            <w:r w:rsidRPr="00546D83">
              <w:rPr>
                <w:rStyle w:val="Hyperlink"/>
                <w:noProof/>
              </w:rPr>
              <w:t>Introduction</w:t>
            </w:r>
            <w:r>
              <w:rPr>
                <w:noProof/>
                <w:webHidden/>
              </w:rPr>
              <w:tab/>
            </w:r>
            <w:r>
              <w:rPr>
                <w:noProof/>
                <w:webHidden/>
              </w:rPr>
              <w:fldChar w:fldCharType="begin"/>
            </w:r>
            <w:r>
              <w:rPr>
                <w:noProof/>
                <w:webHidden/>
              </w:rPr>
              <w:instrText xml:space="preserve"> PAGEREF _Toc195687390 \h </w:instrText>
            </w:r>
            <w:r>
              <w:rPr>
                <w:noProof/>
                <w:webHidden/>
              </w:rPr>
            </w:r>
            <w:r>
              <w:rPr>
                <w:noProof/>
                <w:webHidden/>
              </w:rPr>
              <w:fldChar w:fldCharType="separate"/>
            </w:r>
            <w:r>
              <w:rPr>
                <w:noProof/>
                <w:webHidden/>
              </w:rPr>
              <w:t>2</w:t>
            </w:r>
            <w:r>
              <w:rPr>
                <w:noProof/>
                <w:webHidden/>
              </w:rPr>
              <w:fldChar w:fldCharType="end"/>
            </w:r>
          </w:hyperlink>
        </w:p>
        <w:p w14:paraId="4F37BFDA" w14:textId="116AC951" w:rsidR="0092186C" w:rsidRDefault="0092186C">
          <w:pPr>
            <w:pStyle w:val="TOC1"/>
            <w:tabs>
              <w:tab w:val="right" w:leader="dot" w:pos="8296"/>
            </w:tabs>
            <w:rPr>
              <w:rFonts w:asciiTheme="minorHAnsi" w:hAnsiTheme="minorHAnsi"/>
              <w:noProof/>
              <w:color w:val="auto"/>
              <w:kern w:val="2"/>
              <w:sz w:val="24"/>
              <w:lang w:eastAsia="en-AU"/>
              <w14:ligatures w14:val="standardContextual"/>
            </w:rPr>
          </w:pPr>
          <w:hyperlink w:anchor="_Toc195687391" w:history="1">
            <w:r w:rsidRPr="00546D83">
              <w:rPr>
                <w:rStyle w:val="Hyperlink"/>
                <w:noProof/>
                <w:lang w:val="en-US"/>
              </w:rPr>
              <w:t>Recommendations</w:t>
            </w:r>
            <w:r>
              <w:rPr>
                <w:noProof/>
                <w:webHidden/>
              </w:rPr>
              <w:tab/>
            </w:r>
            <w:r>
              <w:rPr>
                <w:noProof/>
                <w:webHidden/>
              </w:rPr>
              <w:fldChar w:fldCharType="begin"/>
            </w:r>
            <w:r>
              <w:rPr>
                <w:noProof/>
                <w:webHidden/>
              </w:rPr>
              <w:instrText xml:space="preserve"> PAGEREF _Toc195687391 \h </w:instrText>
            </w:r>
            <w:r>
              <w:rPr>
                <w:noProof/>
                <w:webHidden/>
              </w:rPr>
            </w:r>
            <w:r>
              <w:rPr>
                <w:noProof/>
                <w:webHidden/>
              </w:rPr>
              <w:fldChar w:fldCharType="separate"/>
            </w:r>
            <w:r>
              <w:rPr>
                <w:noProof/>
                <w:webHidden/>
              </w:rPr>
              <w:t>4</w:t>
            </w:r>
            <w:r>
              <w:rPr>
                <w:noProof/>
                <w:webHidden/>
              </w:rPr>
              <w:fldChar w:fldCharType="end"/>
            </w:r>
          </w:hyperlink>
        </w:p>
        <w:p w14:paraId="28C7DFDE" w14:textId="66E0D40A" w:rsidR="0092186C" w:rsidRDefault="0092186C">
          <w:pPr>
            <w:pStyle w:val="TOC1"/>
            <w:tabs>
              <w:tab w:val="right" w:leader="dot" w:pos="8296"/>
            </w:tabs>
            <w:rPr>
              <w:rFonts w:asciiTheme="minorHAnsi" w:hAnsiTheme="minorHAnsi"/>
              <w:noProof/>
              <w:color w:val="auto"/>
              <w:kern w:val="2"/>
              <w:sz w:val="24"/>
              <w:lang w:eastAsia="en-AU"/>
              <w14:ligatures w14:val="standardContextual"/>
            </w:rPr>
          </w:pPr>
          <w:hyperlink w:anchor="_Toc195687392" w:history="1">
            <w:r w:rsidRPr="00546D83">
              <w:rPr>
                <w:rStyle w:val="Hyperlink"/>
                <w:noProof/>
              </w:rPr>
              <w:t>Background</w:t>
            </w:r>
            <w:r>
              <w:rPr>
                <w:noProof/>
                <w:webHidden/>
              </w:rPr>
              <w:tab/>
            </w:r>
            <w:r>
              <w:rPr>
                <w:noProof/>
                <w:webHidden/>
              </w:rPr>
              <w:fldChar w:fldCharType="begin"/>
            </w:r>
            <w:r>
              <w:rPr>
                <w:noProof/>
                <w:webHidden/>
              </w:rPr>
              <w:instrText xml:space="preserve"> PAGEREF _Toc195687392 \h </w:instrText>
            </w:r>
            <w:r>
              <w:rPr>
                <w:noProof/>
                <w:webHidden/>
              </w:rPr>
            </w:r>
            <w:r>
              <w:rPr>
                <w:noProof/>
                <w:webHidden/>
              </w:rPr>
              <w:fldChar w:fldCharType="separate"/>
            </w:r>
            <w:r>
              <w:rPr>
                <w:noProof/>
                <w:webHidden/>
              </w:rPr>
              <w:t>6</w:t>
            </w:r>
            <w:r>
              <w:rPr>
                <w:noProof/>
                <w:webHidden/>
              </w:rPr>
              <w:fldChar w:fldCharType="end"/>
            </w:r>
          </w:hyperlink>
        </w:p>
        <w:p w14:paraId="16E4210A" w14:textId="4FC053D1" w:rsidR="0092186C" w:rsidRDefault="0092186C">
          <w:pPr>
            <w:pStyle w:val="TOC1"/>
            <w:tabs>
              <w:tab w:val="right" w:leader="dot" w:pos="8296"/>
            </w:tabs>
            <w:rPr>
              <w:rFonts w:asciiTheme="minorHAnsi" w:hAnsiTheme="minorHAnsi"/>
              <w:noProof/>
              <w:color w:val="auto"/>
              <w:kern w:val="2"/>
              <w:sz w:val="24"/>
              <w:lang w:eastAsia="en-AU"/>
              <w14:ligatures w14:val="standardContextual"/>
            </w:rPr>
          </w:pPr>
          <w:hyperlink w:anchor="_Toc195687393" w:history="1">
            <w:r w:rsidRPr="00546D83">
              <w:rPr>
                <w:rStyle w:val="Hyperlink"/>
                <w:noProof/>
                <w:lang w:val="en-US"/>
              </w:rPr>
              <w:t>The Bill is not compatible with human rights</w:t>
            </w:r>
            <w:r>
              <w:rPr>
                <w:noProof/>
                <w:webHidden/>
              </w:rPr>
              <w:tab/>
            </w:r>
            <w:r>
              <w:rPr>
                <w:noProof/>
                <w:webHidden/>
              </w:rPr>
              <w:fldChar w:fldCharType="begin"/>
            </w:r>
            <w:r>
              <w:rPr>
                <w:noProof/>
                <w:webHidden/>
              </w:rPr>
              <w:instrText xml:space="preserve"> PAGEREF _Toc195687393 \h </w:instrText>
            </w:r>
            <w:r>
              <w:rPr>
                <w:noProof/>
                <w:webHidden/>
              </w:rPr>
            </w:r>
            <w:r>
              <w:rPr>
                <w:noProof/>
                <w:webHidden/>
              </w:rPr>
              <w:fldChar w:fldCharType="separate"/>
            </w:r>
            <w:r>
              <w:rPr>
                <w:noProof/>
                <w:webHidden/>
              </w:rPr>
              <w:t>8</w:t>
            </w:r>
            <w:r>
              <w:rPr>
                <w:noProof/>
                <w:webHidden/>
              </w:rPr>
              <w:fldChar w:fldCharType="end"/>
            </w:r>
          </w:hyperlink>
        </w:p>
        <w:p w14:paraId="48D44ADC" w14:textId="5F4431A1" w:rsidR="0092186C" w:rsidRDefault="0092186C">
          <w:pPr>
            <w:pStyle w:val="TOC1"/>
            <w:tabs>
              <w:tab w:val="right" w:leader="dot" w:pos="8296"/>
            </w:tabs>
            <w:rPr>
              <w:rFonts w:asciiTheme="minorHAnsi" w:hAnsiTheme="minorHAnsi"/>
              <w:noProof/>
              <w:color w:val="auto"/>
              <w:kern w:val="2"/>
              <w:sz w:val="24"/>
              <w:lang w:eastAsia="en-AU"/>
              <w14:ligatures w14:val="standardContextual"/>
            </w:rPr>
          </w:pPr>
          <w:hyperlink w:anchor="_Toc195687394" w:history="1">
            <w:r w:rsidRPr="00546D83">
              <w:rPr>
                <w:rStyle w:val="Hyperlink"/>
                <w:noProof/>
                <w:lang w:val="en-US"/>
              </w:rPr>
              <w:t>No justification for overriding the Human Rights Act</w:t>
            </w:r>
            <w:r>
              <w:rPr>
                <w:noProof/>
                <w:webHidden/>
              </w:rPr>
              <w:tab/>
            </w:r>
            <w:r>
              <w:rPr>
                <w:noProof/>
                <w:webHidden/>
              </w:rPr>
              <w:fldChar w:fldCharType="begin"/>
            </w:r>
            <w:r>
              <w:rPr>
                <w:noProof/>
                <w:webHidden/>
              </w:rPr>
              <w:instrText xml:space="preserve"> PAGEREF _Toc195687394 \h </w:instrText>
            </w:r>
            <w:r>
              <w:rPr>
                <w:noProof/>
                <w:webHidden/>
              </w:rPr>
            </w:r>
            <w:r>
              <w:rPr>
                <w:noProof/>
                <w:webHidden/>
              </w:rPr>
              <w:fldChar w:fldCharType="separate"/>
            </w:r>
            <w:r>
              <w:rPr>
                <w:noProof/>
                <w:webHidden/>
              </w:rPr>
              <w:t>8</w:t>
            </w:r>
            <w:r>
              <w:rPr>
                <w:noProof/>
                <w:webHidden/>
              </w:rPr>
              <w:fldChar w:fldCharType="end"/>
            </w:r>
          </w:hyperlink>
        </w:p>
        <w:p w14:paraId="1348A5AD" w14:textId="5CCAF261" w:rsidR="0092186C" w:rsidRDefault="0092186C">
          <w:pPr>
            <w:pStyle w:val="TOC1"/>
            <w:tabs>
              <w:tab w:val="right" w:leader="dot" w:pos="8296"/>
            </w:tabs>
            <w:rPr>
              <w:rFonts w:asciiTheme="minorHAnsi" w:hAnsiTheme="minorHAnsi"/>
              <w:noProof/>
              <w:color w:val="auto"/>
              <w:kern w:val="2"/>
              <w:sz w:val="24"/>
              <w:lang w:eastAsia="en-AU"/>
              <w14:ligatures w14:val="standardContextual"/>
            </w:rPr>
          </w:pPr>
          <w:hyperlink w:anchor="_Toc195687395" w:history="1">
            <w:r w:rsidRPr="00546D83">
              <w:rPr>
                <w:rStyle w:val="Hyperlink"/>
                <w:noProof/>
                <w:lang w:val="en-US"/>
              </w:rPr>
              <w:t>The Bill will not make Queensland safer</w:t>
            </w:r>
            <w:r>
              <w:rPr>
                <w:noProof/>
                <w:webHidden/>
              </w:rPr>
              <w:tab/>
            </w:r>
            <w:r>
              <w:rPr>
                <w:noProof/>
                <w:webHidden/>
              </w:rPr>
              <w:fldChar w:fldCharType="begin"/>
            </w:r>
            <w:r>
              <w:rPr>
                <w:noProof/>
                <w:webHidden/>
              </w:rPr>
              <w:instrText xml:space="preserve"> PAGEREF _Toc195687395 \h </w:instrText>
            </w:r>
            <w:r>
              <w:rPr>
                <w:noProof/>
                <w:webHidden/>
              </w:rPr>
            </w:r>
            <w:r>
              <w:rPr>
                <w:noProof/>
                <w:webHidden/>
              </w:rPr>
              <w:fldChar w:fldCharType="separate"/>
            </w:r>
            <w:r>
              <w:rPr>
                <w:noProof/>
                <w:webHidden/>
              </w:rPr>
              <w:t>13</w:t>
            </w:r>
            <w:r>
              <w:rPr>
                <w:noProof/>
                <w:webHidden/>
              </w:rPr>
              <w:fldChar w:fldCharType="end"/>
            </w:r>
          </w:hyperlink>
        </w:p>
        <w:p w14:paraId="6508A9D3" w14:textId="1320536A" w:rsidR="0092186C" w:rsidRDefault="0092186C">
          <w:pPr>
            <w:pStyle w:val="TOC3"/>
            <w:tabs>
              <w:tab w:val="right" w:leader="dot" w:pos="8296"/>
            </w:tabs>
            <w:rPr>
              <w:rFonts w:asciiTheme="minorHAnsi" w:hAnsiTheme="minorHAnsi"/>
              <w:noProof/>
              <w:color w:val="auto"/>
              <w:kern w:val="2"/>
              <w:sz w:val="24"/>
              <w:lang w:eastAsia="en-AU"/>
              <w14:ligatures w14:val="standardContextual"/>
            </w:rPr>
          </w:pPr>
          <w:hyperlink w:anchor="_Toc195687396" w:history="1">
            <w:r w:rsidRPr="00546D83">
              <w:rPr>
                <w:rStyle w:val="Hyperlink"/>
                <w:noProof/>
                <w:lang w:val="en-US"/>
              </w:rPr>
              <w:t>The Bill will not improve confidence in the criminal justice system</w:t>
            </w:r>
            <w:r>
              <w:rPr>
                <w:noProof/>
                <w:webHidden/>
              </w:rPr>
              <w:tab/>
            </w:r>
            <w:r>
              <w:rPr>
                <w:noProof/>
                <w:webHidden/>
              </w:rPr>
              <w:fldChar w:fldCharType="begin"/>
            </w:r>
            <w:r>
              <w:rPr>
                <w:noProof/>
                <w:webHidden/>
              </w:rPr>
              <w:instrText xml:space="preserve"> PAGEREF _Toc195687396 \h </w:instrText>
            </w:r>
            <w:r>
              <w:rPr>
                <w:noProof/>
                <w:webHidden/>
              </w:rPr>
            </w:r>
            <w:r>
              <w:rPr>
                <w:noProof/>
                <w:webHidden/>
              </w:rPr>
              <w:fldChar w:fldCharType="separate"/>
            </w:r>
            <w:r>
              <w:rPr>
                <w:noProof/>
                <w:webHidden/>
              </w:rPr>
              <w:t>13</w:t>
            </w:r>
            <w:r>
              <w:rPr>
                <w:noProof/>
                <w:webHidden/>
              </w:rPr>
              <w:fldChar w:fldCharType="end"/>
            </w:r>
          </w:hyperlink>
        </w:p>
        <w:p w14:paraId="1867E48A" w14:textId="7E5609CA" w:rsidR="0092186C" w:rsidRDefault="0092186C">
          <w:pPr>
            <w:pStyle w:val="TOC3"/>
            <w:tabs>
              <w:tab w:val="right" w:leader="dot" w:pos="8296"/>
            </w:tabs>
            <w:rPr>
              <w:rFonts w:asciiTheme="minorHAnsi" w:hAnsiTheme="minorHAnsi"/>
              <w:noProof/>
              <w:color w:val="auto"/>
              <w:kern w:val="2"/>
              <w:sz w:val="24"/>
              <w:lang w:eastAsia="en-AU"/>
              <w14:ligatures w14:val="standardContextual"/>
            </w:rPr>
          </w:pPr>
          <w:hyperlink w:anchor="_Toc195687397" w:history="1">
            <w:r w:rsidRPr="00546D83">
              <w:rPr>
                <w:rStyle w:val="Hyperlink"/>
                <w:noProof/>
                <w:lang w:val="en-US"/>
              </w:rPr>
              <w:t>Harsher sentences do not deter youth crime</w:t>
            </w:r>
            <w:r>
              <w:rPr>
                <w:noProof/>
                <w:webHidden/>
              </w:rPr>
              <w:tab/>
            </w:r>
            <w:r>
              <w:rPr>
                <w:noProof/>
                <w:webHidden/>
              </w:rPr>
              <w:fldChar w:fldCharType="begin"/>
            </w:r>
            <w:r>
              <w:rPr>
                <w:noProof/>
                <w:webHidden/>
              </w:rPr>
              <w:instrText xml:space="preserve"> PAGEREF _Toc195687397 \h </w:instrText>
            </w:r>
            <w:r>
              <w:rPr>
                <w:noProof/>
                <w:webHidden/>
              </w:rPr>
            </w:r>
            <w:r>
              <w:rPr>
                <w:noProof/>
                <w:webHidden/>
              </w:rPr>
              <w:fldChar w:fldCharType="separate"/>
            </w:r>
            <w:r>
              <w:rPr>
                <w:noProof/>
                <w:webHidden/>
              </w:rPr>
              <w:t>15</w:t>
            </w:r>
            <w:r>
              <w:rPr>
                <w:noProof/>
                <w:webHidden/>
              </w:rPr>
              <w:fldChar w:fldCharType="end"/>
            </w:r>
          </w:hyperlink>
        </w:p>
        <w:p w14:paraId="64B73049" w14:textId="2BE6D0B2" w:rsidR="0092186C" w:rsidRDefault="0092186C">
          <w:pPr>
            <w:pStyle w:val="TOC3"/>
            <w:tabs>
              <w:tab w:val="right" w:leader="dot" w:pos="8296"/>
            </w:tabs>
            <w:rPr>
              <w:rFonts w:asciiTheme="minorHAnsi" w:hAnsiTheme="minorHAnsi"/>
              <w:noProof/>
              <w:color w:val="auto"/>
              <w:kern w:val="2"/>
              <w:sz w:val="24"/>
              <w:lang w:eastAsia="en-AU"/>
              <w14:ligatures w14:val="standardContextual"/>
            </w:rPr>
          </w:pPr>
          <w:hyperlink w:anchor="_Toc195687398" w:history="1">
            <w:r w:rsidRPr="00546D83">
              <w:rPr>
                <w:rStyle w:val="Hyperlink"/>
                <w:noProof/>
                <w:lang w:val="en-US"/>
              </w:rPr>
              <w:t>Detention does not reduce offending</w:t>
            </w:r>
            <w:r>
              <w:rPr>
                <w:noProof/>
                <w:webHidden/>
              </w:rPr>
              <w:tab/>
            </w:r>
            <w:r>
              <w:rPr>
                <w:noProof/>
                <w:webHidden/>
              </w:rPr>
              <w:fldChar w:fldCharType="begin"/>
            </w:r>
            <w:r>
              <w:rPr>
                <w:noProof/>
                <w:webHidden/>
              </w:rPr>
              <w:instrText xml:space="preserve"> PAGEREF _Toc195687398 \h </w:instrText>
            </w:r>
            <w:r>
              <w:rPr>
                <w:noProof/>
                <w:webHidden/>
              </w:rPr>
            </w:r>
            <w:r>
              <w:rPr>
                <w:noProof/>
                <w:webHidden/>
              </w:rPr>
              <w:fldChar w:fldCharType="separate"/>
            </w:r>
            <w:r>
              <w:rPr>
                <w:noProof/>
                <w:webHidden/>
              </w:rPr>
              <w:t>16</w:t>
            </w:r>
            <w:r>
              <w:rPr>
                <w:noProof/>
                <w:webHidden/>
              </w:rPr>
              <w:fldChar w:fldCharType="end"/>
            </w:r>
          </w:hyperlink>
        </w:p>
        <w:p w14:paraId="62C45C86" w14:textId="10911F11" w:rsidR="0092186C" w:rsidRDefault="0092186C">
          <w:pPr>
            <w:pStyle w:val="TOC1"/>
            <w:tabs>
              <w:tab w:val="right" w:leader="dot" w:pos="8296"/>
            </w:tabs>
            <w:rPr>
              <w:rFonts w:asciiTheme="minorHAnsi" w:hAnsiTheme="minorHAnsi"/>
              <w:noProof/>
              <w:color w:val="auto"/>
              <w:kern w:val="2"/>
              <w:sz w:val="24"/>
              <w:lang w:eastAsia="en-AU"/>
              <w14:ligatures w14:val="standardContextual"/>
            </w:rPr>
          </w:pPr>
          <w:hyperlink w:anchor="_Toc195687399" w:history="1">
            <w:r w:rsidRPr="00546D83">
              <w:rPr>
                <w:rStyle w:val="Hyperlink"/>
                <w:noProof/>
                <w:lang w:val="en-US"/>
              </w:rPr>
              <w:t>The Bill will come at a high cost to the taxpayer</w:t>
            </w:r>
            <w:r>
              <w:rPr>
                <w:noProof/>
                <w:webHidden/>
              </w:rPr>
              <w:tab/>
            </w:r>
            <w:r>
              <w:rPr>
                <w:noProof/>
                <w:webHidden/>
              </w:rPr>
              <w:fldChar w:fldCharType="begin"/>
            </w:r>
            <w:r>
              <w:rPr>
                <w:noProof/>
                <w:webHidden/>
              </w:rPr>
              <w:instrText xml:space="preserve"> PAGEREF _Toc195687399 \h </w:instrText>
            </w:r>
            <w:r>
              <w:rPr>
                <w:noProof/>
                <w:webHidden/>
              </w:rPr>
            </w:r>
            <w:r>
              <w:rPr>
                <w:noProof/>
                <w:webHidden/>
              </w:rPr>
              <w:fldChar w:fldCharType="separate"/>
            </w:r>
            <w:r>
              <w:rPr>
                <w:noProof/>
                <w:webHidden/>
              </w:rPr>
              <w:t>19</w:t>
            </w:r>
            <w:r>
              <w:rPr>
                <w:noProof/>
                <w:webHidden/>
              </w:rPr>
              <w:fldChar w:fldCharType="end"/>
            </w:r>
          </w:hyperlink>
        </w:p>
        <w:p w14:paraId="221E7220" w14:textId="5160697B" w:rsidR="0092186C" w:rsidRDefault="0092186C">
          <w:pPr>
            <w:pStyle w:val="TOC1"/>
            <w:tabs>
              <w:tab w:val="right" w:leader="dot" w:pos="8296"/>
            </w:tabs>
            <w:rPr>
              <w:rFonts w:asciiTheme="minorHAnsi" w:hAnsiTheme="minorHAnsi"/>
              <w:noProof/>
              <w:color w:val="auto"/>
              <w:kern w:val="2"/>
              <w:sz w:val="24"/>
              <w:lang w:eastAsia="en-AU"/>
              <w14:ligatures w14:val="standardContextual"/>
            </w:rPr>
          </w:pPr>
          <w:hyperlink w:anchor="_Toc195687400" w:history="1">
            <w:r w:rsidRPr="00546D83">
              <w:rPr>
                <w:rStyle w:val="Hyperlink"/>
                <w:noProof/>
                <w:lang w:val="en-US"/>
              </w:rPr>
              <w:t>The Bill will have a disproportionate and discriminatory impact on the most vulnerable members of our community</w:t>
            </w:r>
            <w:r>
              <w:rPr>
                <w:noProof/>
                <w:webHidden/>
              </w:rPr>
              <w:tab/>
            </w:r>
            <w:r>
              <w:rPr>
                <w:noProof/>
                <w:webHidden/>
              </w:rPr>
              <w:fldChar w:fldCharType="begin"/>
            </w:r>
            <w:r>
              <w:rPr>
                <w:noProof/>
                <w:webHidden/>
              </w:rPr>
              <w:instrText xml:space="preserve"> PAGEREF _Toc195687400 \h </w:instrText>
            </w:r>
            <w:r>
              <w:rPr>
                <w:noProof/>
                <w:webHidden/>
              </w:rPr>
            </w:r>
            <w:r>
              <w:rPr>
                <w:noProof/>
                <w:webHidden/>
              </w:rPr>
              <w:fldChar w:fldCharType="separate"/>
            </w:r>
            <w:r>
              <w:rPr>
                <w:noProof/>
                <w:webHidden/>
              </w:rPr>
              <w:t>21</w:t>
            </w:r>
            <w:r>
              <w:rPr>
                <w:noProof/>
                <w:webHidden/>
              </w:rPr>
              <w:fldChar w:fldCharType="end"/>
            </w:r>
          </w:hyperlink>
        </w:p>
        <w:p w14:paraId="050CE941" w14:textId="04D74AA0" w:rsidR="0092186C" w:rsidRDefault="0092186C">
          <w:pPr>
            <w:pStyle w:val="TOC3"/>
            <w:tabs>
              <w:tab w:val="right" w:leader="dot" w:pos="8296"/>
            </w:tabs>
            <w:rPr>
              <w:rFonts w:asciiTheme="minorHAnsi" w:hAnsiTheme="minorHAnsi"/>
              <w:noProof/>
              <w:color w:val="auto"/>
              <w:kern w:val="2"/>
              <w:sz w:val="24"/>
              <w:lang w:eastAsia="en-AU"/>
              <w14:ligatures w14:val="standardContextual"/>
            </w:rPr>
          </w:pPr>
          <w:hyperlink w:anchor="_Toc195687401" w:history="1">
            <w:r w:rsidRPr="00546D83">
              <w:rPr>
                <w:rStyle w:val="Hyperlink"/>
                <w:noProof/>
                <w:lang w:val="en-US"/>
              </w:rPr>
              <w:t>Children</w:t>
            </w:r>
            <w:r>
              <w:rPr>
                <w:noProof/>
                <w:webHidden/>
              </w:rPr>
              <w:tab/>
            </w:r>
            <w:r>
              <w:rPr>
                <w:noProof/>
                <w:webHidden/>
              </w:rPr>
              <w:fldChar w:fldCharType="begin"/>
            </w:r>
            <w:r>
              <w:rPr>
                <w:noProof/>
                <w:webHidden/>
              </w:rPr>
              <w:instrText xml:space="preserve"> PAGEREF _Toc195687401 \h </w:instrText>
            </w:r>
            <w:r>
              <w:rPr>
                <w:noProof/>
                <w:webHidden/>
              </w:rPr>
            </w:r>
            <w:r>
              <w:rPr>
                <w:noProof/>
                <w:webHidden/>
              </w:rPr>
              <w:fldChar w:fldCharType="separate"/>
            </w:r>
            <w:r>
              <w:rPr>
                <w:noProof/>
                <w:webHidden/>
              </w:rPr>
              <w:t>21</w:t>
            </w:r>
            <w:r>
              <w:rPr>
                <w:noProof/>
                <w:webHidden/>
              </w:rPr>
              <w:fldChar w:fldCharType="end"/>
            </w:r>
          </w:hyperlink>
        </w:p>
        <w:p w14:paraId="5B5D1BDB" w14:textId="4ED49045" w:rsidR="0092186C" w:rsidRDefault="0092186C">
          <w:pPr>
            <w:pStyle w:val="TOC3"/>
            <w:tabs>
              <w:tab w:val="right" w:leader="dot" w:pos="8296"/>
            </w:tabs>
            <w:rPr>
              <w:rFonts w:asciiTheme="minorHAnsi" w:hAnsiTheme="minorHAnsi"/>
              <w:noProof/>
              <w:color w:val="auto"/>
              <w:kern w:val="2"/>
              <w:sz w:val="24"/>
              <w:lang w:eastAsia="en-AU"/>
              <w14:ligatures w14:val="standardContextual"/>
            </w:rPr>
          </w:pPr>
          <w:hyperlink w:anchor="_Toc195687402" w:history="1">
            <w:r w:rsidRPr="00546D83">
              <w:rPr>
                <w:rStyle w:val="Hyperlink"/>
                <w:noProof/>
                <w:lang w:val="en-US"/>
              </w:rPr>
              <w:t>Aboriginal and Torres Strait Islander children</w:t>
            </w:r>
            <w:r>
              <w:rPr>
                <w:noProof/>
                <w:webHidden/>
              </w:rPr>
              <w:tab/>
            </w:r>
            <w:r>
              <w:rPr>
                <w:noProof/>
                <w:webHidden/>
              </w:rPr>
              <w:fldChar w:fldCharType="begin"/>
            </w:r>
            <w:r>
              <w:rPr>
                <w:noProof/>
                <w:webHidden/>
              </w:rPr>
              <w:instrText xml:space="preserve"> PAGEREF _Toc195687402 \h </w:instrText>
            </w:r>
            <w:r>
              <w:rPr>
                <w:noProof/>
                <w:webHidden/>
              </w:rPr>
            </w:r>
            <w:r>
              <w:rPr>
                <w:noProof/>
                <w:webHidden/>
              </w:rPr>
              <w:fldChar w:fldCharType="separate"/>
            </w:r>
            <w:r>
              <w:rPr>
                <w:noProof/>
                <w:webHidden/>
              </w:rPr>
              <w:t>22</w:t>
            </w:r>
            <w:r>
              <w:rPr>
                <w:noProof/>
                <w:webHidden/>
              </w:rPr>
              <w:fldChar w:fldCharType="end"/>
            </w:r>
          </w:hyperlink>
        </w:p>
        <w:p w14:paraId="1E029812" w14:textId="2BAE8D66" w:rsidR="0092186C" w:rsidRDefault="0092186C">
          <w:pPr>
            <w:pStyle w:val="TOC3"/>
            <w:tabs>
              <w:tab w:val="right" w:leader="dot" w:pos="8296"/>
            </w:tabs>
            <w:rPr>
              <w:rFonts w:asciiTheme="minorHAnsi" w:hAnsiTheme="minorHAnsi"/>
              <w:noProof/>
              <w:color w:val="auto"/>
              <w:kern w:val="2"/>
              <w:sz w:val="24"/>
              <w:lang w:eastAsia="en-AU"/>
              <w14:ligatures w14:val="standardContextual"/>
            </w:rPr>
          </w:pPr>
          <w:hyperlink w:anchor="_Toc195687403" w:history="1">
            <w:r w:rsidRPr="00546D83">
              <w:rPr>
                <w:rStyle w:val="Hyperlink"/>
                <w:noProof/>
                <w:lang w:val="en-US"/>
              </w:rPr>
              <w:t>Children with disabilities</w:t>
            </w:r>
            <w:r>
              <w:rPr>
                <w:noProof/>
                <w:webHidden/>
              </w:rPr>
              <w:tab/>
            </w:r>
            <w:r>
              <w:rPr>
                <w:noProof/>
                <w:webHidden/>
              </w:rPr>
              <w:fldChar w:fldCharType="begin"/>
            </w:r>
            <w:r>
              <w:rPr>
                <w:noProof/>
                <w:webHidden/>
              </w:rPr>
              <w:instrText xml:space="preserve"> PAGEREF _Toc195687403 \h </w:instrText>
            </w:r>
            <w:r>
              <w:rPr>
                <w:noProof/>
                <w:webHidden/>
              </w:rPr>
            </w:r>
            <w:r>
              <w:rPr>
                <w:noProof/>
                <w:webHidden/>
              </w:rPr>
              <w:fldChar w:fldCharType="separate"/>
            </w:r>
            <w:r>
              <w:rPr>
                <w:noProof/>
                <w:webHidden/>
              </w:rPr>
              <w:t>23</w:t>
            </w:r>
            <w:r>
              <w:rPr>
                <w:noProof/>
                <w:webHidden/>
              </w:rPr>
              <w:fldChar w:fldCharType="end"/>
            </w:r>
          </w:hyperlink>
        </w:p>
        <w:p w14:paraId="6490B983" w14:textId="5414C381" w:rsidR="0092186C" w:rsidRDefault="0092186C">
          <w:pPr>
            <w:pStyle w:val="TOC1"/>
            <w:tabs>
              <w:tab w:val="right" w:leader="dot" w:pos="8296"/>
            </w:tabs>
            <w:rPr>
              <w:rFonts w:asciiTheme="minorHAnsi" w:hAnsiTheme="minorHAnsi"/>
              <w:noProof/>
              <w:color w:val="auto"/>
              <w:kern w:val="2"/>
              <w:sz w:val="24"/>
              <w:lang w:eastAsia="en-AU"/>
              <w14:ligatures w14:val="standardContextual"/>
            </w:rPr>
          </w:pPr>
          <w:hyperlink w:anchor="_Toc195687404" w:history="1">
            <w:r w:rsidRPr="00546D83">
              <w:rPr>
                <w:rStyle w:val="Hyperlink"/>
                <w:noProof/>
                <w:lang w:val="en-US"/>
              </w:rPr>
              <w:t>The Bill will have adverse impacts on victims of crime</w:t>
            </w:r>
            <w:r>
              <w:rPr>
                <w:noProof/>
                <w:webHidden/>
              </w:rPr>
              <w:tab/>
            </w:r>
            <w:r>
              <w:rPr>
                <w:noProof/>
                <w:webHidden/>
              </w:rPr>
              <w:fldChar w:fldCharType="begin"/>
            </w:r>
            <w:r>
              <w:rPr>
                <w:noProof/>
                <w:webHidden/>
              </w:rPr>
              <w:instrText xml:space="preserve"> PAGEREF _Toc195687404 \h </w:instrText>
            </w:r>
            <w:r>
              <w:rPr>
                <w:noProof/>
                <w:webHidden/>
              </w:rPr>
            </w:r>
            <w:r>
              <w:rPr>
                <w:noProof/>
                <w:webHidden/>
              </w:rPr>
              <w:fldChar w:fldCharType="separate"/>
            </w:r>
            <w:r>
              <w:rPr>
                <w:noProof/>
                <w:webHidden/>
              </w:rPr>
              <w:t>24</w:t>
            </w:r>
            <w:r>
              <w:rPr>
                <w:noProof/>
                <w:webHidden/>
              </w:rPr>
              <w:fldChar w:fldCharType="end"/>
            </w:r>
          </w:hyperlink>
        </w:p>
        <w:p w14:paraId="1F29C1AA" w14:textId="646C9C13" w:rsidR="0092186C" w:rsidRDefault="0092186C">
          <w:pPr>
            <w:pStyle w:val="TOC1"/>
            <w:tabs>
              <w:tab w:val="right" w:leader="dot" w:pos="8296"/>
            </w:tabs>
            <w:rPr>
              <w:rFonts w:asciiTheme="minorHAnsi" w:hAnsiTheme="minorHAnsi"/>
              <w:noProof/>
              <w:color w:val="auto"/>
              <w:kern w:val="2"/>
              <w:sz w:val="24"/>
              <w:lang w:eastAsia="en-AU"/>
              <w14:ligatures w14:val="standardContextual"/>
            </w:rPr>
          </w:pPr>
          <w:hyperlink w:anchor="_Toc195687405" w:history="1">
            <w:r w:rsidRPr="00546D83">
              <w:rPr>
                <w:rStyle w:val="Hyperlink"/>
                <w:noProof/>
              </w:rPr>
              <w:t>Evidence-based solutions will promote community safety and victims’ rights</w:t>
            </w:r>
            <w:r>
              <w:rPr>
                <w:noProof/>
                <w:webHidden/>
              </w:rPr>
              <w:tab/>
            </w:r>
            <w:r>
              <w:rPr>
                <w:noProof/>
                <w:webHidden/>
              </w:rPr>
              <w:fldChar w:fldCharType="begin"/>
            </w:r>
            <w:r>
              <w:rPr>
                <w:noProof/>
                <w:webHidden/>
              </w:rPr>
              <w:instrText xml:space="preserve"> PAGEREF _Toc195687405 \h </w:instrText>
            </w:r>
            <w:r>
              <w:rPr>
                <w:noProof/>
                <w:webHidden/>
              </w:rPr>
            </w:r>
            <w:r>
              <w:rPr>
                <w:noProof/>
                <w:webHidden/>
              </w:rPr>
              <w:fldChar w:fldCharType="separate"/>
            </w:r>
            <w:r>
              <w:rPr>
                <w:noProof/>
                <w:webHidden/>
              </w:rPr>
              <w:t>25</w:t>
            </w:r>
            <w:r>
              <w:rPr>
                <w:noProof/>
                <w:webHidden/>
              </w:rPr>
              <w:fldChar w:fldCharType="end"/>
            </w:r>
          </w:hyperlink>
        </w:p>
        <w:p w14:paraId="24021AD9" w14:textId="1FF75FE4" w:rsidR="00520083" w:rsidRDefault="00520083" w:rsidP="5DAAC55E">
          <w:pPr>
            <w:pStyle w:val="TOC1"/>
            <w:tabs>
              <w:tab w:val="right" w:leader="dot" w:pos="8295"/>
            </w:tabs>
            <w:rPr>
              <w:rStyle w:val="Hyperlink"/>
              <w:noProof/>
              <w:kern w:val="2"/>
              <w:lang w:eastAsia="en-AU"/>
              <w14:ligatures w14:val="standardContextual"/>
            </w:rPr>
          </w:pPr>
          <w:r>
            <w:fldChar w:fldCharType="end"/>
          </w:r>
        </w:p>
      </w:sdtContent>
    </w:sdt>
    <w:p w14:paraId="6F51923E" w14:textId="7FCCC6DA" w:rsidR="00A16356" w:rsidRPr="00041E58" w:rsidRDefault="00A16356" w:rsidP="00466216">
      <w:pPr>
        <w:spacing w:before="120"/>
        <w:rPr>
          <w:rFonts w:cs="Arial"/>
        </w:rPr>
      </w:pPr>
    </w:p>
    <w:p w14:paraId="27643568" w14:textId="77777777" w:rsidR="004A2375" w:rsidRDefault="004A2375">
      <w:pPr>
        <w:rPr>
          <w:rFonts w:eastAsiaTheme="majorEastAsia" w:cstheme="majorBidi"/>
          <w:b/>
          <w:color w:val="365F91" w:themeColor="accent1" w:themeShade="BF"/>
          <w:sz w:val="28"/>
          <w:szCs w:val="32"/>
        </w:rPr>
        <w:sectPr w:rsidR="004A2375" w:rsidSect="00A16356">
          <w:headerReference w:type="default" r:id="rId14"/>
          <w:footerReference w:type="default" r:id="rId15"/>
          <w:headerReference w:type="first" r:id="rId16"/>
          <w:pgSz w:w="11900" w:h="16840" w:code="9"/>
          <w:pgMar w:top="1440" w:right="1797" w:bottom="1440" w:left="1797" w:header="709" w:footer="709" w:gutter="0"/>
          <w:pgNumType w:start="0"/>
          <w:cols w:space="708"/>
          <w:titlePg/>
          <w:docGrid w:linePitch="360"/>
        </w:sectPr>
      </w:pPr>
    </w:p>
    <w:p w14:paraId="4A61AB60" w14:textId="41827F0C" w:rsidR="00B82CE9" w:rsidRDefault="00B54CB0" w:rsidP="007C510E">
      <w:pPr>
        <w:pStyle w:val="Heading1"/>
      </w:pPr>
      <w:bookmarkStart w:id="3" w:name="_Toc184118307"/>
      <w:bookmarkStart w:id="4" w:name="_Toc195687390"/>
      <w:r>
        <w:lastRenderedPageBreak/>
        <w:t>Introduction</w:t>
      </w:r>
      <w:bookmarkEnd w:id="3"/>
      <w:bookmarkEnd w:id="4"/>
    </w:p>
    <w:p w14:paraId="213428DB" w14:textId="2E25AF7A" w:rsidR="00A03176" w:rsidRPr="005F29AC" w:rsidRDefault="00A03176" w:rsidP="00A03176">
      <w:pPr>
        <w:pStyle w:val="Numberedparagraph"/>
        <w:numPr>
          <w:ilvl w:val="0"/>
          <w:numId w:val="5"/>
        </w:numPr>
      </w:pPr>
      <w:r>
        <w:t>Thank you for the opportunity to provide a submission on the</w:t>
      </w:r>
      <w:r w:rsidRPr="005F29AC">
        <w:t xml:space="preserve"> </w:t>
      </w:r>
      <w:r>
        <w:t>Making Queensland Safer (Adult Crime, Adult Time) Amendment Bill 2025</w:t>
      </w:r>
      <w:r w:rsidR="00005BA0">
        <w:t xml:space="preserve"> (</w:t>
      </w:r>
      <w:r w:rsidR="00005BA0" w:rsidRPr="00005BA0">
        <w:rPr>
          <w:b/>
          <w:bCs/>
        </w:rPr>
        <w:t>the Bill</w:t>
      </w:r>
      <w:r w:rsidR="00005BA0">
        <w:t>)</w:t>
      </w:r>
      <w:r w:rsidR="008D3311">
        <w:t>.</w:t>
      </w:r>
    </w:p>
    <w:p w14:paraId="691014C0" w14:textId="77777777" w:rsidR="00A03176" w:rsidRDefault="00A03176" w:rsidP="00A03176">
      <w:pPr>
        <w:pStyle w:val="Numberedparagraph"/>
        <w:numPr>
          <w:ilvl w:val="0"/>
          <w:numId w:val="5"/>
        </w:numPr>
      </w:pPr>
      <w:r w:rsidRPr="005F29AC">
        <w:t>The Queensland Human Rights Commission (</w:t>
      </w:r>
      <w:r w:rsidRPr="00A03176">
        <w:rPr>
          <w:b/>
          <w:bCs/>
        </w:rPr>
        <w:t>the Commission</w:t>
      </w:r>
      <w:r w:rsidRPr="005F29AC">
        <w:t xml:space="preserve">) is an independent statutory body established under the </w:t>
      </w:r>
      <w:r w:rsidRPr="00A03176">
        <w:rPr>
          <w:i/>
          <w:iCs/>
        </w:rPr>
        <w:t>Anti-Discrimination Act 1991</w:t>
      </w:r>
      <w:r w:rsidRPr="005F29AC">
        <w:t xml:space="preserve">, with functions under that Act and the </w:t>
      </w:r>
      <w:r w:rsidRPr="00A03176">
        <w:rPr>
          <w:i/>
          <w:iCs/>
        </w:rPr>
        <w:t>Human Rights Act 2019</w:t>
      </w:r>
      <w:r w:rsidRPr="005F29AC">
        <w:t xml:space="preserve"> (</w:t>
      </w:r>
      <w:r w:rsidRPr="00A03176">
        <w:rPr>
          <w:b/>
          <w:bCs/>
        </w:rPr>
        <w:t>Human Rights Act</w:t>
      </w:r>
      <w:r w:rsidRPr="005F29AC">
        <w:t>) to promote an understanding, acceptance</w:t>
      </w:r>
      <w:r>
        <w:t>,</w:t>
      </w:r>
      <w:r w:rsidRPr="005F29AC">
        <w:t xml:space="preserve"> and public discussion of human rights in Queensland.</w:t>
      </w:r>
      <w:r>
        <w:t xml:space="preserve"> This submission has been approved by the Queensland Human Rights Commissioner.</w:t>
      </w:r>
    </w:p>
    <w:p w14:paraId="75AD351E" w14:textId="744F3D2C" w:rsidR="00B54CB0" w:rsidRPr="00A03176" w:rsidRDefault="00B54CB0" w:rsidP="00A03176">
      <w:pPr>
        <w:pStyle w:val="Numberedparagraph"/>
        <w:numPr>
          <w:ilvl w:val="0"/>
          <w:numId w:val="5"/>
        </w:numPr>
        <w:rPr>
          <w:lang w:val="en-US"/>
        </w:rPr>
      </w:pPr>
      <w:r w:rsidRPr="00A03176">
        <w:rPr>
          <w:lang w:val="en-US"/>
        </w:rPr>
        <w:t xml:space="preserve">Queenslanders have </w:t>
      </w:r>
      <w:r w:rsidR="00A21D53">
        <w:rPr>
          <w:lang w:val="en-US"/>
        </w:rPr>
        <w:t>a</w:t>
      </w:r>
      <w:r w:rsidRPr="00A03176">
        <w:rPr>
          <w:lang w:val="en-US"/>
        </w:rPr>
        <w:t xml:space="preserve"> right to feel safe in their homes and communities, and the </w:t>
      </w:r>
      <w:r w:rsidR="004C3C79">
        <w:rPr>
          <w:lang w:val="en-US"/>
        </w:rPr>
        <w:t xml:space="preserve">Queensland </w:t>
      </w:r>
      <w:r w:rsidR="008D3311">
        <w:rPr>
          <w:lang w:val="en-US"/>
        </w:rPr>
        <w:t>G</w:t>
      </w:r>
      <w:r w:rsidRPr="00A03176">
        <w:rPr>
          <w:lang w:val="en-US"/>
        </w:rPr>
        <w:t xml:space="preserve">overnment </w:t>
      </w:r>
      <w:r w:rsidR="004C3C79">
        <w:rPr>
          <w:lang w:val="en-US"/>
        </w:rPr>
        <w:t>(</w:t>
      </w:r>
      <w:r w:rsidR="00736B92">
        <w:rPr>
          <w:b/>
          <w:bCs/>
          <w:lang w:val="en-US"/>
        </w:rPr>
        <w:t>g</w:t>
      </w:r>
      <w:r w:rsidR="004C3C79" w:rsidRPr="004C3C79">
        <w:rPr>
          <w:b/>
          <w:bCs/>
          <w:lang w:val="en-US"/>
        </w:rPr>
        <w:t>overnment</w:t>
      </w:r>
      <w:r w:rsidR="004C3C79">
        <w:rPr>
          <w:lang w:val="en-US"/>
        </w:rPr>
        <w:t xml:space="preserve">) </w:t>
      </w:r>
      <w:r w:rsidRPr="00A03176">
        <w:rPr>
          <w:lang w:val="en-US"/>
        </w:rPr>
        <w:t xml:space="preserve">has an obligation to protect them. </w:t>
      </w:r>
      <w:r w:rsidR="5AC93A84" w:rsidRPr="00A03176">
        <w:rPr>
          <w:lang w:val="en-US"/>
        </w:rPr>
        <w:t>At the same time</w:t>
      </w:r>
      <w:r w:rsidR="0090727F" w:rsidRPr="00A03176">
        <w:rPr>
          <w:lang w:val="en-US"/>
        </w:rPr>
        <w:t>,</w:t>
      </w:r>
      <w:r w:rsidRPr="00A03176">
        <w:rPr>
          <w:lang w:val="en-US"/>
        </w:rPr>
        <w:t xml:space="preserve"> </w:t>
      </w:r>
      <w:proofErr w:type="gramStart"/>
      <w:r w:rsidR="00736B92">
        <w:rPr>
          <w:lang w:val="en-US"/>
        </w:rPr>
        <w:t>g</w:t>
      </w:r>
      <w:r w:rsidR="008D3311">
        <w:rPr>
          <w:lang w:val="en-US"/>
        </w:rPr>
        <w:t>overnment</w:t>
      </w:r>
      <w:proofErr w:type="gramEnd"/>
      <w:r w:rsidRPr="00A03176">
        <w:rPr>
          <w:lang w:val="en-US"/>
        </w:rPr>
        <w:t xml:space="preserve"> has a responsibility to ensure that the policies it enacts </w:t>
      </w:r>
      <w:r w:rsidR="00005BA0">
        <w:rPr>
          <w:lang w:val="en-US"/>
        </w:rPr>
        <w:t xml:space="preserve">are evidence-based and </w:t>
      </w:r>
      <w:r w:rsidR="00AD0845">
        <w:rPr>
          <w:lang w:val="en-US"/>
        </w:rPr>
        <w:t xml:space="preserve">limit </w:t>
      </w:r>
      <w:r w:rsidR="004C3C79">
        <w:rPr>
          <w:lang w:val="en-US"/>
        </w:rPr>
        <w:t xml:space="preserve">human </w:t>
      </w:r>
      <w:r w:rsidR="00AD0845">
        <w:rPr>
          <w:lang w:val="en-US"/>
        </w:rPr>
        <w:t xml:space="preserve">rights </w:t>
      </w:r>
      <w:r w:rsidR="00005BA0">
        <w:rPr>
          <w:lang w:val="en-US"/>
        </w:rPr>
        <w:t xml:space="preserve">no more than is necessary </w:t>
      </w:r>
      <w:r w:rsidR="004706C3">
        <w:rPr>
          <w:lang w:val="en-US"/>
        </w:rPr>
        <w:t xml:space="preserve">to achieve </w:t>
      </w:r>
      <w:r w:rsidR="00005BA0">
        <w:rPr>
          <w:lang w:val="en-US"/>
        </w:rPr>
        <w:t>their purpose.</w:t>
      </w:r>
      <w:r w:rsidR="00BB2EE1">
        <w:rPr>
          <w:rStyle w:val="FootnoteReference"/>
          <w:lang w:val="en-US"/>
        </w:rPr>
        <w:footnoteReference w:id="2"/>
      </w:r>
      <w:r w:rsidR="00005BA0">
        <w:rPr>
          <w:lang w:val="en-US"/>
        </w:rPr>
        <w:t xml:space="preserve"> </w:t>
      </w:r>
      <w:r w:rsidR="00AD0845">
        <w:rPr>
          <w:lang w:val="en-US"/>
        </w:rPr>
        <w:t xml:space="preserve">  </w:t>
      </w:r>
    </w:p>
    <w:p w14:paraId="5FED9346" w14:textId="4CBFF8D6" w:rsidR="002A3A9F" w:rsidRDefault="00A75D72" w:rsidP="002A3A9F">
      <w:pPr>
        <w:pStyle w:val="Numberedparagraph"/>
        <w:numPr>
          <w:ilvl w:val="0"/>
          <w:numId w:val="5"/>
        </w:numPr>
        <w:rPr>
          <w:lang w:val="en-US"/>
        </w:rPr>
      </w:pPr>
      <w:r w:rsidRPr="00A03176">
        <w:rPr>
          <w:lang w:val="en-US"/>
        </w:rPr>
        <w:t xml:space="preserve">The </w:t>
      </w:r>
      <w:r w:rsidR="00252FA7" w:rsidRPr="00A03176">
        <w:rPr>
          <w:lang w:val="en-US"/>
        </w:rPr>
        <w:t>g</w:t>
      </w:r>
      <w:r w:rsidRPr="00A03176">
        <w:rPr>
          <w:lang w:val="en-US"/>
        </w:rPr>
        <w:t xml:space="preserve">overnment </w:t>
      </w:r>
      <w:r w:rsidR="4B4A5B95" w:rsidRPr="00A03176">
        <w:rPr>
          <w:lang w:val="en-US"/>
        </w:rPr>
        <w:t>concedes</w:t>
      </w:r>
      <w:r w:rsidR="00AF60FB" w:rsidRPr="00A03176">
        <w:rPr>
          <w:lang w:val="en-US"/>
        </w:rPr>
        <w:t xml:space="preserve"> </w:t>
      </w:r>
      <w:r w:rsidR="00134D87" w:rsidRPr="00A03176">
        <w:rPr>
          <w:lang w:val="en-US"/>
        </w:rPr>
        <w:t xml:space="preserve">the </w:t>
      </w:r>
      <w:r w:rsidR="00134D87" w:rsidRPr="00005BA0">
        <w:rPr>
          <w:lang w:val="en-US"/>
        </w:rPr>
        <w:t xml:space="preserve">Bill </w:t>
      </w:r>
      <w:r w:rsidR="520C0BDF" w:rsidRPr="00A03176">
        <w:rPr>
          <w:lang w:val="en-US"/>
        </w:rPr>
        <w:t xml:space="preserve">is </w:t>
      </w:r>
      <w:r w:rsidR="00F25F08" w:rsidRPr="00347E1A">
        <w:rPr>
          <w:b/>
          <w:bCs/>
          <w:lang w:val="en-US"/>
        </w:rPr>
        <w:t xml:space="preserve">incompatible </w:t>
      </w:r>
      <w:r w:rsidR="00286227" w:rsidRPr="00347E1A">
        <w:rPr>
          <w:b/>
          <w:bCs/>
          <w:lang w:val="en-US"/>
        </w:rPr>
        <w:t>with human rights</w:t>
      </w:r>
      <w:r w:rsidR="00286227">
        <w:rPr>
          <w:lang w:val="en-US"/>
        </w:rPr>
        <w:t xml:space="preserve"> </w:t>
      </w:r>
      <w:r w:rsidR="003C7434">
        <w:rPr>
          <w:lang w:val="en-US"/>
        </w:rPr>
        <w:t xml:space="preserve">and </w:t>
      </w:r>
      <w:r w:rsidR="004C3C79">
        <w:rPr>
          <w:lang w:val="en-US"/>
        </w:rPr>
        <w:t xml:space="preserve">that it </w:t>
      </w:r>
      <w:r w:rsidR="003C7434">
        <w:rPr>
          <w:lang w:val="en-US"/>
        </w:rPr>
        <w:t xml:space="preserve">will lead to sentences for children that </w:t>
      </w:r>
      <w:r w:rsidR="003C7434" w:rsidRPr="004C3C79">
        <w:rPr>
          <w:b/>
          <w:bCs/>
          <w:lang w:val="en-US"/>
        </w:rPr>
        <w:t>are more punitive than necessary to achieve the purpose of enhancing community safety</w:t>
      </w:r>
      <w:r w:rsidR="003C7434">
        <w:rPr>
          <w:lang w:val="en-US"/>
        </w:rPr>
        <w:t>.</w:t>
      </w:r>
      <w:r w:rsidR="00A03176">
        <w:rPr>
          <w:rStyle w:val="FootnoteReference"/>
          <w:lang w:val="en-US"/>
        </w:rPr>
        <w:footnoteReference w:id="3"/>
      </w:r>
      <w:r w:rsidR="008D3311" w:rsidRPr="002A3A9F">
        <w:rPr>
          <w:lang w:val="en-US"/>
        </w:rPr>
        <w:t xml:space="preserve"> </w:t>
      </w:r>
    </w:p>
    <w:p w14:paraId="1F83A7D1" w14:textId="6919734D" w:rsidR="00DC13E0" w:rsidRDefault="00DC13E0" w:rsidP="002A3A9F">
      <w:pPr>
        <w:pStyle w:val="Numberedparagraph"/>
        <w:numPr>
          <w:ilvl w:val="0"/>
          <w:numId w:val="5"/>
        </w:numPr>
        <w:rPr>
          <w:lang w:val="en-US"/>
        </w:rPr>
      </w:pPr>
      <w:r>
        <w:rPr>
          <w:lang w:val="en-US"/>
        </w:rPr>
        <w:t xml:space="preserve">In conceding this point, </w:t>
      </w:r>
      <w:proofErr w:type="gramStart"/>
      <w:r w:rsidR="00736B92">
        <w:rPr>
          <w:lang w:val="en-US"/>
        </w:rPr>
        <w:t>g</w:t>
      </w:r>
      <w:r>
        <w:rPr>
          <w:lang w:val="en-US"/>
        </w:rPr>
        <w:t>overnment</w:t>
      </w:r>
      <w:proofErr w:type="gramEnd"/>
      <w:r>
        <w:rPr>
          <w:lang w:val="en-US"/>
        </w:rPr>
        <w:t xml:space="preserve"> </w:t>
      </w:r>
      <w:r w:rsidR="00970987">
        <w:rPr>
          <w:lang w:val="en-US"/>
        </w:rPr>
        <w:t xml:space="preserve">has </w:t>
      </w:r>
      <w:r>
        <w:rPr>
          <w:lang w:val="en-US"/>
        </w:rPr>
        <w:t>state</w:t>
      </w:r>
      <w:r w:rsidR="00970987">
        <w:rPr>
          <w:lang w:val="en-US"/>
        </w:rPr>
        <w:t>d</w:t>
      </w:r>
      <w:r>
        <w:rPr>
          <w:lang w:val="en-US"/>
        </w:rPr>
        <w:t xml:space="preserve"> that the</w:t>
      </w:r>
      <w:r w:rsidR="00483244">
        <w:rPr>
          <w:lang w:val="en-US"/>
        </w:rPr>
        <w:t xml:space="preserve"> </w:t>
      </w:r>
      <w:r>
        <w:rPr>
          <w:lang w:val="en-US"/>
        </w:rPr>
        <w:t xml:space="preserve">current situation with respect to youth crime in Queensland is </w:t>
      </w:r>
      <w:r w:rsidR="00FF0DEB">
        <w:rPr>
          <w:lang w:val="en-US"/>
        </w:rPr>
        <w:t xml:space="preserve">an </w:t>
      </w:r>
      <w:r w:rsidR="00E41C61">
        <w:rPr>
          <w:lang w:val="en-US"/>
        </w:rPr>
        <w:t>‘</w:t>
      </w:r>
      <w:r>
        <w:rPr>
          <w:lang w:val="en-US"/>
        </w:rPr>
        <w:t xml:space="preserve">exceptional </w:t>
      </w:r>
      <w:r w:rsidR="00FF0DEB">
        <w:rPr>
          <w:lang w:val="en-US"/>
        </w:rPr>
        <w:t>crisis</w:t>
      </w:r>
      <w:r w:rsidR="00E41C61">
        <w:rPr>
          <w:lang w:val="en-US"/>
        </w:rPr>
        <w:t>’</w:t>
      </w:r>
      <w:r w:rsidR="00FF0DEB">
        <w:rPr>
          <w:lang w:val="en-US"/>
        </w:rPr>
        <w:t xml:space="preserve"> </w:t>
      </w:r>
      <w:r>
        <w:rPr>
          <w:lang w:val="en-US"/>
        </w:rPr>
        <w:t xml:space="preserve">and </w:t>
      </w:r>
      <w:r w:rsidRPr="0000132A">
        <w:rPr>
          <w:b/>
          <w:bCs/>
          <w:lang w:val="en-US"/>
        </w:rPr>
        <w:t>therefore the Human Rights Act will be overridden</w:t>
      </w:r>
      <w:r>
        <w:rPr>
          <w:lang w:val="en-US"/>
        </w:rPr>
        <w:t>.</w:t>
      </w:r>
      <w:r w:rsidR="00986E4F">
        <w:rPr>
          <w:rStyle w:val="FootnoteReference"/>
          <w:lang w:val="en-US"/>
        </w:rPr>
        <w:footnoteReference w:id="4"/>
      </w:r>
      <w:r>
        <w:rPr>
          <w:lang w:val="en-US"/>
        </w:rPr>
        <w:t xml:space="preserve"> </w:t>
      </w:r>
    </w:p>
    <w:p w14:paraId="6358E233" w14:textId="06807498" w:rsidR="00F60555" w:rsidRDefault="00DD71E0" w:rsidP="002A3A9F">
      <w:pPr>
        <w:pStyle w:val="Numberedparagraph"/>
        <w:numPr>
          <w:ilvl w:val="0"/>
          <w:numId w:val="5"/>
        </w:numPr>
        <w:rPr>
          <w:lang w:val="en-US"/>
        </w:rPr>
      </w:pPr>
      <w:r>
        <w:rPr>
          <w:lang w:val="en-US"/>
        </w:rPr>
        <w:t xml:space="preserve">The Commission </w:t>
      </w:r>
      <w:r w:rsidRPr="00DD71E0">
        <w:rPr>
          <w:b/>
          <w:bCs/>
          <w:lang w:val="en-US"/>
        </w:rPr>
        <w:t>finds no justification for overriding the Human Rights Act</w:t>
      </w:r>
      <w:r>
        <w:rPr>
          <w:lang w:val="en-US"/>
        </w:rPr>
        <w:t xml:space="preserve">. </w:t>
      </w:r>
      <w:r w:rsidR="00DC13E0">
        <w:rPr>
          <w:lang w:val="en-US"/>
        </w:rPr>
        <w:t xml:space="preserve">There is </w:t>
      </w:r>
      <w:r w:rsidR="00672276" w:rsidRPr="00672276">
        <w:rPr>
          <w:b/>
          <w:bCs/>
          <w:lang w:val="en-US"/>
        </w:rPr>
        <w:t xml:space="preserve">entirely </w:t>
      </w:r>
      <w:r w:rsidR="00FF2CB5">
        <w:rPr>
          <w:b/>
          <w:bCs/>
          <w:lang w:val="en-US"/>
        </w:rPr>
        <w:t>insufficient</w:t>
      </w:r>
      <w:r w:rsidR="00DC13E0" w:rsidRPr="00DD71E0">
        <w:rPr>
          <w:b/>
          <w:bCs/>
          <w:lang w:val="en-US"/>
        </w:rPr>
        <w:t xml:space="preserve"> evidence </w:t>
      </w:r>
      <w:r w:rsidR="00F60555" w:rsidRPr="00DD71E0">
        <w:rPr>
          <w:b/>
          <w:bCs/>
          <w:lang w:val="en-US"/>
        </w:rPr>
        <w:t>that the current situation with respect to youth crime is an exceptional crisis</w:t>
      </w:r>
      <w:r w:rsidR="00F60555">
        <w:rPr>
          <w:lang w:val="en-US"/>
        </w:rPr>
        <w:t xml:space="preserve">. In fact, </w:t>
      </w:r>
      <w:r>
        <w:rPr>
          <w:lang w:val="en-US"/>
        </w:rPr>
        <w:t xml:space="preserve">crime </w:t>
      </w:r>
      <w:r w:rsidR="00F60555">
        <w:rPr>
          <w:lang w:val="en-US"/>
        </w:rPr>
        <w:t xml:space="preserve">statistics demonstrate </w:t>
      </w:r>
      <w:r w:rsidR="00F60555" w:rsidRPr="00970987">
        <w:rPr>
          <w:b/>
          <w:bCs/>
          <w:lang w:val="en-US"/>
        </w:rPr>
        <w:t xml:space="preserve">that youth </w:t>
      </w:r>
      <w:r w:rsidR="00A07B55">
        <w:rPr>
          <w:b/>
          <w:bCs/>
          <w:lang w:val="en-US"/>
        </w:rPr>
        <w:t>offender rates</w:t>
      </w:r>
      <w:r w:rsidR="00A07B55" w:rsidRPr="00970987">
        <w:rPr>
          <w:b/>
          <w:bCs/>
          <w:lang w:val="en-US"/>
        </w:rPr>
        <w:t xml:space="preserve"> </w:t>
      </w:r>
      <w:r w:rsidR="00A07B55">
        <w:rPr>
          <w:b/>
          <w:bCs/>
          <w:lang w:val="en-US"/>
        </w:rPr>
        <w:t>are</w:t>
      </w:r>
      <w:r w:rsidR="00F60555" w:rsidRPr="00970987">
        <w:rPr>
          <w:b/>
          <w:bCs/>
          <w:lang w:val="en-US"/>
        </w:rPr>
        <w:t xml:space="preserve"> tending downwards</w:t>
      </w:r>
      <w:r w:rsidR="00942CFB">
        <w:rPr>
          <w:lang w:val="en-US"/>
        </w:rPr>
        <w:t>.</w:t>
      </w:r>
      <w:r>
        <w:rPr>
          <w:rStyle w:val="FootnoteReference"/>
          <w:lang w:val="en-US"/>
        </w:rPr>
        <w:footnoteReference w:id="5"/>
      </w:r>
      <w:r w:rsidR="00942CFB">
        <w:rPr>
          <w:lang w:val="en-US"/>
        </w:rPr>
        <w:t xml:space="preserve"> </w:t>
      </w:r>
      <w:r w:rsidR="00970987">
        <w:rPr>
          <w:lang w:val="en-US"/>
        </w:rPr>
        <w:t>Nor is</w:t>
      </w:r>
      <w:r w:rsidR="00F60555">
        <w:rPr>
          <w:lang w:val="en-US"/>
        </w:rPr>
        <w:t xml:space="preserve"> Queensland in a unique position</w:t>
      </w:r>
      <w:r w:rsidR="00942CFB">
        <w:rPr>
          <w:lang w:val="en-US"/>
        </w:rPr>
        <w:t xml:space="preserve"> when it comes to youth crime. In 2023-24, Queensland’s youth offender rate was fifth in</w:t>
      </w:r>
      <w:r w:rsidR="00970987">
        <w:rPr>
          <w:lang w:val="en-US"/>
        </w:rPr>
        <w:t xml:space="preserve"> the nation, </w:t>
      </w:r>
      <w:r w:rsidR="00942CFB">
        <w:rPr>
          <w:lang w:val="en-US"/>
        </w:rPr>
        <w:t xml:space="preserve">behind New South Wales, Northern Territory, </w:t>
      </w:r>
      <w:r w:rsidR="001D0B37">
        <w:rPr>
          <w:lang w:val="en-US"/>
        </w:rPr>
        <w:t>Tasmania, and Western Australia</w:t>
      </w:r>
      <w:r w:rsidR="00F60555" w:rsidRPr="00467392">
        <w:rPr>
          <w:lang w:val="en-US"/>
        </w:rPr>
        <w:t>.</w:t>
      </w:r>
      <w:r w:rsidR="001D0B37">
        <w:rPr>
          <w:rStyle w:val="FootnoteReference"/>
          <w:lang w:val="en-US"/>
        </w:rPr>
        <w:footnoteReference w:id="6"/>
      </w:r>
      <w:r w:rsidR="00F60555">
        <w:rPr>
          <w:lang w:val="en-US"/>
        </w:rPr>
        <w:t xml:space="preserve"> </w:t>
      </w:r>
      <w:r w:rsidR="00A07B55" w:rsidRPr="0000132A">
        <w:rPr>
          <w:b/>
          <w:bCs/>
          <w:lang w:val="en-US"/>
        </w:rPr>
        <w:t>Y</w:t>
      </w:r>
      <w:r w:rsidR="005C01E7" w:rsidRPr="0000132A">
        <w:rPr>
          <w:b/>
          <w:bCs/>
          <w:lang w:val="en-US"/>
        </w:rPr>
        <w:t>ear-</w:t>
      </w:r>
      <w:r w:rsidR="00A07B55" w:rsidRPr="0000132A">
        <w:rPr>
          <w:b/>
          <w:bCs/>
          <w:lang w:val="en-US"/>
        </w:rPr>
        <w:t>to</w:t>
      </w:r>
      <w:r w:rsidR="005C01E7" w:rsidRPr="0000132A">
        <w:rPr>
          <w:b/>
          <w:bCs/>
          <w:lang w:val="en-US"/>
        </w:rPr>
        <w:t xml:space="preserve">-year increases in </w:t>
      </w:r>
      <w:r w:rsidR="007D3936" w:rsidRPr="0000132A">
        <w:rPr>
          <w:b/>
          <w:bCs/>
          <w:lang w:val="en-US"/>
        </w:rPr>
        <w:t>relation to</w:t>
      </w:r>
      <w:r w:rsidR="005C01E7" w:rsidRPr="0000132A">
        <w:rPr>
          <w:b/>
          <w:bCs/>
          <w:lang w:val="en-US"/>
        </w:rPr>
        <w:t xml:space="preserve"> discrete offence categories</w:t>
      </w:r>
      <w:r w:rsidR="00484772" w:rsidRPr="0000132A">
        <w:rPr>
          <w:b/>
          <w:bCs/>
          <w:lang w:val="en-US"/>
        </w:rPr>
        <w:t xml:space="preserve"> </w:t>
      </w:r>
      <w:r w:rsidR="00A07B55" w:rsidRPr="0000132A">
        <w:rPr>
          <w:b/>
          <w:bCs/>
          <w:lang w:val="en-US"/>
        </w:rPr>
        <w:t>are insufficient to demonstrate any</w:t>
      </w:r>
      <w:r w:rsidR="00484772" w:rsidRPr="0000132A">
        <w:rPr>
          <w:b/>
          <w:bCs/>
          <w:lang w:val="en-US"/>
        </w:rPr>
        <w:t xml:space="preserve"> ‘exceptional crisis’ warranting broad override of the </w:t>
      </w:r>
      <w:r w:rsidR="00744645" w:rsidRPr="0000132A">
        <w:rPr>
          <w:b/>
          <w:bCs/>
          <w:lang w:val="en-US"/>
        </w:rPr>
        <w:t>Human Rights Act</w:t>
      </w:r>
      <w:r w:rsidR="00744645">
        <w:rPr>
          <w:lang w:val="en-US"/>
        </w:rPr>
        <w:t xml:space="preserve">. </w:t>
      </w:r>
    </w:p>
    <w:p w14:paraId="68027A5A" w14:textId="1E8141BD" w:rsidR="00F60555" w:rsidRDefault="00577C36" w:rsidP="00F60555">
      <w:pPr>
        <w:pStyle w:val="Numberedparagraph"/>
        <w:numPr>
          <w:ilvl w:val="0"/>
          <w:numId w:val="5"/>
        </w:numPr>
        <w:rPr>
          <w:lang w:val="en-US"/>
        </w:rPr>
      </w:pPr>
      <w:r>
        <w:rPr>
          <w:lang w:val="en-US"/>
        </w:rPr>
        <w:lastRenderedPageBreak/>
        <w:t>The</w:t>
      </w:r>
      <w:r w:rsidR="00A03176" w:rsidRPr="002A3A9F">
        <w:rPr>
          <w:lang w:val="en-US"/>
        </w:rPr>
        <w:t xml:space="preserve"> available evidence suggests that </w:t>
      </w:r>
      <w:r w:rsidR="00A03176" w:rsidRPr="00744645">
        <w:rPr>
          <w:b/>
          <w:bCs/>
          <w:lang w:val="en-US"/>
        </w:rPr>
        <w:t xml:space="preserve">this Bill </w:t>
      </w:r>
      <w:r w:rsidR="008D3311" w:rsidRPr="00744645">
        <w:rPr>
          <w:b/>
          <w:bCs/>
          <w:lang w:val="en-US"/>
        </w:rPr>
        <w:t>will make our community less safe</w:t>
      </w:r>
      <w:r w:rsidR="00A03176" w:rsidRPr="002A3A9F">
        <w:rPr>
          <w:lang w:val="en-US"/>
        </w:rPr>
        <w:t>.</w:t>
      </w:r>
      <w:r w:rsidR="00F60555">
        <w:rPr>
          <w:lang w:val="en-US"/>
        </w:rPr>
        <w:t xml:space="preserve"> </w:t>
      </w:r>
      <w:r w:rsidR="00AD547D">
        <w:rPr>
          <w:lang w:val="en-US"/>
        </w:rPr>
        <w:t>Imposing h</w:t>
      </w:r>
      <w:r w:rsidR="00197684">
        <w:rPr>
          <w:lang w:val="en-US"/>
        </w:rPr>
        <w:t>arsh</w:t>
      </w:r>
      <w:r w:rsidR="00AD547D">
        <w:rPr>
          <w:lang w:val="en-US"/>
        </w:rPr>
        <w:t>er</w:t>
      </w:r>
      <w:r w:rsidR="00197684">
        <w:rPr>
          <w:lang w:val="en-US"/>
        </w:rPr>
        <w:t xml:space="preserve"> sentences do</w:t>
      </w:r>
      <w:r w:rsidR="00E52041">
        <w:rPr>
          <w:lang w:val="en-US"/>
        </w:rPr>
        <w:t>es</w:t>
      </w:r>
      <w:r w:rsidR="00197684">
        <w:rPr>
          <w:lang w:val="en-US"/>
        </w:rPr>
        <w:t xml:space="preserve"> not deter</w:t>
      </w:r>
      <w:r>
        <w:rPr>
          <w:lang w:val="en-US"/>
        </w:rPr>
        <w:t xml:space="preserve"> or reduce</w:t>
      </w:r>
      <w:r w:rsidR="00197684">
        <w:rPr>
          <w:lang w:val="en-US"/>
        </w:rPr>
        <w:t xml:space="preserve"> crime</w:t>
      </w:r>
      <w:r>
        <w:rPr>
          <w:lang w:val="en-US"/>
        </w:rPr>
        <w:t>.</w:t>
      </w:r>
      <w:r w:rsidR="00AD547D">
        <w:rPr>
          <w:rStyle w:val="FootnoteReference"/>
          <w:lang w:val="en-US"/>
        </w:rPr>
        <w:footnoteReference w:id="7"/>
      </w:r>
      <w:r>
        <w:rPr>
          <w:lang w:val="en-US"/>
        </w:rPr>
        <w:t xml:space="preserve"> Moreover, b</w:t>
      </w:r>
      <w:r w:rsidR="00AC584D">
        <w:rPr>
          <w:lang w:val="en-US"/>
        </w:rPr>
        <w:t>y detaining more children for longer</w:t>
      </w:r>
      <w:r w:rsidR="00197684">
        <w:rPr>
          <w:lang w:val="en-US"/>
        </w:rPr>
        <w:t xml:space="preserve"> </w:t>
      </w:r>
      <w:r w:rsidR="0028328A">
        <w:rPr>
          <w:lang w:val="en-US"/>
        </w:rPr>
        <w:t xml:space="preserve">the Bill will harm </w:t>
      </w:r>
      <w:r>
        <w:rPr>
          <w:lang w:val="en-US"/>
        </w:rPr>
        <w:t xml:space="preserve">those </w:t>
      </w:r>
      <w:r w:rsidR="0028328A">
        <w:rPr>
          <w:lang w:val="en-US"/>
        </w:rPr>
        <w:t xml:space="preserve">children, making them more likely to reoffend. </w:t>
      </w:r>
      <w:r w:rsidR="00197684">
        <w:rPr>
          <w:lang w:val="en-US"/>
        </w:rPr>
        <w:t>Th</w:t>
      </w:r>
      <w:r w:rsidR="00C750E8">
        <w:rPr>
          <w:lang w:val="en-US"/>
        </w:rPr>
        <w:t xml:space="preserve">ese impacts will be substantially worse where children are detained in crowded detention facilities and watchhouses. </w:t>
      </w:r>
      <w:r w:rsidR="0084400F">
        <w:rPr>
          <w:lang w:val="en-US"/>
        </w:rPr>
        <w:t xml:space="preserve">There will also be negative impacts </w:t>
      </w:r>
      <w:r w:rsidR="00294141">
        <w:rPr>
          <w:lang w:val="en-US"/>
        </w:rPr>
        <w:t>on</w:t>
      </w:r>
      <w:r w:rsidR="0084400F">
        <w:rPr>
          <w:lang w:val="en-US"/>
        </w:rPr>
        <w:t xml:space="preserve"> staff working in these facilities. </w:t>
      </w:r>
    </w:p>
    <w:p w14:paraId="32B48D33" w14:textId="3DFC56DC" w:rsidR="00C750E8" w:rsidRDefault="0029295B" w:rsidP="00F60555">
      <w:pPr>
        <w:pStyle w:val="Numberedparagraph"/>
        <w:numPr>
          <w:ilvl w:val="0"/>
          <w:numId w:val="5"/>
        </w:numPr>
        <w:rPr>
          <w:lang w:val="en-US"/>
        </w:rPr>
      </w:pPr>
      <w:r>
        <w:rPr>
          <w:lang w:val="en-US"/>
        </w:rPr>
        <w:t xml:space="preserve">The </w:t>
      </w:r>
      <w:r w:rsidR="00577C36">
        <w:rPr>
          <w:lang w:val="en-US"/>
        </w:rPr>
        <w:t>imposition of excessively punitive sentences via the Bill</w:t>
      </w:r>
      <w:r>
        <w:rPr>
          <w:lang w:val="en-US"/>
        </w:rPr>
        <w:t xml:space="preserve"> </w:t>
      </w:r>
      <w:r w:rsidRPr="00577C36">
        <w:rPr>
          <w:b/>
          <w:bCs/>
          <w:lang w:val="en-US"/>
        </w:rPr>
        <w:t>will not increase community confidence in our justice system</w:t>
      </w:r>
      <w:r>
        <w:rPr>
          <w:lang w:val="en-US"/>
        </w:rPr>
        <w:t xml:space="preserve">. </w:t>
      </w:r>
      <w:r w:rsidR="00577C36">
        <w:rPr>
          <w:lang w:val="en-US"/>
        </w:rPr>
        <w:t>Research shows community confidence in sentencing decisions</w:t>
      </w:r>
      <w:r w:rsidR="00EE4A8F">
        <w:rPr>
          <w:lang w:val="en-US"/>
        </w:rPr>
        <w:t xml:space="preserve"> improves</w:t>
      </w:r>
      <w:r w:rsidR="006E17C1">
        <w:rPr>
          <w:lang w:val="en-US"/>
        </w:rPr>
        <w:t xml:space="preserve"> </w:t>
      </w:r>
      <w:r w:rsidR="005919AB">
        <w:rPr>
          <w:lang w:val="en-US"/>
        </w:rPr>
        <w:t xml:space="preserve">after </w:t>
      </w:r>
      <w:r w:rsidR="006E17C1">
        <w:rPr>
          <w:lang w:val="en-US"/>
        </w:rPr>
        <w:t>the community is provided with</w:t>
      </w:r>
      <w:r w:rsidR="00EE4A8F">
        <w:rPr>
          <w:lang w:val="en-US"/>
        </w:rPr>
        <w:t xml:space="preserve"> </w:t>
      </w:r>
      <w:r w:rsidR="006E17C1">
        <w:rPr>
          <w:lang w:val="en-US"/>
        </w:rPr>
        <w:t>sufficient</w:t>
      </w:r>
      <w:r w:rsidR="00577C36">
        <w:rPr>
          <w:lang w:val="en-US"/>
        </w:rPr>
        <w:t xml:space="preserve"> information about the case, and the decision.</w:t>
      </w:r>
      <w:r w:rsidR="006224B6">
        <w:rPr>
          <w:rStyle w:val="FootnoteReference"/>
          <w:lang w:val="en-US"/>
        </w:rPr>
        <w:footnoteReference w:id="8"/>
      </w:r>
      <w:r w:rsidR="00577C36">
        <w:rPr>
          <w:lang w:val="en-US"/>
        </w:rPr>
        <w:t xml:space="preserve"> </w:t>
      </w:r>
      <w:r w:rsidR="005919AB">
        <w:rPr>
          <w:lang w:val="en-US"/>
        </w:rPr>
        <w:t xml:space="preserve">This means </w:t>
      </w:r>
      <w:r w:rsidR="005919AB" w:rsidRPr="0000132A">
        <w:rPr>
          <w:b/>
          <w:bCs/>
          <w:lang w:val="en-US"/>
        </w:rPr>
        <w:t xml:space="preserve">the blanket application of punitive sentences </w:t>
      </w:r>
      <w:r w:rsidR="00341446" w:rsidRPr="0000132A">
        <w:rPr>
          <w:b/>
          <w:bCs/>
          <w:lang w:val="en-US"/>
        </w:rPr>
        <w:t>for</w:t>
      </w:r>
      <w:r w:rsidR="005919AB" w:rsidRPr="0000132A">
        <w:rPr>
          <w:b/>
          <w:bCs/>
          <w:lang w:val="en-US"/>
        </w:rPr>
        <w:t xml:space="preserve"> children is unlikely to improve public </w:t>
      </w:r>
      <w:r w:rsidR="00341446" w:rsidRPr="0000132A">
        <w:rPr>
          <w:b/>
          <w:bCs/>
          <w:lang w:val="en-US"/>
        </w:rPr>
        <w:t>satisfaction with</w:t>
      </w:r>
      <w:r w:rsidR="005919AB" w:rsidRPr="0000132A">
        <w:rPr>
          <w:b/>
          <w:bCs/>
          <w:lang w:val="en-US"/>
        </w:rPr>
        <w:t xml:space="preserve"> the </w:t>
      </w:r>
      <w:r w:rsidR="00341446" w:rsidRPr="0000132A">
        <w:rPr>
          <w:b/>
          <w:bCs/>
          <w:lang w:val="en-US"/>
        </w:rPr>
        <w:t>response to youth crime</w:t>
      </w:r>
      <w:r w:rsidR="005919AB">
        <w:rPr>
          <w:lang w:val="en-US"/>
        </w:rPr>
        <w:t>.</w:t>
      </w:r>
    </w:p>
    <w:p w14:paraId="3ACA2C07" w14:textId="6A94A4F0" w:rsidR="00911AB8" w:rsidRDefault="006B6797" w:rsidP="00F60555">
      <w:pPr>
        <w:pStyle w:val="Numberedparagraph"/>
        <w:numPr>
          <w:ilvl w:val="0"/>
          <w:numId w:val="5"/>
        </w:numPr>
        <w:rPr>
          <w:lang w:val="en-US"/>
        </w:rPr>
      </w:pPr>
      <w:r>
        <w:rPr>
          <w:lang w:val="en-US"/>
        </w:rPr>
        <w:t xml:space="preserve">In addition to being incompatible with human rights, and ineffective, </w:t>
      </w:r>
      <w:r w:rsidRPr="0089025D">
        <w:rPr>
          <w:b/>
          <w:bCs/>
          <w:lang w:val="en-US"/>
        </w:rPr>
        <w:t>the Bill will come at a high cost to the Queensland taxpayer.</w:t>
      </w:r>
      <w:r>
        <w:rPr>
          <w:lang w:val="en-US"/>
        </w:rPr>
        <w:t xml:space="preserve"> The harsh sentences in the Bill will disincentivise </w:t>
      </w:r>
      <w:r w:rsidR="00EB451A">
        <w:rPr>
          <w:lang w:val="en-US"/>
        </w:rPr>
        <w:t>guilty pleas</w:t>
      </w:r>
      <w:r w:rsidR="00E73F96">
        <w:rPr>
          <w:lang w:val="en-US"/>
        </w:rPr>
        <w:t>,</w:t>
      </w:r>
      <w:r w:rsidR="00EB451A">
        <w:rPr>
          <w:lang w:val="en-US"/>
        </w:rPr>
        <w:t xml:space="preserve"> </w:t>
      </w:r>
      <w:r w:rsidR="00C81D42">
        <w:rPr>
          <w:lang w:val="en-US"/>
        </w:rPr>
        <w:t>leading to</w:t>
      </w:r>
      <w:r w:rsidR="00EB451A">
        <w:rPr>
          <w:lang w:val="en-US"/>
        </w:rPr>
        <w:t xml:space="preserve"> more criminal trials</w:t>
      </w:r>
      <w:r w:rsidR="00B02922">
        <w:rPr>
          <w:lang w:val="en-US"/>
        </w:rPr>
        <w:t xml:space="preserve"> – which are </w:t>
      </w:r>
      <w:r w:rsidR="00553CC9">
        <w:rPr>
          <w:lang w:val="en-US"/>
        </w:rPr>
        <w:t>costly</w:t>
      </w:r>
      <w:r w:rsidR="00EB451A">
        <w:rPr>
          <w:lang w:val="en-US"/>
        </w:rPr>
        <w:t xml:space="preserve">. </w:t>
      </w:r>
      <w:r w:rsidR="002B6542">
        <w:rPr>
          <w:lang w:val="en-US"/>
        </w:rPr>
        <w:t>As noted above, it</w:t>
      </w:r>
      <w:r w:rsidR="00EB451A">
        <w:rPr>
          <w:lang w:val="en-US"/>
        </w:rPr>
        <w:t xml:space="preserve"> will also mean more children are </w:t>
      </w:r>
      <w:r w:rsidR="00B71755">
        <w:rPr>
          <w:lang w:val="en-US"/>
        </w:rPr>
        <w:t xml:space="preserve">locked up, </w:t>
      </w:r>
      <w:r w:rsidR="00C81D42">
        <w:rPr>
          <w:lang w:val="en-US"/>
        </w:rPr>
        <w:t xml:space="preserve">and </w:t>
      </w:r>
      <w:r w:rsidR="00553CC9">
        <w:rPr>
          <w:lang w:val="en-US"/>
        </w:rPr>
        <w:t xml:space="preserve">given current capacity, </w:t>
      </w:r>
      <w:r w:rsidR="00C81D42">
        <w:rPr>
          <w:lang w:val="en-US"/>
        </w:rPr>
        <w:t xml:space="preserve">more detention facilities </w:t>
      </w:r>
      <w:r w:rsidR="00553CC9">
        <w:rPr>
          <w:lang w:val="en-US"/>
        </w:rPr>
        <w:t>will be</w:t>
      </w:r>
      <w:r w:rsidR="00C81D42">
        <w:rPr>
          <w:lang w:val="en-US"/>
        </w:rPr>
        <w:t xml:space="preserve"> required</w:t>
      </w:r>
      <w:r w:rsidR="00E73F96">
        <w:rPr>
          <w:lang w:val="en-US"/>
        </w:rPr>
        <w:t xml:space="preserve"> – both</w:t>
      </w:r>
      <w:r w:rsidR="004B73A5">
        <w:rPr>
          <w:lang w:val="en-US"/>
        </w:rPr>
        <w:t xml:space="preserve"> </w:t>
      </w:r>
      <w:r w:rsidR="002B6542">
        <w:rPr>
          <w:lang w:val="en-US"/>
        </w:rPr>
        <w:t xml:space="preserve">will come </w:t>
      </w:r>
      <w:r w:rsidR="004B73A5">
        <w:rPr>
          <w:lang w:val="en-US"/>
        </w:rPr>
        <w:t>at</w:t>
      </w:r>
      <w:r w:rsidR="00E73F96">
        <w:rPr>
          <w:lang w:val="en-US"/>
        </w:rPr>
        <w:t xml:space="preserve"> </w:t>
      </w:r>
      <w:r w:rsidR="00F3278B">
        <w:rPr>
          <w:lang w:val="en-US"/>
        </w:rPr>
        <w:t xml:space="preserve">significant </w:t>
      </w:r>
      <w:r w:rsidR="00E73F96">
        <w:rPr>
          <w:lang w:val="en-US"/>
        </w:rPr>
        <w:t>cost. This spending will divert fund</w:t>
      </w:r>
      <w:r w:rsidR="0089025D">
        <w:rPr>
          <w:lang w:val="en-US"/>
        </w:rPr>
        <w:t>s</w:t>
      </w:r>
      <w:r w:rsidR="00E73F96">
        <w:rPr>
          <w:lang w:val="en-US"/>
        </w:rPr>
        <w:t xml:space="preserve"> away from </w:t>
      </w:r>
      <w:r w:rsidR="00CA31CD">
        <w:rPr>
          <w:lang w:val="en-US"/>
        </w:rPr>
        <w:t xml:space="preserve">approaches that work to reduce youth offending. </w:t>
      </w:r>
    </w:p>
    <w:p w14:paraId="7FD2EFB7" w14:textId="54D1FCCA" w:rsidR="0089025D" w:rsidRDefault="004F1186" w:rsidP="00F60555">
      <w:pPr>
        <w:pStyle w:val="Numberedparagraph"/>
        <w:numPr>
          <w:ilvl w:val="0"/>
          <w:numId w:val="5"/>
        </w:numPr>
        <w:rPr>
          <w:lang w:val="en-US"/>
        </w:rPr>
      </w:pPr>
      <w:r>
        <w:rPr>
          <w:lang w:val="en-US"/>
        </w:rPr>
        <w:t xml:space="preserve">Finally, </w:t>
      </w:r>
      <w:r w:rsidR="00A13D86">
        <w:rPr>
          <w:lang w:val="en-US"/>
        </w:rPr>
        <w:t>a</w:t>
      </w:r>
      <w:r>
        <w:rPr>
          <w:lang w:val="en-US"/>
        </w:rPr>
        <w:t>s note</w:t>
      </w:r>
      <w:r w:rsidR="00E40621">
        <w:rPr>
          <w:lang w:val="en-US"/>
        </w:rPr>
        <w:t>d</w:t>
      </w:r>
      <w:r>
        <w:rPr>
          <w:lang w:val="en-US"/>
        </w:rPr>
        <w:t xml:space="preserve"> above, the Bill </w:t>
      </w:r>
      <w:r w:rsidR="00F17A6D">
        <w:rPr>
          <w:lang w:val="en-US"/>
        </w:rPr>
        <w:t xml:space="preserve">is likely to </w:t>
      </w:r>
      <w:r>
        <w:rPr>
          <w:lang w:val="en-US"/>
        </w:rPr>
        <w:t xml:space="preserve">lead to more offending, creating more victims, not less. </w:t>
      </w:r>
      <w:r w:rsidR="00E40621">
        <w:rPr>
          <w:lang w:val="en-US"/>
        </w:rPr>
        <w:t>Additionally, b</w:t>
      </w:r>
      <w:r>
        <w:rPr>
          <w:lang w:val="en-US"/>
        </w:rPr>
        <w:t>y disincentivi</w:t>
      </w:r>
      <w:r w:rsidR="00E40621">
        <w:rPr>
          <w:lang w:val="en-US"/>
        </w:rPr>
        <w:t>s</w:t>
      </w:r>
      <w:r>
        <w:rPr>
          <w:lang w:val="en-US"/>
        </w:rPr>
        <w:t xml:space="preserve">ing guilty </w:t>
      </w:r>
      <w:proofErr w:type="gramStart"/>
      <w:r>
        <w:rPr>
          <w:lang w:val="en-US"/>
        </w:rPr>
        <w:t>pleas</w:t>
      </w:r>
      <w:proofErr w:type="gramEnd"/>
      <w:r w:rsidR="00E40621">
        <w:rPr>
          <w:lang w:val="en-US"/>
        </w:rPr>
        <w:t>,</w:t>
      </w:r>
      <w:r>
        <w:rPr>
          <w:lang w:val="en-US"/>
        </w:rPr>
        <w:t xml:space="preserve"> the Bill will</w:t>
      </w:r>
      <w:r w:rsidR="00E40621">
        <w:rPr>
          <w:lang w:val="en-US"/>
        </w:rPr>
        <w:t xml:space="preserve"> lead to delays in the finali</w:t>
      </w:r>
      <w:r w:rsidR="004B73A5">
        <w:rPr>
          <w:lang w:val="en-US"/>
        </w:rPr>
        <w:t>s</w:t>
      </w:r>
      <w:r w:rsidR="00E40621">
        <w:rPr>
          <w:lang w:val="en-US"/>
        </w:rPr>
        <w:t>ation of criminal and civil matters, meaning victims will have to wait longer for outcomes.</w:t>
      </w:r>
      <w:r w:rsidR="004F4CE7">
        <w:rPr>
          <w:lang w:val="en-US"/>
        </w:rPr>
        <w:t xml:space="preserve"> </w:t>
      </w:r>
      <w:r w:rsidR="00DE6903">
        <w:rPr>
          <w:lang w:val="en-US"/>
        </w:rPr>
        <w:t>Victims will also be more frequently required to be examined and cross-examined in court, which can re-traumatis</w:t>
      </w:r>
      <w:r w:rsidR="00930FCD">
        <w:rPr>
          <w:lang w:val="en-US"/>
        </w:rPr>
        <w:t>e victims</w:t>
      </w:r>
      <w:r w:rsidR="00DE6903">
        <w:rPr>
          <w:lang w:val="en-US"/>
        </w:rPr>
        <w:t xml:space="preserve">. </w:t>
      </w:r>
      <w:r w:rsidR="00F17A6D">
        <w:rPr>
          <w:lang w:val="en-US"/>
        </w:rPr>
        <w:t>T</w:t>
      </w:r>
      <w:r w:rsidR="00F17A6D" w:rsidRPr="00F17A6D">
        <w:rPr>
          <w:lang w:val="en-US"/>
        </w:rPr>
        <w:t>his</w:t>
      </w:r>
      <w:r w:rsidR="00F17A6D">
        <w:rPr>
          <w:lang w:val="en-US"/>
        </w:rPr>
        <w:t xml:space="preserve"> </w:t>
      </w:r>
      <w:r w:rsidR="00F17A6D" w:rsidRPr="00F17A6D">
        <w:rPr>
          <w:lang w:val="en-US"/>
        </w:rPr>
        <w:t>is at odds with the government’s commitments to support victims of crime.</w:t>
      </w:r>
    </w:p>
    <w:p w14:paraId="10DBAFD8" w14:textId="591B56AE" w:rsidR="00B54CB0" w:rsidRPr="00F60555" w:rsidRDefault="00F60555" w:rsidP="00F60555">
      <w:pPr>
        <w:pStyle w:val="Numberedparagraph"/>
        <w:numPr>
          <w:ilvl w:val="0"/>
          <w:numId w:val="5"/>
        </w:numPr>
        <w:rPr>
          <w:lang w:val="en-US"/>
        </w:rPr>
      </w:pPr>
      <w:r>
        <w:rPr>
          <w:lang w:val="en-US"/>
        </w:rPr>
        <w:t>In summary, t</w:t>
      </w:r>
      <w:r w:rsidR="00B54CB0" w:rsidRPr="00F60555">
        <w:rPr>
          <w:lang w:val="en-US"/>
        </w:rPr>
        <w:t xml:space="preserve">he measures implemented </w:t>
      </w:r>
      <w:r w:rsidR="000D6AD2" w:rsidRPr="00F60555">
        <w:rPr>
          <w:lang w:val="en-US"/>
        </w:rPr>
        <w:t xml:space="preserve">by the Bill: </w:t>
      </w:r>
    </w:p>
    <w:p w14:paraId="11BDEC06" w14:textId="5271994A" w:rsidR="00723C2F" w:rsidRDefault="00B54CB0" w:rsidP="00265466">
      <w:pPr>
        <w:pStyle w:val="Numberedparagraph"/>
        <w:numPr>
          <w:ilvl w:val="1"/>
          <w:numId w:val="16"/>
        </w:numPr>
        <w:rPr>
          <w:lang w:val="en-US"/>
        </w:rPr>
      </w:pPr>
      <w:r w:rsidRPr="00C412B1">
        <w:rPr>
          <w:lang w:val="en-US"/>
        </w:rPr>
        <w:t>severely limit the fundamental rights of some of the most vulnerable children in Queensland in ways that are discriminatory and disproportionate</w:t>
      </w:r>
    </w:p>
    <w:p w14:paraId="6EC42548" w14:textId="59829E3B" w:rsidR="007E4DCE" w:rsidRDefault="007E4DCE" w:rsidP="007E4DCE">
      <w:pPr>
        <w:pStyle w:val="Numberedparagraph"/>
        <w:numPr>
          <w:ilvl w:val="1"/>
          <w:numId w:val="16"/>
        </w:numPr>
        <w:rPr>
          <w:lang w:val="en-US"/>
        </w:rPr>
      </w:pPr>
      <w:r>
        <w:rPr>
          <w:lang w:val="en-US"/>
        </w:rPr>
        <w:t>are counter to the evidence that deterrence through harsher sentences does not work to reduce youth crime and will lead to more crime, not less</w:t>
      </w:r>
    </w:p>
    <w:p w14:paraId="529CAFE6" w14:textId="0F7560AB" w:rsidR="007E4DCE" w:rsidRPr="00284843" w:rsidRDefault="007E4DCE" w:rsidP="00284843">
      <w:pPr>
        <w:pStyle w:val="Numberedparagraph"/>
        <w:numPr>
          <w:ilvl w:val="1"/>
          <w:numId w:val="16"/>
        </w:numPr>
        <w:rPr>
          <w:lang w:val="en-US"/>
        </w:rPr>
      </w:pPr>
      <w:r>
        <w:rPr>
          <w:lang w:val="en-US"/>
        </w:rPr>
        <w:lastRenderedPageBreak/>
        <w:t>are likely to expose more children, as well as staff in youth detention centres and watch houses, to serious harm in an overloaded system which is already at breaking point</w:t>
      </w:r>
    </w:p>
    <w:p w14:paraId="2AB0BBFF" w14:textId="4913962F" w:rsidR="19A54F7D" w:rsidRDefault="19A54F7D" w:rsidP="00265466">
      <w:pPr>
        <w:pStyle w:val="Numberedparagraph"/>
        <w:numPr>
          <w:ilvl w:val="1"/>
          <w:numId w:val="16"/>
        </w:numPr>
        <w:rPr>
          <w:lang w:val="en-US"/>
        </w:rPr>
      </w:pPr>
      <w:r w:rsidRPr="00723C2F">
        <w:rPr>
          <w:lang w:val="en-US"/>
        </w:rPr>
        <w:t xml:space="preserve">are likely to </w:t>
      </w:r>
      <w:r w:rsidR="006D7CDF">
        <w:rPr>
          <w:lang w:val="en-US"/>
        </w:rPr>
        <w:t xml:space="preserve">put significant further pressure on the </w:t>
      </w:r>
      <w:r w:rsidR="006248C3">
        <w:rPr>
          <w:lang w:val="en-US"/>
        </w:rPr>
        <w:t>courts</w:t>
      </w:r>
      <w:r w:rsidR="006D7CDF">
        <w:rPr>
          <w:lang w:val="en-US"/>
        </w:rPr>
        <w:t xml:space="preserve"> – </w:t>
      </w:r>
      <w:r w:rsidR="00975096">
        <w:rPr>
          <w:lang w:val="en-US"/>
        </w:rPr>
        <w:t>leading to more delays for victims of crime</w:t>
      </w:r>
      <w:r w:rsidR="006248C3">
        <w:rPr>
          <w:lang w:val="en-US"/>
        </w:rPr>
        <w:t xml:space="preserve"> </w:t>
      </w:r>
      <w:r w:rsidR="00BC563A">
        <w:rPr>
          <w:lang w:val="en-US"/>
        </w:rPr>
        <w:t xml:space="preserve">and greater potential </w:t>
      </w:r>
      <w:r w:rsidR="00C47E65">
        <w:rPr>
          <w:lang w:val="en-US"/>
        </w:rPr>
        <w:t xml:space="preserve">for </w:t>
      </w:r>
      <w:r w:rsidR="005D3AD7">
        <w:rPr>
          <w:lang w:val="en-US"/>
        </w:rPr>
        <w:t>matters</w:t>
      </w:r>
      <w:r w:rsidR="00C47E65">
        <w:rPr>
          <w:lang w:val="en-US"/>
        </w:rPr>
        <w:t xml:space="preserve"> to be contested</w:t>
      </w:r>
      <w:r w:rsidR="005F689F">
        <w:rPr>
          <w:lang w:val="en-US"/>
        </w:rPr>
        <w:t xml:space="preserve"> through trial</w:t>
      </w:r>
      <w:r w:rsidR="005D3AD7">
        <w:rPr>
          <w:lang w:val="en-US"/>
        </w:rPr>
        <w:t xml:space="preserve"> and on appeal</w:t>
      </w:r>
    </w:p>
    <w:p w14:paraId="1A55DD56" w14:textId="4C237BFB" w:rsidR="007E4DCE" w:rsidRPr="007E4DCE" w:rsidRDefault="007E4DCE" w:rsidP="007E4DCE">
      <w:pPr>
        <w:pStyle w:val="Numberedparagraph"/>
        <w:numPr>
          <w:ilvl w:val="1"/>
          <w:numId w:val="16"/>
        </w:numPr>
        <w:rPr>
          <w:lang w:val="en-US"/>
        </w:rPr>
      </w:pPr>
      <w:r>
        <w:rPr>
          <w:lang w:val="en-US"/>
        </w:rPr>
        <w:t>will combine to frustrate the government’s efforts to implement polices on early intervention, diversion, rehabilitation, and reintegration that do work.</w:t>
      </w:r>
    </w:p>
    <w:p w14:paraId="1BF424AD" w14:textId="49B6D8C7" w:rsidR="00D133EC" w:rsidRDefault="00D133EC" w:rsidP="00D133EC">
      <w:pPr>
        <w:pStyle w:val="Heading1"/>
        <w:rPr>
          <w:lang w:val="en-US"/>
        </w:rPr>
      </w:pPr>
      <w:bookmarkStart w:id="5" w:name="_Toc184118308"/>
      <w:bookmarkStart w:id="6" w:name="_Toc195687391"/>
      <w:r>
        <w:rPr>
          <w:lang w:val="en-US"/>
        </w:rPr>
        <w:t>Recommendations</w:t>
      </w:r>
      <w:bookmarkEnd w:id="5"/>
      <w:bookmarkEnd w:id="6"/>
    </w:p>
    <w:p w14:paraId="247ED257" w14:textId="7041E95D" w:rsidR="005A4BBB" w:rsidRDefault="005F7F6C" w:rsidP="00BB7699">
      <w:pPr>
        <w:pStyle w:val="Numberedparagraph"/>
        <w:numPr>
          <w:ilvl w:val="0"/>
          <w:numId w:val="1"/>
        </w:numPr>
        <w:rPr>
          <w:b/>
          <w:bCs/>
          <w:lang w:val="en-US"/>
        </w:rPr>
      </w:pPr>
      <w:r w:rsidRPr="00510304">
        <w:rPr>
          <w:b/>
          <w:bCs/>
          <w:lang w:val="en-US"/>
        </w:rPr>
        <w:t xml:space="preserve">The </w:t>
      </w:r>
      <w:r w:rsidR="004C7251" w:rsidRPr="00510304">
        <w:rPr>
          <w:b/>
          <w:bCs/>
          <w:lang w:val="en-US"/>
        </w:rPr>
        <w:t xml:space="preserve">Commission </w:t>
      </w:r>
      <w:r w:rsidR="009E14B1">
        <w:rPr>
          <w:b/>
          <w:bCs/>
          <w:lang w:val="en-US"/>
        </w:rPr>
        <w:t>recommends</w:t>
      </w:r>
      <w:r w:rsidR="00014638">
        <w:rPr>
          <w:b/>
          <w:bCs/>
          <w:lang w:val="en-US"/>
        </w:rPr>
        <w:t>:</w:t>
      </w:r>
    </w:p>
    <w:p w14:paraId="3592E0C9" w14:textId="268DA1F5" w:rsidR="00014638" w:rsidRPr="007A6261" w:rsidRDefault="00014638" w:rsidP="00014638">
      <w:pPr>
        <w:pStyle w:val="Numberedparagraph"/>
        <w:numPr>
          <w:ilvl w:val="1"/>
          <w:numId w:val="1"/>
        </w:numPr>
      </w:pPr>
      <w:r>
        <w:t>As the Bill is incompatible</w:t>
      </w:r>
      <w:r w:rsidR="00BB3087">
        <w:t xml:space="preserve"> with human rights</w:t>
      </w:r>
      <w:r>
        <w:t xml:space="preserve">, the </w:t>
      </w:r>
      <w:r w:rsidR="00736B92">
        <w:t>g</w:t>
      </w:r>
      <w:r>
        <w:t>overnment shou</w:t>
      </w:r>
      <w:r w:rsidR="002C641F">
        <w:t>ld</w:t>
      </w:r>
      <w:r>
        <w:t xml:space="preserve"> </w:t>
      </w:r>
      <w:r w:rsidR="00F70228">
        <w:t>make</w:t>
      </w:r>
      <w:r w:rsidR="00821DA7">
        <w:t xml:space="preserve"> a further</w:t>
      </w:r>
      <w:r w:rsidR="002C641F">
        <w:t xml:space="preserve"> </w:t>
      </w:r>
      <w:r>
        <w:t xml:space="preserve">exceptional circumstances statement </w:t>
      </w:r>
      <w:r w:rsidR="00BB3087">
        <w:t xml:space="preserve">as required by section 44 of the Human Rights Act </w:t>
      </w:r>
      <w:r>
        <w:t>(</w:t>
      </w:r>
      <w:r w:rsidRPr="00205FE1">
        <w:rPr>
          <w:b/>
          <w:bCs/>
        </w:rPr>
        <w:t>RECOMMENDATION 1</w:t>
      </w:r>
      <w:r>
        <w:t xml:space="preserve">). </w:t>
      </w:r>
    </w:p>
    <w:p w14:paraId="3B92189E" w14:textId="55A18C19" w:rsidR="00074B87" w:rsidRDefault="00863B82" w:rsidP="00863B82">
      <w:pPr>
        <w:pStyle w:val="Numberedparagraph"/>
        <w:numPr>
          <w:ilvl w:val="1"/>
          <w:numId w:val="1"/>
        </w:numPr>
        <w:rPr>
          <w:rFonts w:eastAsia="Times New Roman" w:cs="Times New Roman"/>
          <w:color w:val="auto"/>
          <w:szCs w:val="22"/>
        </w:rPr>
      </w:pPr>
      <w:r w:rsidRPr="00863B82">
        <w:rPr>
          <w:rFonts w:eastAsia="Times New Roman" w:cs="Times New Roman"/>
          <w:color w:val="auto"/>
          <w:szCs w:val="22"/>
        </w:rPr>
        <w:t xml:space="preserve">The Committee should recommend to </w:t>
      </w:r>
      <w:r w:rsidR="00736B92">
        <w:rPr>
          <w:rFonts w:eastAsia="Times New Roman" w:cs="Times New Roman"/>
          <w:color w:val="auto"/>
          <w:szCs w:val="22"/>
        </w:rPr>
        <w:t>parliament</w:t>
      </w:r>
      <w:r w:rsidRPr="00863B82">
        <w:rPr>
          <w:rFonts w:eastAsia="Times New Roman" w:cs="Times New Roman"/>
          <w:color w:val="auto"/>
          <w:szCs w:val="22"/>
        </w:rPr>
        <w:t xml:space="preserve"> that this Bill not be passed (</w:t>
      </w:r>
      <w:r w:rsidRPr="00863B82">
        <w:rPr>
          <w:rFonts w:eastAsia="Times New Roman" w:cs="Times New Roman"/>
          <w:b/>
          <w:bCs/>
          <w:color w:val="auto"/>
          <w:szCs w:val="22"/>
        </w:rPr>
        <w:t>RECOMMENDATION 2</w:t>
      </w:r>
      <w:r w:rsidRPr="00863B82">
        <w:rPr>
          <w:rFonts w:eastAsia="Times New Roman" w:cs="Times New Roman"/>
          <w:color w:val="auto"/>
          <w:szCs w:val="22"/>
        </w:rPr>
        <w:t xml:space="preserve">). </w:t>
      </w:r>
    </w:p>
    <w:p w14:paraId="6AEC13E3" w14:textId="77777777" w:rsidR="00074B87" w:rsidRDefault="00863B82" w:rsidP="00074B87">
      <w:pPr>
        <w:pStyle w:val="Numberedparagraph"/>
        <w:numPr>
          <w:ilvl w:val="2"/>
          <w:numId w:val="1"/>
        </w:numPr>
        <w:rPr>
          <w:rFonts w:eastAsia="Times New Roman" w:cs="Times New Roman"/>
          <w:color w:val="auto"/>
          <w:szCs w:val="22"/>
        </w:rPr>
      </w:pPr>
      <w:r w:rsidRPr="00863B82">
        <w:rPr>
          <w:rFonts w:eastAsia="Times New Roman" w:cs="Times New Roman"/>
          <w:color w:val="auto"/>
          <w:szCs w:val="22"/>
        </w:rPr>
        <w:t>Further, that the relevant sections of the MQS Act which are incompatible with the Human Rights Act be repealed (</w:t>
      </w:r>
      <w:r w:rsidRPr="00863B82">
        <w:rPr>
          <w:rFonts w:eastAsia="Times New Roman" w:cs="Times New Roman"/>
          <w:b/>
          <w:bCs/>
          <w:color w:val="auto"/>
          <w:szCs w:val="22"/>
        </w:rPr>
        <w:t>RECOMMENDATION 2A</w:t>
      </w:r>
      <w:r w:rsidRPr="00863B82">
        <w:rPr>
          <w:rFonts w:eastAsia="Times New Roman" w:cs="Times New Roman"/>
          <w:color w:val="auto"/>
          <w:szCs w:val="22"/>
        </w:rPr>
        <w:t xml:space="preserve">). </w:t>
      </w:r>
    </w:p>
    <w:p w14:paraId="50A6C6ED" w14:textId="20CB3D7F" w:rsidR="00863B82" w:rsidRDefault="00863B82" w:rsidP="004712AE">
      <w:pPr>
        <w:pStyle w:val="Numberedparagraph"/>
        <w:numPr>
          <w:ilvl w:val="2"/>
          <w:numId w:val="1"/>
        </w:numPr>
        <w:rPr>
          <w:rFonts w:eastAsia="Times New Roman" w:cs="Times New Roman"/>
          <w:color w:val="auto"/>
          <w:szCs w:val="22"/>
        </w:rPr>
      </w:pPr>
      <w:r w:rsidRPr="00863B82">
        <w:rPr>
          <w:rFonts w:eastAsia="Times New Roman" w:cs="Times New Roman"/>
          <w:color w:val="auto"/>
          <w:szCs w:val="22"/>
        </w:rPr>
        <w:t>Alternatively, at a minimum, this Bill should be delayed until the impact of the MQS Act is independently reviewed within the broader context of youth justice reforms since 2020 (</w:t>
      </w:r>
      <w:r w:rsidRPr="00863B82">
        <w:rPr>
          <w:rFonts w:eastAsia="Times New Roman" w:cs="Times New Roman"/>
          <w:b/>
          <w:bCs/>
          <w:color w:val="auto"/>
          <w:szCs w:val="22"/>
        </w:rPr>
        <w:t>RECOMMENDATION 2B</w:t>
      </w:r>
      <w:r w:rsidRPr="00863B82">
        <w:rPr>
          <w:rFonts w:eastAsia="Times New Roman" w:cs="Times New Roman"/>
          <w:color w:val="auto"/>
          <w:szCs w:val="22"/>
        </w:rPr>
        <w:t>).</w:t>
      </w:r>
    </w:p>
    <w:p w14:paraId="5103BE45" w14:textId="646E8846" w:rsidR="0000132A" w:rsidRPr="0000132A" w:rsidRDefault="0000132A" w:rsidP="0000132A">
      <w:pPr>
        <w:pStyle w:val="Numberedparagraph"/>
        <w:numPr>
          <w:ilvl w:val="2"/>
          <w:numId w:val="1"/>
        </w:numPr>
        <w:rPr>
          <w:rFonts w:eastAsia="Times New Roman" w:cs="Times New Roman"/>
          <w:color w:val="auto"/>
          <w:szCs w:val="22"/>
        </w:rPr>
      </w:pPr>
      <w:r w:rsidRPr="00863B82">
        <w:rPr>
          <w:rFonts w:eastAsia="Times New Roman" w:cs="Times New Roman"/>
          <w:color w:val="auto"/>
          <w:szCs w:val="22"/>
        </w:rPr>
        <w:t xml:space="preserve">Government </w:t>
      </w:r>
      <w:r>
        <w:rPr>
          <w:rFonts w:eastAsia="Times New Roman" w:cs="Times New Roman"/>
          <w:color w:val="auto"/>
          <w:szCs w:val="22"/>
        </w:rPr>
        <w:t>should engage</w:t>
      </w:r>
      <w:r w:rsidRPr="00863B82">
        <w:rPr>
          <w:rFonts w:eastAsia="Times New Roman" w:cs="Times New Roman"/>
          <w:color w:val="auto"/>
          <w:szCs w:val="22"/>
        </w:rPr>
        <w:t xml:space="preserve"> </w:t>
      </w:r>
      <w:r>
        <w:rPr>
          <w:rFonts w:eastAsia="Times New Roman" w:cs="Times New Roman"/>
          <w:color w:val="auto"/>
          <w:szCs w:val="22"/>
        </w:rPr>
        <w:t>the Queensland Aboriginal and Torres Strait Islander Child Protection Peak (</w:t>
      </w:r>
      <w:r w:rsidRPr="004712AE">
        <w:rPr>
          <w:rFonts w:eastAsia="Times New Roman" w:cs="Times New Roman"/>
          <w:b/>
          <w:color w:val="auto"/>
          <w:szCs w:val="22"/>
        </w:rPr>
        <w:t>QATSICPP</w:t>
      </w:r>
      <w:r>
        <w:rPr>
          <w:rFonts w:eastAsia="Times New Roman" w:cs="Times New Roman"/>
          <w:color w:val="auto"/>
          <w:szCs w:val="22"/>
        </w:rPr>
        <w:t>) and</w:t>
      </w:r>
      <w:r w:rsidRPr="00863B82">
        <w:rPr>
          <w:rFonts w:eastAsia="Times New Roman" w:cs="Times New Roman"/>
          <w:color w:val="auto"/>
          <w:szCs w:val="22"/>
        </w:rPr>
        <w:t xml:space="preserve"> relevant community led organisation and peak bodies for disability services to assist to conduct the independent review of the MQS Act (</w:t>
      </w:r>
      <w:r w:rsidRPr="00863B82">
        <w:rPr>
          <w:rFonts w:eastAsia="Times New Roman" w:cs="Times New Roman"/>
          <w:b/>
          <w:bCs/>
          <w:color w:val="auto"/>
          <w:szCs w:val="22"/>
        </w:rPr>
        <w:t xml:space="preserve">RECOMMENDATION </w:t>
      </w:r>
      <w:r>
        <w:rPr>
          <w:rFonts w:eastAsia="Times New Roman" w:cs="Times New Roman"/>
          <w:b/>
          <w:bCs/>
          <w:color w:val="auto"/>
          <w:szCs w:val="22"/>
        </w:rPr>
        <w:t>2C</w:t>
      </w:r>
      <w:r w:rsidRPr="00863B82">
        <w:rPr>
          <w:rFonts w:eastAsia="Times New Roman" w:cs="Times New Roman"/>
          <w:color w:val="auto"/>
          <w:szCs w:val="22"/>
        </w:rPr>
        <w:t>).</w:t>
      </w:r>
    </w:p>
    <w:p w14:paraId="292A5F58" w14:textId="144F1768" w:rsidR="00863B82" w:rsidRPr="00863B82" w:rsidRDefault="00E66260" w:rsidP="00863B82">
      <w:pPr>
        <w:pStyle w:val="Numberedparagraph"/>
        <w:numPr>
          <w:ilvl w:val="1"/>
          <w:numId w:val="1"/>
        </w:numPr>
        <w:rPr>
          <w:rFonts w:eastAsia="Times New Roman" w:cs="Times New Roman"/>
          <w:color w:val="auto"/>
          <w:szCs w:val="22"/>
        </w:rPr>
      </w:pPr>
      <w:r>
        <w:rPr>
          <w:rFonts w:eastAsia="Times New Roman" w:cs="Times New Roman"/>
          <w:color w:val="auto"/>
          <w:szCs w:val="22"/>
          <w:lang w:val="en-US"/>
        </w:rPr>
        <w:t>If the Bill proceeds</w:t>
      </w:r>
      <w:r w:rsidR="00863B82" w:rsidRPr="00863B82">
        <w:rPr>
          <w:rFonts w:eastAsia="Times New Roman" w:cs="Times New Roman"/>
          <w:color w:val="auto"/>
          <w:szCs w:val="22"/>
          <w:lang w:val="en-US"/>
        </w:rPr>
        <w:t xml:space="preserve">, the Bill and the MQS Act </w:t>
      </w:r>
      <w:r w:rsidR="0044764E">
        <w:rPr>
          <w:rFonts w:eastAsia="Times New Roman" w:cs="Times New Roman"/>
          <w:color w:val="auto"/>
          <w:szCs w:val="22"/>
          <w:lang w:val="en-US"/>
        </w:rPr>
        <w:t xml:space="preserve">should be amended </w:t>
      </w:r>
      <w:r w:rsidR="00863B82" w:rsidRPr="00863B82">
        <w:rPr>
          <w:rFonts w:eastAsia="Times New Roman" w:cs="Times New Roman"/>
          <w:color w:val="auto"/>
          <w:szCs w:val="22"/>
          <w:lang w:val="en-US"/>
        </w:rPr>
        <w:t xml:space="preserve">to include an exception for offences that are committed without violence and to ensure the </w:t>
      </w:r>
      <w:r w:rsidR="00863B82" w:rsidRPr="00863B82">
        <w:rPr>
          <w:rFonts w:eastAsia="Times New Roman" w:cs="Times New Roman"/>
          <w:color w:val="auto"/>
          <w:szCs w:val="22"/>
        </w:rPr>
        <w:t xml:space="preserve">principles of detention as a last resort and preference for non-custodial orders </w:t>
      </w:r>
      <w:r w:rsidR="009918B8">
        <w:rPr>
          <w:rFonts w:eastAsia="Times New Roman" w:cs="Times New Roman"/>
          <w:color w:val="auto"/>
          <w:szCs w:val="22"/>
        </w:rPr>
        <w:t>are</w:t>
      </w:r>
      <w:r w:rsidR="00863B82" w:rsidRPr="00863B82">
        <w:rPr>
          <w:rFonts w:eastAsia="Times New Roman" w:cs="Times New Roman"/>
          <w:color w:val="auto"/>
          <w:szCs w:val="22"/>
        </w:rPr>
        <w:t xml:space="preserve"> retained in relation to non-violent offences (</w:t>
      </w:r>
      <w:r w:rsidR="00863B82" w:rsidRPr="00863B82">
        <w:rPr>
          <w:rFonts w:eastAsia="Times New Roman" w:cs="Times New Roman"/>
          <w:b/>
          <w:bCs/>
          <w:color w:val="auto"/>
          <w:szCs w:val="22"/>
        </w:rPr>
        <w:t>RECOMMENDATION 3</w:t>
      </w:r>
      <w:r w:rsidR="00863B82" w:rsidRPr="00863B82">
        <w:rPr>
          <w:rFonts w:eastAsia="Times New Roman" w:cs="Times New Roman"/>
          <w:color w:val="auto"/>
          <w:szCs w:val="22"/>
        </w:rPr>
        <w:t>).</w:t>
      </w:r>
    </w:p>
    <w:p w14:paraId="50660A00" w14:textId="5AE49F7A" w:rsidR="00465BB6" w:rsidRPr="004712AE" w:rsidRDefault="00465BB6" w:rsidP="004712AE">
      <w:pPr>
        <w:pStyle w:val="Numberedparagraph"/>
        <w:numPr>
          <w:ilvl w:val="2"/>
          <w:numId w:val="1"/>
        </w:numPr>
        <w:rPr>
          <w:rFonts w:eastAsia="Times New Roman" w:cs="Times New Roman"/>
        </w:rPr>
      </w:pPr>
      <w:r>
        <w:rPr>
          <w:rFonts w:eastAsia="Times New Roman" w:cs="Times New Roman"/>
        </w:rPr>
        <w:t xml:space="preserve">Additionally, the Expert Legal Panel should release its Terms of Reference and a report on the consultation undertaken by the Panel to facilitate the community to better understand </w:t>
      </w:r>
      <w:r w:rsidR="00FA7C33">
        <w:rPr>
          <w:rFonts w:eastAsia="Times New Roman" w:cs="Times New Roman"/>
        </w:rPr>
        <w:t xml:space="preserve">and assess </w:t>
      </w:r>
      <w:r>
        <w:rPr>
          <w:rFonts w:eastAsia="Times New Roman" w:cs="Times New Roman"/>
        </w:rPr>
        <w:t>the reasoning for the inclusion of the additional 20 offences (</w:t>
      </w:r>
      <w:r w:rsidRPr="00E53BD6">
        <w:rPr>
          <w:rFonts w:eastAsia="Times New Roman" w:cs="Times New Roman"/>
          <w:b/>
          <w:bCs/>
        </w:rPr>
        <w:t>RECOMMENDATION 3</w:t>
      </w:r>
      <w:r w:rsidR="009F31F3">
        <w:rPr>
          <w:rFonts w:eastAsia="Times New Roman" w:cs="Times New Roman"/>
          <w:b/>
          <w:bCs/>
        </w:rPr>
        <w:t>A</w:t>
      </w:r>
      <w:r>
        <w:rPr>
          <w:rFonts w:eastAsia="Times New Roman" w:cs="Times New Roman"/>
        </w:rPr>
        <w:t xml:space="preserve">). </w:t>
      </w:r>
    </w:p>
    <w:p w14:paraId="5998865D" w14:textId="77130312" w:rsidR="00863B82" w:rsidRPr="00863B82" w:rsidRDefault="009918B8" w:rsidP="00863B82">
      <w:pPr>
        <w:pStyle w:val="Numberedparagraph"/>
        <w:numPr>
          <w:ilvl w:val="1"/>
          <w:numId w:val="1"/>
        </w:numPr>
        <w:rPr>
          <w:rFonts w:eastAsia="Times New Roman" w:cs="Times New Roman"/>
          <w:color w:val="auto"/>
          <w:szCs w:val="22"/>
        </w:rPr>
      </w:pPr>
      <w:r>
        <w:rPr>
          <w:rFonts w:eastAsia="Times New Roman" w:cs="Times New Roman"/>
          <w:color w:val="auto"/>
          <w:szCs w:val="22"/>
          <w:lang w:val="en-US"/>
        </w:rPr>
        <w:lastRenderedPageBreak/>
        <w:t>If the Bill proceeds</w:t>
      </w:r>
      <w:r w:rsidR="00863B82">
        <w:rPr>
          <w:rFonts w:eastAsia="Times New Roman" w:cs="Times New Roman"/>
          <w:color w:val="auto"/>
          <w:szCs w:val="22"/>
          <w:lang w:val="en-US"/>
        </w:rPr>
        <w:t>,</w:t>
      </w:r>
      <w:r w:rsidR="00863B82" w:rsidRPr="00863B82">
        <w:rPr>
          <w:rFonts w:eastAsia="Times New Roman" w:cs="Times New Roman"/>
          <w:color w:val="auto"/>
          <w:szCs w:val="22"/>
        </w:rPr>
        <w:t xml:space="preserve"> the Bill </w:t>
      </w:r>
      <w:r w:rsidR="0044764E">
        <w:rPr>
          <w:rFonts w:eastAsia="Times New Roman" w:cs="Times New Roman"/>
          <w:color w:val="auto"/>
          <w:szCs w:val="22"/>
        </w:rPr>
        <w:t xml:space="preserve">and MQS Act </w:t>
      </w:r>
      <w:r w:rsidR="00863B82" w:rsidRPr="00863B82">
        <w:rPr>
          <w:rFonts w:eastAsia="Times New Roman" w:cs="Times New Roman"/>
          <w:color w:val="auto"/>
          <w:szCs w:val="22"/>
        </w:rPr>
        <w:t>should be amended so that the increased maximum and mandatory penalties apply only to children aged 14 years and above (</w:t>
      </w:r>
      <w:r w:rsidR="00863B82" w:rsidRPr="00863B82">
        <w:rPr>
          <w:rFonts w:eastAsia="Times New Roman" w:cs="Times New Roman"/>
          <w:b/>
          <w:bCs/>
          <w:color w:val="auto"/>
          <w:szCs w:val="22"/>
        </w:rPr>
        <w:t>RECOMMENDATION 4</w:t>
      </w:r>
      <w:r w:rsidR="00863B82" w:rsidRPr="00863B82">
        <w:rPr>
          <w:rFonts w:eastAsia="Times New Roman" w:cs="Times New Roman"/>
          <w:color w:val="auto"/>
          <w:szCs w:val="22"/>
        </w:rPr>
        <w:t>).</w:t>
      </w:r>
    </w:p>
    <w:p w14:paraId="40B33BD8" w14:textId="1FB5BEE9" w:rsidR="00074B87" w:rsidRDefault="004E4093" w:rsidP="00863B82">
      <w:pPr>
        <w:pStyle w:val="Numberedparagraph"/>
        <w:numPr>
          <w:ilvl w:val="1"/>
          <w:numId w:val="1"/>
        </w:numPr>
        <w:rPr>
          <w:rFonts w:eastAsia="Times New Roman" w:cs="Times New Roman"/>
          <w:color w:val="auto"/>
          <w:szCs w:val="22"/>
          <w:lang w:val="en-US"/>
        </w:rPr>
      </w:pPr>
      <w:r>
        <w:rPr>
          <w:rFonts w:eastAsia="Times New Roman" w:cs="Times New Roman"/>
          <w:color w:val="auto"/>
          <w:szCs w:val="22"/>
          <w:lang w:val="en-US"/>
        </w:rPr>
        <w:t>As recommended by the</w:t>
      </w:r>
      <w:r w:rsidR="004D2C38">
        <w:rPr>
          <w:rFonts w:eastAsia="Times New Roman" w:cs="Times New Roman"/>
          <w:color w:val="auto"/>
          <w:szCs w:val="22"/>
          <w:lang w:val="en-US"/>
        </w:rPr>
        <w:t xml:space="preserve"> Queensland Sentencing Advisory Council (</w:t>
      </w:r>
      <w:r w:rsidR="00863B82" w:rsidRPr="004712AE">
        <w:rPr>
          <w:rFonts w:eastAsia="Times New Roman" w:cs="Times New Roman"/>
          <w:b/>
          <w:bCs/>
          <w:color w:val="auto"/>
          <w:szCs w:val="22"/>
          <w:lang w:val="en-US"/>
        </w:rPr>
        <w:t>QSAC</w:t>
      </w:r>
      <w:r w:rsidR="004D2C38">
        <w:rPr>
          <w:rFonts w:eastAsia="Times New Roman" w:cs="Times New Roman"/>
          <w:color w:val="auto"/>
          <w:szCs w:val="22"/>
          <w:lang w:val="en-US"/>
        </w:rPr>
        <w:t>)</w:t>
      </w:r>
      <w:r w:rsidR="008C480A">
        <w:rPr>
          <w:rFonts w:eastAsia="Times New Roman" w:cs="Times New Roman"/>
          <w:color w:val="auto"/>
          <w:szCs w:val="22"/>
          <w:lang w:val="en-US"/>
        </w:rPr>
        <w:t>,</w:t>
      </w:r>
      <w:r w:rsidR="008C480A" w:rsidRPr="00863B82">
        <w:rPr>
          <w:rFonts w:eastAsia="Times New Roman" w:cs="Times New Roman"/>
          <w:color w:val="auto"/>
          <w:szCs w:val="22"/>
          <w:vertAlign w:val="superscript"/>
          <w:lang w:val="en-US"/>
        </w:rPr>
        <w:footnoteReference w:id="9"/>
      </w:r>
      <w:r w:rsidR="00863B82" w:rsidRPr="00863B82">
        <w:rPr>
          <w:rFonts w:eastAsia="Times New Roman" w:cs="Times New Roman"/>
          <w:color w:val="auto"/>
          <w:szCs w:val="22"/>
          <w:lang w:val="en-US"/>
        </w:rPr>
        <w:t xml:space="preserve"> </w:t>
      </w:r>
      <w:r>
        <w:rPr>
          <w:rFonts w:eastAsia="Times New Roman" w:cs="Times New Roman"/>
          <w:color w:val="auto"/>
          <w:szCs w:val="22"/>
          <w:lang w:val="en-US"/>
        </w:rPr>
        <w:t xml:space="preserve">the Government should </w:t>
      </w:r>
      <w:r w:rsidR="007733DA">
        <w:rPr>
          <w:rFonts w:eastAsia="Times New Roman" w:cs="Times New Roman"/>
          <w:color w:val="auto"/>
          <w:szCs w:val="22"/>
          <w:lang w:val="en-US"/>
        </w:rPr>
        <w:t xml:space="preserve">support </w:t>
      </w:r>
      <w:r w:rsidR="00AA4D71">
        <w:rPr>
          <w:rFonts w:eastAsia="Times New Roman" w:cs="Times New Roman"/>
          <w:color w:val="auto"/>
          <w:szCs w:val="22"/>
          <w:lang w:val="en-US"/>
        </w:rPr>
        <w:t xml:space="preserve">community confidence in the criminal justice system </w:t>
      </w:r>
      <w:r w:rsidR="00863B82" w:rsidRPr="00863B82">
        <w:rPr>
          <w:rFonts w:eastAsia="Times New Roman" w:cs="Times New Roman"/>
          <w:color w:val="auto"/>
          <w:szCs w:val="22"/>
          <w:lang w:val="en-US"/>
        </w:rPr>
        <w:t>by</w:t>
      </w:r>
      <w:r w:rsidR="007455F9">
        <w:rPr>
          <w:rFonts w:eastAsia="Times New Roman" w:cs="Times New Roman"/>
          <w:color w:val="auto"/>
          <w:szCs w:val="22"/>
          <w:lang w:val="en-US"/>
        </w:rPr>
        <w:t xml:space="preserve"> </w:t>
      </w:r>
      <w:r w:rsidR="00C4171D">
        <w:rPr>
          <w:rFonts w:eastAsia="Times New Roman" w:cs="Times New Roman"/>
          <w:color w:val="auto"/>
          <w:szCs w:val="22"/>
          <w:lang w:val="en-US"/>
        </w:rPr>
        <w:t xml:space="preserve">undertaking targeted education and awareness strategies tailored to address knowledge gaps, </w:t>
      </w:r>
      <w:r w:rsidR="00863B82" w:rsidRPr="00863B82">
        <w:rPr>
          <w:rFonts w:eastAsia="Times New Roman" w:cs="Times New Roman"/>
          <w:color w:val="auto"/>
          <w:szCs w:val="22"/>
          <w:lang w:val="en-US"/>
        </w:rPr>
        <w:t>developing products that translate complex legal sentencing terms into plain English</w:t>
      </w:r>
      <w:r w:rsidR="00C4171D">
        <w:rPr>
          <w:rFonts w:eastAsia="Times New Roman" w:cs="Times New Roman"/>
          <w:color w:val="auto"/>
          <w:szCs w:val="22"/>
          <w:lang w:val="en-US"/>
        </w:rPr>
        <w:t>,</w:t>
      </w:r>
      <w:r w:rsidR="00863B82" w:rsidRPr="00863B82">
        <w:rPr>
          <w:rFonts w:eastAsia="Times New Roman" w:cs="Times New Roman"/>
          <w:color w:val="auto"/>
          <w:szCs w:val="22"/>
          <w:lang w:val="en-US"/>
        </w:rPr>
        <w:t xml:space="preserve"> and publish</w:t>
      </w:r>
      <w:r w:rsidR="007178FB">
        <w:rPr>
          <w:rFonts w:eastAsia="Times New Roman" w:cs="Times New Roman"/>
          <w:color w:val="auto"/>
          <w:szCs w:val="22"/>
          <w:lang w:val="en-US"/>
        </w:rPr>
        <w:t>ing</w:t>
      </w:r>
      <w:r w:rsidR="00863B82" w:rsidRPr="00863B82">
        <w:rPr>
          <w:rFonts w:eastAsia="Times New Roman" w:cs="Times New Roman"/>
          <w:color w:val="auto"/>
          <w:szCs w:val="22"/>
          <w:lang w:val="en-US"/>
        </w:rPr>
        <w:t xml:space="preserve"> sentencing statistics in a clear transparent manner (</w:t>
      </w:r>
      <w:r w:rsidR="00863B82" w:rsidRPr="00863B82">
        <w:rPr>
          <w:rFonts w:eastAsia="Times New Roman" w:cs="Times New Roman"/>
          <w:b/>
          <w:bCs/>
          <w:color w:val="auto"/>
          <w:szCs w:val="22"/>
          <w:lang w:val="en-US"/>
        </w:rPr>
        <w:t xml:space="preserve">RECOMMENDATION </w:t>
      </w:r>
      <w:r w:rsidR="0000132A">
        <w:rPr>
          <w:rFonts w:eastAsia="Times New Roman" w:cs="Times New Roman"/>
          <w:b/>
          <w:bCs/>
          <w:color w:val="auto"/>
          <w:szCs w:val="22"/>
          <w:lang w:val="en-US"/>
        </w:rPr>
        <w:t>5</w:t>
      </w:r>
      <w:r w:rsidR="00863B82" w:rsidRPr="00863B82">
        <w:rPr>
          <w:rFonts w:eastAsia="Times New Roman" w:cs="Times New Roman"/>
          <w:color w:val="auto"/>
          <w:szCs w:val="22"/>
          <w:lang w:val="en-US"/>
        </w:rPr>
        <w:t xml:space="preserve">). </w:t>
      </w:r>
    </w:p>
    <w:p w14:paraId="6B23C234" w14:textId="038CC890" w:rsidR="00863B82" w:rsidRPr="00863B82" w:rsidRDefault="00863B82" w:rsidP="004712AE">
      <w:pPr>
        <w:pStyle w:val="Numberedparagraph"/>
        <w:numPr>
          <w:ilvl w:val="2"/>
          <w:numId w:val="1"/>
        </w:numPr>
        <w:rPr>
          <w:rFonts w:eastAsia="Times New Roman" w:cs="Times New Roman"/>
          <w:color w:val="auto"/>
          <w:szCs w:val="22"/>
          <w:lang w:val="en-US"/>
        </w:rPr>
      </w:pPr>
      <w:r w:rsidRPr="00863B82">
        <w:rPr>
          <w:rFonts w:eastAsia="Times New Roman" w:cs="Times New Roman"/>
          <w:color w:val="auto"/>
          <w:szCs w:val="22"/>
          <w:lang w:val="en-US"/>
        </w:rPr>
        <w:t xml:space="preserve">QSAC should be resourced to do </w:t>
      </w:r>
      <w:r w:rsidR="009E053F">
        <w:rPr>
          <w:rFonts w:eastAsia="Times New Roman" w:cs="Times New Roman"/>
          <w:color w:val="auto"/>
          <w:szCs w:val="22"/>
          <w:lang w:val="en-US"/>
        </w:rPr>
        <w:t xml:space="preserve">this work </w:t>
      </w:r>
      <w:r w:rsidRPr="00863B82">
        <w:rPr>
          <w:rFonts w:eastAsia="Times New Roman" w:cs="Times New Roman"/>
          <w:color w:val="auto"/>
          <w:szCs w:val="22"/>
          <w:lang w:val="en-US"/>
        </w:rPr>
        <w:t>(</w:t>
      </w:r>
      <w:r w:rsidRPr="00863B82">
        <w:rPr>
          <w:rFonts w:eastAsia="Times New Roman" w:cs="Times New Roman"/>
          <w:b/>
          <w:bCs/>
          <w:color w:val="auto"/>
          <w:szCs w:val="22"/>
          <w:lang w:val="en-US"/>
        </w:rPr>
        <w:t xml:space="preserve">RECOMMENDATION </w:t>
      </w:r>
      <w:r w:rsidR="0000132A">
        <w:rPr>
          <w:rFonts w:eastAsia="Times New Roman" w:cs="Times New Roman"/>
          <w:b/>
          <w:bCs/>
          <w:color w:val="auto"/>
          <w:szCs w:val="22"/>
          <w:lang w:val="en-US"/>
        </w:rPr>
        <w:t>5</w:t>
      </w:r>
      <w:r w:rsidRPr="00863B82">
        <w:rPr>
          <w:rFonts w:eastAsia="Times New Roman" w:cs="Times New Roman"/>
          <w:b/>
          <w:bCs/>
          <w:color w:val="auto"/>
          <w:szCs w:val="22"/>
          <w:lang w:val="en-US"/>
        </w:rPr>
        <w:t>A</w:t>
      </w:r>
      <w:r w:rsidRPr="00863B82">
        <w:rPr>
          <w:rFonts w:eastAsia="Times New Roman" w:cs="Times New Roman"/>
          <w:color w:val="auto"/>
          <w:szCs w:val="22"/>
          <w:lang w:val="en-US"/>
        </w:rPr>
        <w:t xml:space="preserve">). </w:t>
      </w:r>
    </w:p>
    <w:p w14:paraId="55DE32F6" w14:textId="6C9DEB6C" w:rsidR="00863B82" w:rsidRPr="00863B82" w:rsidRDefault="00863B82" w:rsidP="00863B82">
      <w:pPr>
        <w:pStyle w:val="Numberedparagraph"/>
        <w:numPr>
          <w:ilvl w:val="1"/>
          <w:numId w:val="1"/>
        </w:numPr>
        <w:rPr>
          <w:rFonts w:eastAsia="Times New Roman" w:cs="Times New Roman"/>
          <w:color w:val="auto"/>
          <w:szCs w:val="22"/>
          <w:lang w:val="en-US"/>
        </w:rPr>
      </w:pPr>
      <w:r w:rsidRPr="00863B82">
        <w:rPr>
          <w:rFonts w:eastAsia="Times New Roman" w:cs="Times New Roman"/>
          <w:color w:val="auto"/>
          <w:szCs w:val="22"/>
          <w:lang w:val="en-US"/>
        </w:rPr>
        <w:t>The</w:t>
      </w:r>
      <w:r w:rsidRPr="00863B82">
        <w:rPr>
          <w:rFonts w:eastAsia="Times New Roman" w:cs="Times New Roman"/>
          <w:color w:val="auto"/>
          <w:szCs w:val="22"/>
        </w:rPr>
        <w:t xml:space="preserve"> role and resourcing of the </w:t>
      </w:r>
      <w:r w:rsidR="001569EF">
        <w:rPr>
          <w:rFonts w:eastAsia="Times New Roman" w:cs="Times New Roman"/>
          <w:color w:val="auto"/>
          <w:szCs w:val="22"/>
        </w:rPr>
        <w:t>Queensland Government Statisticians Office (</w:t>
      </w:r>
      <w:r w:rsidRPr="001569EF">
        <w:rPr>
          <w:rFonts w:eastAsia="Times New Roman" w:cs="Times New Roman"/>
          <w:b/>
          <w:color w:val="auto"/>
          <w:szCs w:val="22"/>
        </w:rPr>
        <w:t>QGSO</w:t>
      </w:r>
      <w:r w:rsidR="001569EF">
        <w:rPr>
          <w:rFonts w:eastAsia="Times New Roman" w:cs="Times New Roman"/>
          <w:color w:val="auto"/>
          <w:szCs w:val="22"/>
        </w:rPr>
        <w:t>)</w:t>
      </w:r>
      <w:r w:rsidRPr="00863B82">
        <w:rPr>
          <w:rFonts w:eastAsia="Times New Roman" w:cs="Times New Roman"/>
          <w:color w:val="auto"/>
          <w:szCs w:val="22"/>
        </w:rPr>
        <w:t xml:space="preserve"> </w:t>
      </w:r>
      <w:r w:rsidR="00E90816">
        <w:rPr>
          <w:rFonts w:eastAsia="Times New Roman" w:cs="Times New Roman"/>
          <w:color w:val="auto"/>
          <w:szCs w:val="22"/>
        </w:rPr>
        <w:t>should be expanded</w:t>
      </w:r>
      <w:r w:rsidR="001569EF">
        <w:rPr>
          <w:rFonts w:eastAsia="Times New Roman" w:cs="Times New Roman"/>
          <w:color w:val="auto"/>
          <w:szCs w:val="22"/>
        </w:rPr>
        <w:t xml:space="preserve"> </w:t>
      </w:r>
      <w:r w:rsidRPr="00863B82">
        <w:rPr>
          <w:rFonts w:eastAsia="Times New Roman" w:cs="Times New Roman"/>
          <w:color w:val="auto"/>
          <w:szCs w:val="22"/>
        </w:rPr>
        <w:t>to allow the office to undertake public communication and education activities to improve the community’s understanding of the rates and incidence of youth crime. (</w:t>
      </w:r>
      <w:r w:rsidRPr="00863B82">
        <w:rPr>
          <w:rFonts w:eastAsia="Times New Roman" w:cs="Times New Roman"/>
          <w:b/>
          <w:bCs/>
          <w:color w:val="auto"/>
          <w:szCs w:val="22"/>
        </w:rPr>
        <w:t xml:space="preserve">RECOMMENDATION </w:t>
      </w:r>
      <w:r w:rsidR="0000132A">
        <w:rPr>
          <w:rFonts w:eastAsia="Times New Roman" w:cs="Times New Roman"/>
          <w:b/>
          <w:bCs/>
          <w:color w:val="auto"/>
          <w:szCs w:val="22"/>
        </w:rPr>
        <w:t>6</w:t>
      </w:r>
      <w:r w:rsidRPr="00863B82">
        <w:rPr>
          <w:rFonts w:eastAsia="Times New Roman" w:cs="Times New Roman"/>
          <w:color w:val="auto"/>
          <w:szCs w:val="22"/>
        </w:rPr>
        <w:t>).</w:t>
      </w:r>
      <w:r w:rsidRPr="00863B82">
        <w:rPr>
          <w:rFonts w:eastAsia="Times New Roman" w:cs="Times New Roman"/>
          <w:color w:val="auto"/>
          <w:szCs w:val="22"/>
          <w:vertAlign w:val="superscript"/>
        </w:rPr>
        <w:footnoteReference w:id="10"/>
      </w:r>
    </w:p>
    <w:p w14:paraId="4855DAC3" w14:textId="7A87CEF4" w:rsidR="00863B82" w:rsidRPr="00863B82" w:rsidRDefault="00863B82" w:rsidP="00863B82">
      <w:pPr>
        <w:pStyle w:val="Numberedparagraph"/>
        <w:numPr>
          <w:ilvl w:val="1"/>
          <w:numId w:val="1"/>
        </w:numPr>
        <w:rPr>
          <w:rFonts w:eastAsia="Times New Roman" w:cs="Times New Roman"/>
          <w:color w:val="auto"/>
          <w:szCs w:val="22"/>
          <w:lang w:val="en-US"/>
        </w:rPr>
      </w:pPr>
      <w:r w:rsidRPr="00863B82">
        <w:rPr>
          <w:rFonts w:eastAsia="Times New Roman" w:cs="Times New Roman"/>
          <w:color w:val="auto"/>
          <w:szCs w:val="22"/>
        </w:rPr>
        <w:t xml:space="preserve">The </w:t>
      </w:r>
      <w:r w:rsidR="00736B92">
        <w:rPr>
          <w:rFonts w:eastAsia="Times New Roman" w:cs="Times New Roman"/>
          <w:color w:val="auto"/>
          <w:szCs w:val="22"/>
        </w:rPr>
        <w:t>g</w:t>
      </w:r>
      <w:r w:rsidRPr="00863B82">
        <w:rPr>
          <w:rFonts w:eastAsia="Times New Roman" w:cs="Times New Roman"/>
          <w:color w:val="auto"/>
          <w:szCs w:val="22"/>
        </w:rPr>
        <w:t>overnment should also take a leadership role in educating the community about the rate and incidence of youth crime, why it happens, and what works to reduce youth crime (</w:t>
      </w:r>
      <w:r w:rsidRPr="00863B82">
        <w:rPr>
          <w:rFonts w:eastAsia="Times New Roman" w:cs="Times New Roman"/>
          <w:b/>
          <w:bCs/>
          <w:color w:val="auto"/>
          <w:szCs w:val="22"/>
        </w:rPr>
        <w:t xml:space="preserve">RECOMMENDATION </w:t>
      </w:r>
      <w:r w:rsidR="0000132A">
        <w:rPr>
          <w:rFonts w:eastAsia="Times New Roman" w:cs="Times New Roman"/>
          <w:b/>
          <w:bCs/>
          <w:color w:val="auto"/>
          <w:szCs w:val="22"/>
        </w:rPr>
        <w:t>7</w:t>
      </w:r>
      <w:r w:rsidRPr="00863B82">
        <w:rPr>
          <w:rFonts w:eastAsia="Times New Roman" w:cs="Times New Roman"/>
          <w:color w:val="auto"/>
          <w:szCs w:val="22"/>
        </w:rPr>
        <w:t xml:space="preserve">). </w:t>
      </w:r>
    </w:p>
    <w:p w14:paraId="106EC0C3" w14:textId="77777777" w:rsidR="00F21B3F" w:rsidRDefault="00F21B3F" w:rsidP="00F21B3F">
      <w:pPr>
        <w:pStyle w:val="Numberedparagraph"/>
        <w:numPr>
          <w:ilvl w:val="1"/>
          <w:numId w:val="1"/>
        </w:numPr>
      </w:pPr>
      <w:bookmarkStart w:id="7" w:name="_Toc191910506"/>
      <w:r>
        <w:t xml:space="preserve">Finally, to ensure an effective approach to responding to youth crime, the government should develop a youth justice strategy based on the wealth of available evidence for reducing youth crime and rehabilitating children who offend, including by: </w:t>
      </w:r>
    </w:p>
    <w:p w14:paraId="03E5A593" w14:textId="77777777" w:rsidR="00F21B3F" w:rsidRDefault="00F21B3F" w:rsidP="00F21B3F">
      <w:pPr>
        <w:pStyle w:val="Numberedparagraph"/>
        <w:numPr>
          <w:ilvl w:val="2"/>
          <w:numId w:val="1"/>
        </w:numPr>
      </w:pPr>
      <w:r>
        <w:t>investing in equitable access to services such as early childhood education, health services and educations</w:t>
      </w:r>
    </w:p>
    <w:p w14:paraId="1C0DBCBD" w14:textId="77777777" w:rsidR="00F21B3F" w:rsidRDefault="00F21B3F" w:rsidP="00F21B3F">
      <w:pPr>
        <w:pStyle w:val="Numberedparagraph"/>
        <w:numPr>
          <w:ilvl w:val="2"/>
          <w:numId w:val="1"/>
        </w:numPr>
      </w:pPr>
      <w:r>
        <w:t xml:space="preserve">prioritising early assessment and intervention, and diversion from the criminal justice system </w:t>
      </w:r>
    </w:p>
    <w:p w14:paraId="560E6B50" w14:textId="77777777" w:rsidR="00F21B3F" w:rsidRDefault="00F21B3F" w:rsidP="00F21B3F">
      <w:pPr>
        <w:pStyle w:val="Numberedparagraph"/>
        <w:numPr>
          <w:ilvl w:val="2"/>
          <w:numId w:val="1"/>
        </w:numPr>
      </w:pPr>
      <w:r>
        <w:t>being guided by First Nations leaders and communities and fulfilling Queensland’s obligations under the Closing the Gap National Agreement including the establishment of an Independent Accountability Mechanism</w:t>
      </w:r>
      <w:r w:rsidRPr="00A4635A">
        <w:rPr>
          <w:rStyle w:val="FootnoteReference"/>
        </w:rPr>
        <w:footnoteReference w:id="11"/>
      </w:r>
    </w:p>
    <w:p w14:paraId="0237AEF0" w14:textId="77777777" w:rsidR="00F21B3F" w:rsidRDefault="00F21B3F" w:rsidP="00F21B3F">
      <w:pPr>
        <w:pStyle w:val="Numberedparagraph"/>
        <w:numPr>
          <w:ilvl w:val="2"/>
          <w:numId w:val="1"/>
        </w:numPr>
      </w:pPr>
      <w:r>
        <w:lastRenderedPageBreak/>
        <w:t xml:space="preserve">being guided by international human rights law commentary on children’s rights </w:t>
      </w:r>
    </w:p>
    <w:p w14:paraId="2D3EDC9E" w14:textId="77777777" w:rsidR="00F21B3F" w:rsidRDefault="00F21B3F" w:rsidP="00F21B3F">
      <w:pPr>
        <w:pStyle w:val="Numberedparagraph"/>
        <w:numPr>
          <w:ilvl w:val="2"/>
          <w:numId w:val="1"/>
        </w:numPr>
      </w:pPr>
      <w:r>
        <w:t>establishing a co-ordinating agency within government with clear authority to hold agencies to account for implementation of identified strategies. (</w:t>
      </w:r>
      <w:r w:rsidRPr="00CA4C56">
        <w:rPr>
          <w:b/>
          <w:bCs/>
        </w:rPr>
        <w:t xml:space="preserve">RECOMMENDATION </w:t>
      </w:r>
      <w:r>
        <w:rPr>
          <w:b/>
          <w:bCs/>
        </w:rPr>
        <w:t>8</w:t>
      </w:r>
      <w:r>
        <w:t>)</w:t>
      </w:r>
    </w:p>
    <w:p w14:paraId="783FD75D" w14:textId="77777777" w:rsidR="00CA40FF" w:rsidRPr="00117C9B" w:rsidRDefault="00CA40FF" w:rsidP="00CA40FF">
      <w:pPr>
        <w:pStyle w:val="Heading1"/>
        <w:rPr>
          <w:sz w:val="44"/>
          <w:szCs w:val="44"/>
        </w:rPr>
      </w:pPr>
      <w:bookmarkStart w:id="8" w:name="_Toc195687392"/>
      <w:r w:rsidRPr="00117C9B">
        <w:rPr>
          <w:sz w:val="44"/>
          <w:szCs w:val="44"/>
        </w:rPr>
        <w:t>Background</w:t>
      </w:r>
      <w:bookmarkEnd w:id="7"/>
      <w:bookmarkEnd w:id="8"/>
    </w:p>
    <w:p w14:paraId="14B2AEAC" w14:textId="7CD77AF7" w:rsidR="0071089E" w:rsidRDefault="00CA40FF" w:rsidP="00B44510">
      <w:pPr>
        <w:pStyle w:val="Numberedparagraph"/>
        <w:numPr>
          <w:ilvl w:val="0"/>
          <w:numId w:val="1"/>
        </w:numPr>
      </w:pPr>
      <w:r w:rsidRPr="00082FB7">
        <w:t>In 202</w:t>
      </w:r>
      <w:r>
        <w:t>4</w:t>
      </w:r>
      <w:r w:rsidRPr="00082FB7">
        <w:t xml:space="preserve">, the </w:t>
      </w:r>
      <w:r w:rsidRPr="00D9038F">
        <w:rPr>
          <w:i/>
          <w:iCs/>
        </w:rPr>
        <w:t>Making Queensland Safer Act 2024</w:t>
      </w:r>
      <w:r w:rsidRPr="00C00E50">
        <w:t xml:space="preserve"> (</w:t>
      </w:r>
      <w:r w:rsidRPr="00846D6C">
        <w:rPr>
          <w:b/>
          <w:bCs/>
        </w:rPr>
        <w:t>MQS Act</w:t>
      </w:r>
      <w:r w:rsidRPr="00C00E50">
        <w:t xml:space="preserve">) </w:t>
      </w:r>
      <w:r w:rsidR="00D06845">
        <w:t xml:space="preserve">amended the </w:t>
      </w:r>
      <w:r w:rsidR="00D06845" w:rsidRPr="00350A09">
        <w:rPr>
          <w:i/>
          <w:iCs/>
        </w:rPr>
        <w:t>Youth Justice Act 1992</w:t>
      </w:r>
      <w:r w:rsidR="00D06845">
        <w:t xml:space="preserve"> </w:t>
      </w:r>
      <w:r w:rsidR="003B7C4B">
        <w:t>(</w:t>
      </w:r>
      <w:r w:rsidR="003B7C4B" w:rsidRPr="00846D6C">
        <w:rPr>
          <w:b/>
          <w:bCs/>
        </w:rPr>
        <w:t>Youth Justice Act</w:t>
      </w:r>
      <w:r w:rsidR="003B7C4B">
        <w:t xml:space="preserve">) </w:t>
      </w:r>
      <w:r w:rsidR="00061FB5">
        <w:t>to remove the restrictions on sentences for young offenders, making them</w:t>
      </w:r>
      <w:r w:rsidRPr="00C00E50">
        <w:t xml:space="preserve"> liable</w:t>
      </w:r>
      <w:r w:rsidR="00A413C1">
        <w:t xml:space="preserve"> to the same</w:t>
      </w:r>
      <w:r w:rsidRPr="00C00E50">
        <w:t xml:space="preserve"> </w:t>
      </w:r>
      <w:r w:rsidR="00654A5A">
        <w:t>maximum penalties, mandatory sentences</w:t>
      </w:r>
      <w:r w:rsidR="00A413C1">
        <w:t>,</w:t>
      </w:r>
      <w:r w:rsidR="00654A5A">
        <w:t xml:space="preserve"> and non-parole periods</w:t>
      </w:r>
      <w:r w:rsidRPr="00C00E50">
        <w:t xml:space="preserve"> as adults for 13</w:t>
      </w:r>
      <w:r w:rsidR="00350A09">
        <w:t xml:space="preserve"> prescribed</w:t>
      </w:r>
      <w:r w:rsidRPr="00C00E50">
        <w:t xml:space="preserve"> offences</w:t>
      </w:r>
      <w:r w:rsidRPr="0071089E">
        <w:t>.</w:t>
      </w:r>
      <w:r w:rsidRPr="00BA2105">
        <w:rPr>
          <w:rStyle w:val="FootnoteReference"/>
        </w:rPr>
        <w:footnoteReference w:id="12"/>
      </w:r>
      <w:r w:rsidRPr="00BA2105">
        <w:rPr>
          <w:rStyle w:val="FootnoteReference"/>
        </w:rPr>
        <w:t xml:space="preserve"> </w:t>
      </w:r>
    </w:p>
    <w:p w14:paraId="34BC824E" w14:textId="0D69D7D1" w:rsidR="00CD0CCD" w:rsidRPr="0071089E" w:rsidRDefault="00CD0CCD" w:rsidP="00CD0CCD">
      <w:pPr>
        <w:pStyle w:val="Numberedparagraph"/>
        <w:numPr>
          <w:ilvl w:val="0"/>
          <w:numId w:val="1"/>
        </w:numPr>
      </w:pPr>
      <w:r>
        <w:t>The MQS Act additionally removed the principle that children should be detained as a measure of last resort and that a non-custodial order is better than detention in promoting a child’s ability to reintegrate into the community.</w:t>
      </w:r>
      <w:r>
        <w:rPr>
          <w:rStyle w:val="FootnoteReference"/>
        </w:rPr>
        <w:footnoteReference w:id="13"/>
      </w:r>
      <w:r>
        <w:t xml:space="preserve"> The </w:t>
      </w:r>
      <w:r w:rsidR="00465B11">
        <w:t xml:space="preserve">MQS </w:t>
      </w:r>
      <w:r>
        <w:t xml:space="preserve">Act </w:t>
      </w:r>
      <w:r w:rsidR="008E4D77">
        <w:t xml:space="preserve">also </w:t>
      </w:r>
      <w:r w:rsidR="00465B11">
        <w:t>instructs</w:t>
      </w:r>
      <w:r>
        <w:t xml:space="preserve"> the court not to have regard to any principle that children must be detained as a measure of last resort.</w:t>
      </w:r>
      <w:r w:rsidRPr="00F95BA9">
        <w:rPr>
          <w:rStyle w:val="FootnoteReference"/>
        </w:rPr>
        <w:t xml:space="preserve"> </w:t>
      </w:r>
      <w:r>
        <w:rPr>
          <w:rStyle w:val="FootnoteReference"/>
        </w:rPr>
        <w:footnoteReference w:id="14"/>
      </w:r>
    </w:p>
    <w:p w14:paraId="6531419C" w14:textId="4D2335BC" w:rsidR="00CA40FF" w:rsidRPr="0091557A" w:rsidRDefault="00CA40FF" w:rsidP="00265466">
      <w:pPr>
        <w:pStyle w:val="Numberedparagraph"/>
        <w:numPr>
          <w:ilvl w:val="0"/>
          <w:numId w:val="1"/>
        </w:numPr>
        <w:rPr>
          <w:i/>
          <w:iCs/>
        </w:rPr>
      </w:pPr>
      <w:r w:rsidRPr="00677D37">
        <w:t>The Bill adds a further 20 offences to the existing 13 offences</w:t>
      </w:r>
      <w:r w:rsidR="00CD29A2">
        <w:t xml:space="preserve"> in relation to which children will be sentenced as adults</w:t>
      </w:r>
      <w:r>
        <w:t xml:space="preserve">. </w:t>
      </w:r>
      <w:r w:rsidRPr="00FD1BB8">
        <w:t xml:space="preserve">The new offences are: </w:t>
      </w:r>
    </w:p>
    <w:p w14:paraId="2DAED8C9" w14:textId="017F8C10" w:rsidR="00CA40FF" w:rsidRDefault="00CA40FF" w:rsidP="00265466">
      <w:pPr>
        <w:pStyle w:val="Numberedparagraph"/>
        <w:numPr>
          <w:ilvl w:val="1"/>
          <w:numId w:val="5"/>
        </w:numPr>
      </w:pPr>
      <w:r w:rsidRPr="00FD1BB8">
        <w:t xml:space="preserve">Going armed </w:t>
      </w:r>
      <w:proofErr w:type="gramStart"/>
      <w:r w:rsidRPr="00FD1BB8">
        <w:t>so as to</w:t>
      </w:r>
      <w:proofErr w:type="gramEnd"/>
      <w:r w:rsidRPr="00FD1BB8">
        <w:t xml:space="preserve"> cause fear </w:t>
      </w:r>
      <w:r w:rsidR="00061FB5">
        <w:t>(</w:t>
      </w:r>
      <w:r w:rsidR="006A5509">
        <w:t>section 69</w:t>
      </w:r>
      <w:r w:rsidR="00A569C1">
        <w:t xml:space="preserve">, </w:t>
      </w:r>
      <w:r w:rsidR="00061FB5" w:rsidRPr="00491FD2">
        <w:rPr>
          <w:i/>
          <w:iCs/>
        </w:rPr>
        <w:t>Criminal Code Act 1899</w:t>
      </w:r>
      <w:r w:rsidR="006A5509">
        <w:t xml:space="preserve"> (</w:t>
      </w:r>
      <w:r w:rsidR="006A5509" w:rsidRPr="006A5509">
        <w:rPr>
          <w:b/>
          <w:bCs/>
        </w:rPr>
        <w:t>Criminal Code</w:t>
      </w:r>
      <w:r w:rsidR="006A5509">
        <w:t>))</w:t>
      </w:r>
    </w:p>
    <w:p w14:paraId="27BF6C11" w14:textId="59E2D5B7" w:rsidR="00CA40FF" w:rsidRDefault="00CA40FF" w:rsidP="00265466">
      <w:pPr>
        <w:pStyle w:val="Numberedparagraph"/>
        <w:numPr>
          <w:ilvl w:val="1"/>
          <w:numId w:val="5"/>
        </w:numPr>
      </w:pPr>
      <w:r w:rsidRPr="00FD1BB8">
        <w:t xml:space="preserve">Threatening violence </w:t>
      </w:r>
      <w:r w:rsidR="00A569C1">
        <w:t>(section 75, Criminal Code)</w:t>
      </w:r>
    </w:p>
    <w:p w14:paraId="75A181DE" w14:textId="18218B1F" w:rsidR="00CA40FF" w:rsidRDefault="00CA40FF" w:rsidP="00265466">
      <w:pPr>
        <w:pStyle w:val="Numberedparagraph"/>
        <w:numPr>
          <w:ilvl w:val="1"/>
          <w:numId w:val="5"/>
        </w:numPr>
      </w:pPr>
      <w:r w:rsidRPr="00FD1BB8">
        <w:t xml:space="preserve">Attempt to murder </w:t>
      </w:r>
      <w:r w:rsidR="00A569C1">
        <w:t xml:space="preserve">(section </w:t>
      </w:r>
      <w:r w:rsidR="00491FD2">
        <w:t>306</w:t>
      </w:r>
      <w:r w:rsidR="00A569C1">
        <w:t>, Criminal Code)</w:t>
      </w:r>
    </w:p>
    <w:p w14:paraId="50001C9B" w14:textId="3D738DC2" w:rsidR="00CA40FF" w:rsidRDefault="00CA40FF" w:rsidP="00265466">
      <w:pPr>
        <w:pStyle w:val="Numberedparagraph"/>
        <w:numPr>
          <w:ilvl w:val="1"/>
          <w:numId w:val="5"/>
        </w:numPr>
      </w:pPr>
      <w:r w:rsidRPr="00FD1BB8">
        <w:t>Accessory after the fact to murder</w:t>
      </w:r>
      <w:r w:rsidR="00A569C1">
        <w:t xml:space="preserve"> (section </w:t>
      </w:r>
      <w:r w:rsidR="00491FD2">
        <w:t>307</w:t>
      </w:r>
      <w:r w:rsidR="00A569C1">
        <w:t>, Criminal Code)</w:t>
      </w:r>
    </w:p>
    <w:p w14:paraId="2F5642FF" w14:textId="4E3CBB0E" w:rsidR="00CA40FF" w:rsidRDefault="00CA40FF" w:rsidP="00265466">
      <w:pPr>
        <w:pStyle w:val="Numberedparagraph"/>
        <w:numPr>
          <w:ilvl w:val="1"/>
          <w:numId w:val="5"/>
        </w:numPr>
      </w:pPr>
      <w:r w:rsidRPr="00072823">
        <w:t xml:space="preserve">Assaulting a pregnant person and killing, or doing grievous bodily harm to, or transmitting a serious disease to the unborn child </w:t>
      </w:r>
      <w:r w:rsidR="00A569C1">
        <w:t xml:space="preserve">(section </w:t>
      </w:r>
      <w:r w:rsidR="00491FD2">
        <w:t>313(2)</w:t>
      </w:r>
      <w:r w:rsidR="00A569C1">
        <w:t>, Criminal Code)</w:t>
      </w:r>
    </w:p>
    <w:p w14:paraId="1B54FE91" w14:textId="7635FBFD" w:rsidR="00CA40FF" w:rsidRDefault="00CA40FF" w:rsidP="00265466">
      <w:pPr>
        <w:pStyle w:val="Numberedparagraph"/>
        <w:numPr>
          <w:ilvl w:val="1"/>
          <w:numId w:val="5"/>
        </w:numPr>
      </w:pPr>
      <w:r w:rsidRPr="00072823">
        <w:t xml:space="preserve">Torture </w:t>
      </w:r>
      <w:r w:rsidR="00A569C1">
        <w:t xml:space="preserve">(section </w:t>
      </w:r>
      <w:r w:rsidR="00491FD2">
        <w:t>320A</w:t>
      </w:r>
      <w:r w:rsidR="00A569C1">
        <w:t>, Criminal Code)</w:t>
      </w:r>
    </w:p>
    <w:p w14:paraId="26B6B08F" w14:textId="2C9E0580" w:rsidR="00CA40FF" w:rsidRDefault="00CA40FF" w:rsidP="00265466">
      <w:pPr>
        <w:pStyle w:val="Numberedparagraph"/>
        <w:numPr>
          <w:ilvl w:val="1"/>
          <w:numId w:val="5"/>
        </w:numPr>
      </w:pPr>
      <w:r w:rsidRPr="00072823">
        <w:t xml:space="preserve">Damaging emergency vehicle when operating motor vehicle </w:t>
      </w:r>
      <w:r w:rsidR="00A569C1">
        <w:t xml:space="preserve">(section </w:t>
      </w:r>
      <w:r w:rsidR="00491FD2" w:rsidRPr="00072823">
        <w:t>328C</w:t>
      </w:r>
      <w:r w:rsidR="00A569C1">
        <w:t>, Criminal Code)</w:t>
      </w:r>
    </w:p>
    <w:p w14:paraId="49A0140C" w14:textId="2E8578DA" w:rsidR="00CA40FF" w:rsidRDefault="00CA40FF" w:rsidP="00265466">
      <w:pPr>
        <w:pStyle w:val="Numberedparagraph"/>
        <w:numPr>
          <w:ilvl w:val="1"/>
          <w:numId w:val="5"/>
        </w:numPr>
      </w:pPr>
      <w:r w:rsidRPr="00072823">
        <w:t xml:space="preserve">Endangering police officer when driving motor vehicle </w:t>
      </w:r>
      <w:r w:rsidR="00A569C1">
        <w:t xml:space="preserve">(section </w:t>
      </w:r>
      <w:r w:rsidR="00491FD2">
        <w:t>328D</w:t>
      </w:r>
      <w:r w:rsidR="00A569C1">
        <w:t>, Criminal Code)</w:t>
      </w:r>
    </w:p>
    <w:p w14:paraId="1D2DEFBF" w14:textId="6AD6BA73" w:rsidR="00CA40FF" w:rsidRDefault="00CA40FF" w:rsidP="00265466">
      <w:pPr>
        <w:pStyle w:val="Numberedparagraph"/>
        <w:numPr>
          <w:ilvl w:val="1"/>
          <w:numId w:val="5"/>
        </w:numPr>
      </w:pPr>
      <w:r w:rsidRPr="00072823">
        <w:lastRenderedPageBreak/>
        <w:t xml:space="preserve">Rape </w:t>
      </w:r>
      <w:r w:rsidR="00A569C1">
        <w:t xml:space="preserve">(section </w:t>
      </w:r>
      <w:r w:rsidR="00491FD2">
        <w:t>349</w:t>
      </w:r>
      <w:r w:rsidR="00A569C1">
        <w:t>, Criminal Code)</w:t>
      </w:r>
    </w:p>
    <w:p w14:paraId="06532EA2" w14:textId="0CB3AE7F" w:rsidR="00CA40FF" w:rsidRDefault="00CA40FF" w:rsidP="00265466">
      <w:pPr>
        <w:pStyle w:val="Numberedparagraph"/>
        <w:numPr>
          <w:ilvl w:val="1"/>
          <w:numId w:val="5"/>
        </w:numPr>
      </w:pPr>
      <w:r w:rsidRPr="00072823">
        <w:t xml:space="preserve">Attempt to commit rape </w:t>
      </w:r>
      <w:r w:rsidR="00A569C1">
        <w:t xml:space="preserve">(section </w:t>
      </w:r>
      <w:r w:rsidR="00491FD2">
        <w:t>350</w:t>
      </w:r>
      <w:r w:rsidR="00A569C1">
        <w:t>, Criminal Code)</w:t>
      </w:r>
    </w:p>
    <w:p w14:paraId="4030B1D4" w14:textId="68C16D65" w:rsidR="00CA40FF" w:rsidRDefault="00CA40FF" w:rsidP="00265466">
      <w:pPr>
        <w:pStyle w:val="Numberedparagraph"/>
        <w:numPr>
          <w:ilvl w:val="1"/>
          <w:numId w:val="5"/>
        </w:numPr>
      </w:pPr>
      <w:r w:rsidRPr="00072823">
        <w:t xml:space="preserve">Assault with intent to commit rape </w:t>
      </w:r>
      <w:r w:rsidR="00A569C1">
        <w:t>(section</w:t>
      </w:r>
      <w:r w:rsidR="00491FD2">
        <w:t xml:space="preserve"> 351</w:t>
      </w:r>
      <w:r w:rsidR="00A569C1">
        <w:t>, Criminal Code)</w:t>
      </w:r>
    </w:p>
    <w:p w14:paraId="2722D59A" w14:textId="2C159A8D" w:rsidR="00CA40FF" w:rsidRDefault="00CA40FF" w:rsidP="00265466">
      <w:pPr>
        <w:pStyle w:val="Numberedparagraph"/>
        <w:numPr>
          <w:ilvl w:val="1"/>
          <w:numId w:val="5"/>
        </w:numPr>
      </w:pPr>
      <w:r w:rsidRPr="00072823">
        <w:t xml:space="preserve">Sexual assault, if the circumstance in subsection (2) (involving any part of the mouth) or (3) (while armed, in company, or involving penetration) applies </w:t>
      </w:r>
      <w:r w:rsidR="00A569C1">
        <w:t xml:space="preserve">(section </w:t>
      </w:r>
      <w:r w:rsidR="00491FD2">
        <w:t>352</w:t>
      </w:r>
      <w:r w:rsidR="00A569C1">
        <w:t>, Criminal Code)</w:t>
      </w:r>
    </w:p>
    <w:p w14:paraId="7E6948A3" w14:textId="0DF58C45" w:rsidR="00CA40FF" w:rsidRDefault="00CA40FF" w:rsidP="00265466">
      <w:pPr>
        <w:pStyle w:val="Numberedparagraph"/>
        <w:numPr>
          <w:ilvl w:val="1"/>
          <w:numId w:val="5"/>
        </w:numPr>
      </w:pPr>
      <w:r w:rsidRPr="00072823">
        <w:t xml:space="preserve">Kidnapping </w:t>
      </w:r>
      <w:r w:rsidR="00A569C1">
        <w:t xml:space="preserve">(section </w:t>
      </w:r>
      <w:r w:rsidR="00491FD2">
        <w:t>354</w:t>
      </w:r>
      <w:r w:rsidR="00A569C1">
        <w:t>, Criminal Code)</w:t>
      </w:r>
    </w:p>
    <w:p w14:paraId="2814914C" w14:textId="1B81D33E" w:rsidR="00CA40FF" w:rsidRDefault="00CA40FF" w:rsidP="00265466">
      <w:pPr>
        <w:pStyle w:val="Numberedparagraph"/>
        <w:numPr>
          <w:ilvl w:val="1"/>
          <w:numId w:val="5"/>
        </w:numPr>
      </w:pPr>
      <w:r w:rsidRPr="00072823">
        <w:t xml:space="preserve">Kidnapping for ransom </w:t>
      </w:r>
      <w:r w:rsidR="00A569C1">
        <w:t xml:space="preserve">(section </w:t>
      </w:r>
      <w:r w:rsidR="00491FD2">
        <w:t>354A</w:t>
      </w:r>
      <w:r w:rsidR="00A569C1">
        <w:t>, Criminal Code)</w:t>
      </w:r>
    </w:p>
    <w:p w14:paraId="3816E2A8" w14:textId="7731964C" w:rsidR="00CA40FF" w:rsidRDefault="00CA40FF" w:rsidP="00265466">
      <w:pPr>
        <w:pStyle w:val="Numberedparagraph"/>
        <w:numPr>
          <w:ilvl w:val="1"/>
          <w:numId w:val="5"/>
        </w:numPr>
      </w:pPr>
      <w:r w:rsidRPr="00072823">
        <w:t xml:space="preserve">Deprivation of liberty </w:t>
      </w:r>
      <w:r w:rsidR="00A569C1">
        <w:t xml:space="preserve">(section </w:t>
      </w:r>
      <w:r w:rsidR="00491FD2">
        <w:t>35</w:t>
      </w:r>
      <w:r w:rsidR="00A569C1">
        <w:t>5, Criminal Code)</w:t>
      </w:r>
    </w:p>
    <w:p w14:paraId="3E9BB722" w14:textId="3D68DDFB" w:rsidR="00491FD2" w:rsidRDefault="00CA40FF" w:rsidP="00265466">
      <w:pPr>
        <w:pStyle w:val="Numberedparagraph"/>
        <w:numPr>
          <w:ilvl w:val="1"/>
          <w:numId w:val="5"/>
        </w:numPr>
      </w:pPr>
      <w:r w:rsidRPr="00072823">
        <w:t xml:space="preserve">Stealing, if item 12 (a vehicle) or 14 (a firearm for use in another indictable offence) applies </w:t>
      </w:r>
      <w:r w:rsidR="00491FD2">
        <w:t>(section 398, Criminal Code)</w:t>
      </w:r>
    </w:p>
    <w:p w14:paraId="61021CE6" w14:textId="2438678D" w:rsidR="00CA40FF" w:rsidRDefault="00CA40FF" w:rsidP="00265466">
      <w:pPr>
        <w:pStyle w:val="Numberedparagraph"/>
        <w:numPr>
          <w:ilvl w:val="1"/>
          <w:numId w:val="5"/>
        </w:numPr>
      </w:pPr>
      <w:r w:rsidRPr="00072823">
        <w:t xml:space="preserve">Attempted robbery, if the circumstance in subsection (2) (armed or in company) or (3) (armed and with violence) applies </w:t>
      </w:r>
      <w:r w:rsidR="00491FD2">
        <w:t>(section 412, Criminal Code)</w:t>
      </w:r>
    </w:p>
    <w:p w14:paraId="42D91A88" w14:textId="0ED3EF74" w:rsidR="000515B1" w:rsidRDefault="000515B1" w:rsidP="00491FD2">
      <w:pPr>
        <w:pStyle w:val="Numberedparagraph"/>
        <w:numPr>
          <w:ilvl w:val="1"/>
          <w:numId w:val="5"/>
        </w:numPr>
      </w:pPr>
      <w:r>
        <w:t>Arson (section 461 Criminal Code)</w:t>
      </w:r>
    </w:p>
    <w:p w14:paraId="291B838A" w14:textId="4AF6E440" w:rsidR="00CA40FF" w:rsidRDefault="00CA40FF" w:rsidP="00491FD2">
      <w:pPr>
        <w:pStyle w:val="Numberedparagraph"/>
        <w:numPr>
          <w:ilvl w:val="1"/>
          <w:numId w:val="5"/>
        </w:numPr>
      </w:pPr>
      <w:r w:rsidRPr="00072823">
        <w:t>Endangering particular property by fire</w:t>
      </w:r>
      <w:r w:rsidR="00A569C1">
        <w:t xml:space="preserve"> (section 46</w:t>
      </w:r>
      <w:r w:rsidR="000515B1">
        <w:t>2</w:t>
      </w:r>
      <w:r w:rsidR="0057291A">
        <w:t xml:space="preserve"> Criminal Code)</w:t>
      </w:r>
    </w:p>
    <w:p w14:paraId="4F1BD6EC" w14:textId="331570AD" w:rsidR="00491FD2" w:rsidRDefault="00491FD2" w:rsidP="00491FD2">
      <w:pPr>
        <w:pStyle w:val="Numberedparagraph"/>
        <w:numPr>
          <w:ilvl w:val="1"/>
          <w:numId w:val="5"/>
        </w:numPr>
      </w:pPr>
      <w:r w:rsidRPr="00491FD2">
        <w:t>Trafficking in dangerous drugs</w:t>
      </w:r>
      <w:r>
        <w:t xml:space="preserve"> (section 5, </w:t>
      </w:r>
      <w:r w:rsidRPr="00491FD2">
        <w:rPr>
          <w:i/>
          <w:iCs/>
        </w:rPr>
        <w:t>Drugs Misuse Act 1986</w:t>
      </w:r>
      <w:r>
        <w:rPr>
          <w:i/>
          <w:iCs/>
        </w:rPr>
        <w:t xml:space="preserve"> </w:t>
      </w:r>
      <w:r>
        <w:t>(</w:t>
      </w:r>
      <w:r w:rsidRPr="00491FD2">
        <w:rPr>
          <w:b/>
          <w:bCs/>
        </w:rPr>
        <w:t>Drugs Misuse Act</w:t>
      </w:r>
      <w:r>
        <w:t>))</w:t>
      </w:r>
    </w:p>
    <w:p w14:paraId="531E7441" w14:textId="7B822109" w:rsidR="00CA40FF" w:rsidRPr="0071089E" w:rsidRDefault="00CA40FF" w:rsidP="00517BF2">
      <w:pPr>
        <w:pStyle w:val="Numberedparagraph"/>
        <w:numPr>
          <w:ilvl w:val="0"/>
          <w:numId w:val="5"/>
        </w:numPr>
      </w:pPr>
      <w:r w:rsidRPr="0071089E">
        <w:t>For some of the new offences, the maximum penalty for a child will increase to life detention. For those offences, if a child is sentenced to life</w:t>
      </w:r>
      <w:r w:rsidR="005F6DC7">
        <w:t>,</w:t>
      </w:r>
      <w:r w:rsidRPr="0071089E">
        <w:t xml:space="preserve"> they will be liable to the same </w:t>
      </w:r>
      <w:r w:rsidR="001261D3" w:rsidRPr="0071089E">
        <w:t>15-year</w:t>
      </w:r>
      <w:r w:rsidRPr="0071089E">
        <w:t xml:space="preserve"> mandatory minimum non-parole period that applies to an adult.</w:t>
      </w:r>
      <w:r w:rsidR="00545A77">
        <w:rPr>
          <w:rStyle w:val="FootnoteReference"/>
        </w:rPr>
        <w:footnoteReference w:id="15"/>
      </w:r>
      <w:r w:rsidR="00AE0BA2">
        <w:t xml:space="preserve"> Additionally, f</w:t>
      </w:r>
      <w:r w:rsidR="00612BFF">
        <w:t xml:space="preserve">or </w:t>
      </w:r>
      <w:r w:rsidR="00BB599D">
        <w:t>the prescribed 33 offences, t</w:t>
      </w:r>
      <w:r w:rsidRPr="0071089E">
        <w:t xml:space="preserve">he court </w:t>
      </w:r>
      <w:r w:rsidR="001261D3">
        <w:t>will no longer be permitted to</w:t>
      </w:r>
      <w:r w:rsidRPr="0071089E">
        <w:t xml:space="preserve"> sentence the child to a restorative justice order.</w:t>
      </w:r>
      <w:r w:rsidR="00545A77">
        <w:rPr>
          <w:rStyle w:val="FootnoteReference"/>
        </w:rPr>
        <w:footnoteReference w:id="16"/>
      </w:r>
      <w:r w:rsidR="00517BF2">
        <w:t xml:space="preserve"> </w:t>
      </w:r>
      <w:r w:rsidRPr="0071089E">
        <w:t xml:space="preserve">Where a child is sentenced to detention, the court </w:t>
      </w:r>
      <w:r w:rsidR="00E34AFF">
        <w:t xml:space="preserve">will no </w:t>
      </w:r>
      <w:r w:rsidR="00F80064">
        <w:t>longer be required</w:t>
      </w:r>
      <w:r w:rsidR="00B20B74">
        <w:t xml:space="preserve"> to</w:t>
      </w:r>
      <w:r w:rsidR="00F80064">
        <w:t xml:space="preserve"> </w:t>
      </w:r>
      <w:r w:rsidR="00E34AFF">
        <w:t>order that a child be released after</w:t>
      </w:r>
      <w:r w:rsidR="00F80064">
        <w:t xml:space="preserve"> serving</w:t>
      </w:r>
      <w:r w:rsidRPr="0071089E">
        <w:t xml:space="preserve"> 70</w:t>
      </w:r>
      <w:r w:rsidR="00F80064">
        <w:t xml:space="preserve"> per cent</w:t>
      </w:r>
      <w:r w:rsidRPr="0071089E">
        <w:t xml:space="preserve"> of the detention, </w:t>
      </w:r>
      <w:r w:rsidR="00092D00">
        <w:t xml:space="preserve">or after serving </w:t>
      </w:r>
      <w:r w:rsidRPr="0071089E">
        <w:t>50</w:t>
      </w:r>
      <w:r w:rsidR="00092D00">
        <w:t xml:space="preserve"> per cent </w:t>
      </w:r>
      <w:r w:rsidR="00E34AFF">
        <w:t>where</w:t>
      </w:r>
      <w:r w:rsidR="00092D00">
        <w:t xml:space="preserve"> there are special circumstances</w:t>
      </w:r>
      <w:r w:rsidRPr="0071089E">
        <w:t>.</w:t>
      </w:r>
      <w:r w:rsidR="001261D3">
        <w:rPr>
          <w:rStyle w:val="FootnoteReference"/>
        </w:rPr>
        <w:footnoteReference w:id="17"/>
      </w:r>
      <w:r w:rsidRPr="0071089E">
        <w:t xml:space="preserve"> </w:t>
      </w:r>
    </w:p>
    <w:p w14:paraId="435D2BA4" w14:textId="56A355C6" w:rsidR="002B2D17" w:rsidRDefault="002B2D17" w:rsidP="002B2D17">
      <w:pPr>
        <w:pStyle w:val="Heading1"/>
        <w:rPr>
          <w:lang w:val="en-US"/>
        </w:rPr>
      </w:pPr>
      <w:bookmarkStart w:id="9" w:name="_Toc195687393"/>
      <w:r>
        <w:rPr>
          <w:lang w:val="en-US"/>
        </w:rPr>
        <w:lastRenderedPageBreak/>
        <w:t>The Bill is not compatible with human rights</w:t>
      </w:r>
      <w:bookmarkEnd w:id="9"/>
    </w:p>
    <w:p w14:paraId="68601089" w14:textId="5FD6654C" w:rsidR="002B2D17" w:rsidRPr="00856424" w:rsidRDefault="002B2D17" w:rsidP="00265466">
      <w:pPr>
        <w:pStyle w:val="Numberedparagraph"/>
        <w:numPr>
          <w:ilvl w:val="0"/>
          <w:numId w:val="5"/>
        </w:numPr>
        <w:rPr>
          <w:lang w:val="en-US"/>
        </w:rPr>
      </w:pPr>
      <w:bookmarkStart w:id="10" w:name="_Toc184118310"/>
      <w:r>
        <w:t>The B</w:t>
      </w:r>
      <w:r w:rsidRPr="00261824">
        <w:t>ill severely limits the fundamental rights of</w:t>
      </w:r>
      <w:r w:rsidR="00545A77">
        <w:t xml:space="preserve"> some of</w:t>
      </w:r>
      <w:r w:rsidRPr="00261824">
        <w:t xml:space="preserve"> Queensland’s most vulnerable children</w:t>
      </w:r>
      <w:r>
        <w:t xml:space="preserve"> in a way that is disproportionate to the goal of </w:t>
      </w:r>
      <w:r w:rsidR="00584556">
        <w:t xml:space="preserve">enhancing </w:t>
      </w:r>
      <w:r>
        <w:t>community safety</w:t>
      </w:r>
      <w:r w:rsidRPr="00261824">
        <w:t>.</w:t>
      </w:r>
      <w:r>
        <w:t xml:space="preserve"> </w:t>
      </w:r>
    </w:p>
    <w:p w14:paraId="09B16154" w14:textId="241F7500" w:rsidR="00856424" w:rsidRDefault="00856424" w:rsidP="00265466">
      <w:pPr>
        <w:pStyle w:val="Numberedparagraph"/>
        <w:numPr>
          <w:ilvl w:val="0"/>
          <w:numId w:val="5"/>
        </w:numPr>
      </w:pPr>
      <w:r>
        <w:t xml:space="preserve">The Statement of Compatibility </w:t>
      </w:r>
      <w:r w:rsidR="004C50C4">
        <w:t xml:space="preserve">for the Bill </w:t>
      </w:r>
      <w:r>
        <w:t>concedes:</w:t>
      </w:r>
    </w:p>
    <w:p w14:paraId="49119369" w14:textId="00CE67F3" w:rsidR="00426CB6" w:rsidRDefault="00426CB6" w:rsidP="00426CB6">
      <w:pPr>
        <w:pStyle w:val="Numberedparagraph"/>
        <w:numPr>
          <w:ilvl w:val="1"/>
          <w:numId w:val="5"/>
        </w:numPr>
      </w:pPr>
      <w:r>
        <w:t>the amendment</w:t>
      </w:r>
      <w:r w:rsidR="00C420A5">
        <w:t>s</w:t>
      </w:r>
      <w:r>
        <w:t xml:space="preserve"> may lead to sentences for children that are more punitive than necessary to achieve community safety</w:t>
      </w:r>
    </w:p>
    <w:p w14:paraId="076BE60B" w14:textId="44C628C2" w:rsidR="00C420A5" w:rsidRDefault="00C420A5" w:rsidP="00C420A5">
      <w:pPr>
        <w:pStyle w:val="Numberedparagraph"/>
        <w:numPr>
          <w:ilvl w:val="1"/>
          <w:numId w:val="5"/>
        </w:numPr>
      </w:pPr>
      <w:r>
        <w:t>the negative impact on the rights of children likely outweighs the legitimate aims of punishment and denunciation</w:t>
      </w:r>
    </w:p>
    <w:p w14:paraId="2C6E6F24" w14:textId="5E0EFBA7" w:rsidR="00426CB6" w:rsidRDefault="00426CB6" w:rsidP="00426CB6">
      <w:pPr>
        <w:pStyle w:val="Numberedparagraph"/>
        <w:numPr>
          <w:ilvl w:val="1"/>
          <w:numId w:val="5"/>
        </w:numPr>
      </w:pPr>
      <w:r>
        <w:t>there are less restrictive options available to achieve the stated purpose of improving community safety</w:t>
      </w:r>
    </w:p>
    <w:p w14:paraId="7048BBBB" w14:textId="734EFB68" w:rsidR="00426CB6" w:rsidRDefault="00426CB6" w:rsidP="00426CB6">
      <w:pPr>
        <w:pStyle w:val="Numberedparagraph"/>
        <w:numPr>
          <w:ilvl w:val="1"/>
          <w:numId w:val="5"/>
        </w:numPr>
      </w:pPr>
      <w:r>
        <w:t>the amendments may impose further strain on youth detention centres in Queensland possibly resulting in increased numbers of children in watchhouses for extended periods which is a direct limitation on the right to protection from cruel, inhumane or degrading treatment</w:t>
      </w:r>
    </w:p>
    <w:p w14:paraId="4EDF967C" w14:textId="6E563988" w:rsidR="00426CB6" w:rsidRDefault="00426CB6" w:rsidP="00426CB6">
      <w:pPr>
        <w:pStyle w:val="Numberedparagraph"/>
        <w:numPr>
          <w:ilvl w:val="1"/>
          <w:numId w:val="5"/>
        </w:numPr>
      </w:pPr>
      <w:r>
        <w:t>the amendments are likely to have a more significant impact on Aboriginal and Torres Strait Islander children.</w:t>
      </w:r>
      <w:r w:rsidR="00584556">
        <w:rPr>
          <w:rStyle w:val="FootnoteReference"/>
        </w:rPr>
        <w:footnoteReference w:id="18"/>
      </w:r>
    </w:p>
    <w:p w14:paraId="0AB9F2D2" w14:textId="1583C289" w:rsidR="007A6261" w:rsidRPr="0041514C" w:rsidRDefault="007A6261" w:rsidP="007A6261">
      <w:pPr>
        <w:pStyle w:val="Numberedparagraph"/>
        <w:numPr>
          <w:ilvl w:val="0"/>
          <w:numId w:val="5"/>
        </w:numPr>
        <w:rPr>
          <w:lang w:val="en-US"/>
        </w:rPr>
      </w:pPr>
      <w:r>
        <w:t xml:space="preserve">Despite being incompatible with </w:t>
      </w:r>
      <w:r w:rsidR="008A763E">
        <w:t>the Human Rights Act</w:t>
      </w:r>
      <w:r>
        <w:t xml:space="preserve">, the </w:t>
      </w:r>
      <w:r w:rsidR="00736B92">
        <w:t>g</w:t>
      </w:r>
      <w:r>
        <w:t>overnment has not made an exceptional circumstances statement.</w:t>
      </w:r>
      <w:r>
        <w:rPr>
          <w:lang w:val="en-US"/>
        </w:rPr>
        <w:t xml:space="preserve"> </w:t>
      </w:r>
      <w:r w:rsidR="002505C7">
        <w:t>As the Bill is incompatible</w:t>
      </w:r>
      <w:r w:rsidR="004E1ED7">
        <w:t>,</w:t>
      </w:r>
      <w:r w:rsidR="002505C7">
        <w:t xml:space="preserve"> the </w:t>
      </w:r>
      <w:r w:rsidR="00736B92">
        <w:t>g</w:t>
      </w:r>
      <w:r w:rsidR="002505C7">
        <w:t xml:space="preserve">overnment should </w:t>
      </w:r>
      <w:r w:rsidR="008E7CBE">
        <w:t>make</w:t>
      </w:r>
      <w:r w:rsidR="002505C7">
        <w:t xml:space="preserve"> a further exceptional circumstances statement as required by section 44 of the Human Rights Act</w:t>
      </w:r>
      <w:r w:rsidR="005A4753">
        <w:t>.</w:t>
      </w:r>
      <w:r w:rsidR="002505C7">
        <w:t xml:space="preserve"> </w:t>
      </w:r>
      <w:r>
        <w:t>(</w:t>
      </w:r>
      <w:r w:rsidRPr="00205FE1">
        <w:rPr>
          <w:b/>
          <w:bCs/>
        </w:rPr>
        <w:t>RECOMMENDATION 1</w:t>
      </w:r>
      <w:r>
        <w:t xml:space="preserve">) </w:t>
      </w:r>
    </w:p>
    <w:p w14:paraId="62AEDF8B" w14:textId="28C9A161" w:rsidR="00070D30" w:rsidRPr="00070D30" w:rsidDel="00070D30" w:rsidRDefault="0E76CB4E" w:rsidP="00265466">
      <w:pPr>
        <w:pStyle w:val="Numberedparagraph"/>
        <w:numPr>
          <w:ilvl w:val="0"/>
          <w:numId w:val="5"/>
        </w:numPr>
      </w:pPr>
      <w:r>
        <w:t>The Commission agrees with the assessment in the Statement of Compatibility that the Bill is not compatible with human rights</w:t>
      </w:r>
      <w:r w:rsidR="00CB48B9">
        <w:t xml:space="preserve">. </w:t>
      </w:r>
      <w:r w:rsidR="00CB48B9" w:rsidRPr="00CC6790">
        <w:rPr>
          <w:b/>
          <w:bCs/>
        </w:rPr>
        <w:t>The Commission</w:t>
      </w:r>
      <w:r w:rsidR="00A677FD" w:rsidRPr="00CC6790">
        <w:rPr>
          <w:b/>
          <w:bCs/>
        </w:rPr>
        <w:t xml:space="preserve"> does not agree that it </w:t>
      </w:r>
      <w:r w:rsidR="00CB48B9" w:rsidRPr="00CC6790">
        <w:rPr>
          <w:b/>
          <w:bCs/>
        </w:rPr>
        <w:t>i</w:t>
      </w:r>
      <w:r w:rsidR="00A677FD" w:rsidRPr="00CC6790">
        <w:rPr>
          <w:b/>
          <w:bCs/>
        </w:rPr>
        <w:t xml:space="preserve">s necessary or justifiable to override the </w:t>
      </w:r>
      <w:r w:rsidR="00CB48B9" w:rsidRPr="00CC6790">
        <w:rPr>
          <w:b/>
          <w:bCs/>
        </w:rPr>
        <w:t xml:space="preserve">Human Rights </w:t>
      </w:r>
      <w:r w:rsidR="00A677FD" w:rsidRPr="00CC6790">
        <w:rPr>
          <w:b/>
          <w:bCs/>
        </w:rPr>
        <w:t>Act</w:t>
      </w:r>
      <w:r>
        <w:t>.</w:t>
      </w:r>
    </w:p>
    <w:p w14:paraId="02C6ABFC" w14:textId="6A1F8C5D" w:rsidR="000209DB" w:rsidRDefault="000209DB" w:rsidP="000209DB">
      <w:pPr>
        <w:pStyle w:val="Heading1"/>
        <w:rPr>
          <w:lang w:val="en-US"/>
        </w:rPr>
      </w:pPr>
      <w:bookmarkStart w:id="11" w:name="_Toc195687394"/>
      <w:bookmarkStart w:id="12" w:name="_Toc184118311"/>
      <w:bookmarkEnd w:id="10"/>
      <w:r w:rsidRPr="037283DD">
        <w:rPr>
          <w:lang w:val="en-US"/>
        </w:rPr>
        <w:t xml:space="preserve">No justification for overriding </w:t>
      </w:r>
      <w:proofErr w:type="gramStart"/>
      <w:r w:rsidRPr="037283DD">
        <w:rPr>
          <w:lang w:val="en-US"/>
        </w:rPr>
        <w:t>Human</w:t>
      </w:r>
      <w:proofErr w:type="gramEnd"/>
      <w:r w:rsidRPr="037283DD">
        <w:rPr>
          <w:lang w:val="en-US"/>
        </w:rPr>
        <w:t xml:space="preserve"> Rights Act</w:t>
      </w:r>
      <w:bookmarkEnd w:id="11"/>
    </w:p>
    <w:p w14:paraId="14B14480" w14:textId="2E14A376" w:rsidR="0085622D" w:rsidRDefault="0085622D" w:rsidP="0085622D">
      <w:pPr>
        <w:pStyle w:val="Numberedparagraph"/>
        <w:numPr>
          <w:ilvl w:val="0"/>
          <w:numId w:val="5"/>
        </w:numPr>
      </w:pPr>
      <w:r w:rsidRPr="00643D7C">
        <w:rPr>
          <w:lang w:val="en-US"/>
        </w:rPr>
        <w:t>The Human Rights Act</w:t>
      </w:r>
      <w:r w:rsidRPr="00643D7C">
        <w:rPr>
          <w:i/>
          <w:iCs/>
          <w:lang w:val="en-US"/>
        </w:rPr>
        <w:t xml:space="preserve"> </w:t>
      </w:r>
      <w:r>
        <w:rPr>
          <w:lang w:val="en-US"/>
        </w:rPr>
        <w:t>is a</w:t>
      </w:r>
      <w:r w:rsidRPr="00643D7C">
        <w:rPr>
          <w:lang w:val="en-US"/>
        </w:rPr>
        <w:t xml:space="preserve"> framework </w:t>
      </w:r>
      <w:r>
        <w:rPr>
          <w:lang w:val="en-US"/>
        </w:rPr>
        <w:t>which</w:t>
      </w:r>
      <w:r w:rsidRPr="00643D7C">
        <w:rPr>
          <w:lang w:val="en-US"/>
        </w:rPr>
        <w:t xml:space="preserve"> </w:t>
      </w:r>
      <w:r>
        <w:rPr>
          <w:lang w:val="en-US"/>
        </w:rPr>
        <w:t>supports</w:t>
      </w:r>
      <w:r w:rsidRPr="00643D7C">
        <w:rPr>
          <w:lang w:val="en-US"/>
        </w:rPr>
        <w:t xml:space="preserve"> robust decision-makin</w:t>
      </w:r>
      <w:r>
        <w:rPr>
          <w:lang w:val="en-US"/>
        </w:rPr>
        <w:t xml:space="preserve">g. It seeks to ensure legislation is effective and does not create more harm than is necessary to achieve its purpose. </w:t>
      </w:r>
      <w:r w:rsidR="00E02712">
        <w:rPr>
          <w:lang w:val="en-US"/>
        </w:rPr>
        <w:t>T</w:t>
      </w:r>
      <w:r>
        <w:rPr>
          <w:lang w:val="en-US"/>
        </w:rPr>
        <w:t xml:space="preserve">he </w:t>
      </w:r>
      <w:r w:rsidRPr="00643D7C">
        <w:rPr>
          <w:lang w:val="en-US"/>
        </w:rPr>
        <w:t>Human Rights Act upholds our democratic system</w:t>
      </w:r>
      <w:r>
        <w:rPr>
          <w:lang w:val="en-US"/>
        </w:rPr>
        <w:t xml:space="preserve"> by ensuring all parts of our community are considered in the development of policy and legislation</w:t>
      </w:r>
      <w:r w:rsidRPr="00643D7C">
        <w:rPr>
          <w:lang w:val="en-US"/>
        </w:rPr>
        <w:t>.</w:t>
      </w:r>
      <w:r>
        <w:rPr>
          <w:lang w:val="en-US"/>
        </w:rPr>
        <w:t xml:space="preserve"> </w:t>
      </w:r>
      <w:r>
        <w:rPr>
          <w:lang w:eastAsia="en-AU"/>
        </w:rPr>
        <w:t>Human</w:t>
      </w:r>
      <w:r w:rsidRPr="0015185E">
        <w:rPr>
          <w:lang w:eastAsia="en-AU"/>
        </w:rPr>
        <w:t xml:space="preserve"> rights</w:t>
      </w:r>
      <w:r>
        <w:rPr>
          <w:lang w:eastAsia="en-AU"/>
        </w:rPr>
        <w:t xml:space="preserve"> compatible approaches to youth crime will create</w:t>
      </w:r>
      <w:r w:rsidRPr="0015185E">
        <w:rPr>
          <w:lang w:eastAsia="en-AU"/>
        </w:rPr>
        <w:t xml:space="preserve"> more effective, sustainable solutions that </w:t>
      </w:r>
      <w:r>
        <w:rPr>
          <w:lang w:eastAsia="en-AU"/>
        </w:rPr>
        <w:t>will enhance community safety</w:t>
      </w:r>
      <w:r w:rsidRPr="0015185E">
        <w:rPr>
          <w:lang w:eastAsia="en-AU"/>
        </w:rPr>
        <w:t>.</w:t>
      </w:r>
    </w:p>
    <w:p w14:paraId="426F2BCF" w14:textId="03EC6FDC" w:rsidR="00BF5CC9" w:rsidRDefault="00BF5CC9" w:rsidP="00BF5CC9">
      <w:pPr>
        <w:pStyle w:val="Numberedparagraph"/>
        <w:numPr>
          <w:ilvl w:val="0"/>
          <w:numId w:val="5"/>
        </w:numPr>
      </w:pPr>
      <w:r>
        <w:t xml:space="preserve">The Statement of Compatibility states that it is necessary to override </w:t>
      </w:r>
      <w:r w:rsidR="00DF65D7">
        <w:t>the Human Rights Act</w:t>
      </w:r>
      <w:r>
        <w:t xml:space="preserve"> because ‘the situation with respect to youth crime in Queensland </w:t>
      </w:r>
      <w:r>
        <w:lastRenderedPageBreak/>
        <w:t>presents an exceptional crisis situation constituting a threat to public safety’.</w:t>
      </w:r>
      <w:r>
        <w:rPr>
          <w:rStyle w:val="FootnoteReference"/>
        </w:rPr>
        <w:footnoteReference w:id="19"/>
      </w:r>
      <w:r w:rsidR="00D73E69">
        <w:t xml:space="preserve"> </w:t>
      </w:r>
      <w:r w:rsidR="007448DC">
        <w:t>T</w:t>
      </w:r>
      <w:r w:rsidR="00D73E69">
        <w:t xml:space="preserve">he </w:t>
      </w:r>
      <w:r w:rsidR="00736B92">
        <w:t>g</w:t>
      </w:r>
      <w:r w:rsidR="00D73E69">
        <w:t>overnment has not</w:t>
      </w:r>
      <w:r w:rsidR="00143028">
        <w:t xml:space="preserve"> provided an exceptional circumstances statement</w:t>
      </w:r>
      <w:r w:rsidR="003F4BD7">
        <w:t xml:space="preserve"> (</w:t>
      </w:r>
      <w:r w:rsidR="0061773A">
        <w:t>as required by section 44 of the Human Rights Act</w:t>
      </w:r>
      <w:r w:rsidR="003F4BD7">
        <w:t>)</w:t>
      </w:r>
      <w:r w:rsidR="0061773A">
        <w:t xml:space="preserve"> </w:t>
      </w:r>
      <w:r w:rsidR="0056606D">
        <w:t>and as such has not provided any evidence to demonstrate</w:t>
      </w:r>
      <w:r w:rsidR="0041514C">
        <w:t xml:space="preserve"> that</w:t>
      </w:r>
      <w:r w:rsidR="006453F7">
        <w:t xml:space="preserve"> </w:t>
      </w:r>
      <w:r w:rsidR="0061773A">
        <w:t xml:space="preserve">the situation with respect to youth crime is an exceptional crisis. </w:t>
      </w:r>
    </w:p>
    <w:p w14:paraId="619DD866" w14:textId="16B932EF" w:rsidR="00265466" w:rsidRDefault="000209DB" w:rsidP="000209DB">
      <w:pPr>
        <w:pStyle w:val="Numberedparagraph"/>
        <w:numPr>
          <w:ilvl w:val="0"/>
          <w:numId w:val="5"/>
        </w:numPr>
      </w:pPr>
      <w:r w:rsidRPr="000D0D31">
        <w:t xml:space="preserve">Overriding </w:t>
      </w:r>
      <w:r>
        <w:t>the Human Rights Act</w:t>
      </w:r>
      <w:r w:rsidRPr="000D0D31">
        <w:t xml:space="preserve"> </w:t>
      </w:r>
      <w:r>
        <w:t>must</w:t>
      </w:r>
      <w:r w:rsidRPr="000D0D31">
        <w:t xml:space="preserve"> only occur in exceptional circumstances</w:t>
      </w:r>
      <w:r w:rsidR="00265466">
        <w:t xml:space="preserve"> </w:t>
      </w:r>
      <w:r w:rsidRPr="00347E5F">
        <w:t xml:space="preserve">such as </w:t>
      </w:r>
      <w:r w:rsidR="00265466">
        <w:t xml:space="preserve">where there </w:t>
      </w:r>
      <w:r w:rsidR="00200B8C">
        <w:t>is a war, state of emergency</w:t>
      </w:r>
      <w:r w:rsidR="00F52BAC">
        <w:t>,</w:t>
      </w:r>
      <w:r w:rsidR="00200B8C">
        <w:t xml:space="preserve"> or</w:t>
      </w:r>
      <w:r w:rsidR="009B5DA0">
        <w:t xml:space="preserve"> an exceptional crisis constituting </w:t>
      </w:r>
      <w:r w:rsidRPr="00347E5F">
        <w:t>threats to public safety or national security</w:t>
      </w:r>
      <w:r w:rsidR="00265466">
        <w:t>.</w:t>
      </w:r>
      <w:r>
        <w:rPr>
          <w:rStyle w:val="FootnoteReference"/>
        </w:rPr>
        <w:footnoteReference w:id="20"/>
      </w:r>
      <w:r w:rsidR="00265466">
        <w:t xml:space="preserve"> </w:t>
      </w:r>
    </w:p>
    <w:p w14:paraId="4F66D2CE" w14:textId="1C2B3B67" w:rsidR="0092186C" w:rsidRDefault="000209DB" w:rsidP="002058D4">
      <w:pPr>
        <w:pStyle w:val="Numberedparagraph"/>
        <w:numPr>
          <w:ilvl w:val="0"/>
          <w:numId w:val="5"/>
        </w:numPr>
      </w:pPr>
      <w:r w:rsidRPr="00287321">
        <w:t xml:space="preserve">There is </w:t>
      </w:r>
      <w:r w:rsidR="002C78A0">
        <w:t xml:space="preserve">insufficient </w:t>
      </w:r>
      <w:r w:rsidRPr="00287321">
        <w:t xml:space="preserve">evidence to suggest that Queensland is currently facing an </w:t>
      </w:r>
      <w:r w:rsidR="007553F9">
        <w:t>exceptional crisis with respect to youth crime</w:t>
      </w:r>
      <w:r w:rsidRPr="00287321">
        <w:t>.</w:t>
      </w:r>
      <w:r>
        <w:t xml:space="preserve"> </w:t>
      </w:r>
      <w:r w:rsidR="005B139C">
        <w:t>Over the long term, b</w:t>
      </w:r>
      <w:r w:rsidR="007553F9">
        <w:t>etween</w:t>
      </w:r>
      <w:r w:rsidR="008F2927" w:rsidRPr="008F2927">
        <w:t xml:space="preserve"> 2008-09 and </w:t>
      </w:r>
      <w:r w:rsidR="00B2014C">
        <w:t>2023-24</w:t>
      </w:r>
      <w:r w:rsidR="008F2927" w:rsidRPr="008F2927">
        <w:t xml:space="preserve">, Queensland’s youth crime </w:t>
      </w:r>
      <w:r w:rsidR="00D179C3">
        <w:t>offender</w:t>
      </w:r>
      <w:r w:rsidR="008F2927" w:rsidRPr="008F2927">
        <w:t xml:space="preserve"> rate </w:t>
      </w:r>
      <w:r w:rsidR="00C87A77">
        <w:t>has fallen</w:t>
      </w:r>
      <w:r w:rsidR="008F2927" w:rsidRPr="008F2927">
        <w:t xml:space="preserve"> from 3575.8 </w:t>
      </w:r>
      <w:r w:rsidR="00983F5A">
        <w:t xml:space="preserve">offenders </w:t>
      </w:r>
      <w:r w:rsidR="008F2927" w:rsidRPr="008F2927">
        <w:t xml:space="preserve">per 100,000 children to </w:t>
      </w:r>
      <w:r w:rsidR="009853DB">
        <w:t>1,828</w:t>
      </w:r>
      <w:r w:rsidR="008E7F09">
        <w:t>.1</w:t>
      </w:r>
      <w:r w:rsidR="008F2927" w:rsidRPr="008F2927">
        <w:t xml:space="preserve"> </w:t>
      </w:r>
      <w:r w:rsidR="00983F5A">
        <w:t xml:space="preserve">offenders </w:t>
      </w:r>
      <w:r w:rsidR="008F2927" w:rsidRPr="008F2927">
        <w:t>per 100,000 children</w:t>
      </w:r>
      <w:r w:rsidR="004952B6">
        <w:t xml:space="preserve"> </w:t>
      </w:r>
      <w:r w:rsidR="0007494B">
        <w:t xml:space="preserve">aged 10-17 years </w:t>
      </w:r>
      <w:r w:rsidR="004952B6">
        <w:t xml:space="preserve">(see </w:t>
      </w:r>
      <w:r w:rsidR="004952B6" w:rsidRPr="00CA5724">
        <w:rPr>
          <w:b/>
          <w:bCs/>
        </w:rPr>
        <w:t>Table A</w:t>
      </w:r>
      <w:r w:rsidR="004952B6">
        <w:t>)</w:t>
      </w:r>
      <w:r w:rsidR="008F2927" w:rsidRPr="008F2927">
        <w:t>.</w:t>
      </w:r>
      <w:r w:rsidR="008F2927" w:rsidRPr="008F2927">
        <w:rPr>
          <w:vertAlign w:val="superscript"/>
        </w:rPr>
        <w:footnoteReference w:id="21"/>
      </w:r>
      <w:r w:rsidR="008F2927" w:rsidRPr="008F2927">
        <w:t xml:space="preserve"> </w:t>
      </w:r>
      <w:r w:rsidR="00D179C3">
        <w:t>Over the short term,</w:t>
      </w:r>
      <w:r w:rsidR="00D3090C">
        <w:t xml:space="preserve"> t</w:t>
      </w:r>
      <w:r w:rsidR="00D3090C" w:rsidRPr="009908BA">
        <w:t xml:space="preserve">here </w:t>
      </w:r>
      <w:r w:rsidR="00D179C3">
        <w:t xml:space="preserve">was </w:t>
      </w:r>
      <w:r w:rsidR="00D3090C" w:rsidRPr="009908BA">
        <w:t>a decrease of 3</w:t>
      </w:r>
      <w:r w:rsidR="00635D6D">
        <w:t xml:space="preserve"> per cent</w:t>
      </w:r>
      <w:r w:rsidR="00D3090C" w:rsidRPr="009908BA">
        <w:t xml:space="preserve"> (334 offenders)</w:t>
      </w:r>
      <w:r w:rsidR="00BA7ED4">
        <w:t xml:space="preserve"> in 2023-24 compared to 2022-23</w:t>
      </w:r>
      <w:r w:rsidR="00D3090C" w:rsidRPr="009908BA">
        <w:t>.</w:t>
      </w:r>
      <w:r w:rsidR="00D3090C">
        <w:rPr>
          <w:rStyle w:val="FootnoteReference"/>
        </w:rPr>
        <w:footnoteReference w:id="22"/>
      </w:r>
      <w:r w:rsidR="00D3090C">
        <w:t xml:space="preserve"> </w:t>
      </w:r>
      <w:r w:rsidR="00D3090C" w:rsidRPr="009D6F53">
        <w:t xml:space="preserve">Accounting for population change, </w:t>
      </w:r>
      <w:r w:rsidR="003B2B30">
        <w:t>this is a decrease of</w:t>
      </w:r>
      <w:r w:rsidR="00D7799D">
        <w:t xml:space="preserve"> 5 per cent</w:t>
      </w:r>
      <w:r w:rsidR="003B2B30">
        <w:t xml:space="preserve"> from 2022-23</w:t>
      </w:r>
      <w:r w:rsidR="00D3090C">
        <w:t>.</w:t>
      </w:r>
      <w:r w:rsidR="00CA6CCA">
        <w:rPr>
          <w:rStyle w:val="FootnoteReference"/>
        </w:rPr>
        <w:footnoteReference w:id="23"/>
      </w:r>
    </w:p>
    <w:p w14:paraId="2BF81A01" w14:textId="680D42CF" w:rsidR="000D3B64" w:rsidRPr="00A17D80" w:rsidRDefault="000D3B64" w:rsidP="00CA5724">
      <w:pPr>
        <w:pStyle w:val="Numberedparagraph"/>
        <w:spacing w:after="0"/>
        <w:rPr>
          <w:sz w:val="20"/>
          <w:szCs w:val="22"/>
        </w:rPr>
      </w:pPr>
      <w:r w:rsidRPr="00A17D80">
        <w:rPr>
          <w:b/>
          <w:bCs/>
          <w:sz w:val="20"/>
          <w:szCs w:val="22"/>
        </w:rPr>
        <w:t>Table A</w:t>
      </w:r>
      <w:r w:rsidRPr="00A17D80">
        <w:rPr>
          <w:sz w:val="20"/>
          <w:szCs w:val="22"/>
        </w:rPr>
        <w:t>. Youth offender rate</w:t>
      </w:r>
      <w:r w:rsidR="00774208" w:rsidRPr="00A17D80">
        <w:rPr>
          <w:sz w:val="20"/>
          <w:szCs w:val="22"/>
        </w:rPr>
        <w:t xml:space="preserve"> by principal offence</w:t>
      </w:r>
      <w:r w:rsidRPr="00A17D80">
        <w:rPr>
          <w:sz w:val="20"/>
          <w:szCs w:val="22"/>
        </w:rPr>
        <w:t xml:space="preserve"> from 2008-09 to 2023-24</w:t>
      </w:r>
      <w:r w:rsidRPr="00A17D80">
        <w:rPr>
          <w:rStyle w:val="FootnoteReference"/>
          <w:sz w:val="20"/>
          <w:szCs w:val="22"/>
        </w:rPr>
        <w:footnoteReference w:id="24"/>
      </w:r>
    </w:p>
    <w:p w14:paraId="6E1BD04E" w14:textId="0E7A7EC7" w:rsidR="002E0FBB" w:rsidRDefault="002E0FBB" w:rsidP="00807B8A">
      <w:pPr>
        <w:pStyle w:val="Numberedparagraph"/>
      </w:pPr>
      <w:r>
        <w:rPr>
          <w:noProof/>
        </w:rPr>
        <w:drawing>
          <wp:inline distT="0" distB="0" distL="0" distR="0" wp14:anchorId="0C5E6061" wp14:editId="780083FE">
            <wp:extent cx="4927905" cy="2125683"/>
            <wp:effectExtent l="0" t="0" r="6350" b="8255"/>
            <wp:docPr id="217721792" name="Chart 1">
              <a:extLst xmlns:a="http://schemas.openxmlformats.org/drawingml/2006/main">
                <a:ext uri="{FF2B5EF4-FFF2-40B4-BE49-F238E27FC236}">
                  <a16:creationId xmlns:a16="http://schemas.microsoft.com/office/drawing/2014/main" id="{A0B1F11C-3945-3A27-5F3B-75F6B448FF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87B672A" w14:textId="06BC1A6C" w:rsidR="00E10B71" w:rsidRDefault="00E10B71" w:rsidP="00E10B71">
      <w:pPr>
        <w:pStyle w:val="Numberedparagraph"/>
        <w:numPr>
          <w:ilvl w:val="0"/>
          <w:numId w:val="5"/>
        </w:numPr>
      </w:pPr>
      <w:r>
        <w:lastRenderedPageBreak/>
        <w:t xml:space="preserve">The </w:t>
      </w:r>
      <w:r w:rsidRPr="00503EDF">
        <w:t xml:space="preserve">QGSO </w:t>
      </w:r>
      <w:r w:rsidRPr="00E33167">
        <w:rPr>
          <w:i/>
          <w:iCs/>
        </w:rPr>
        <w:t>Crime Report Queensland 2023-24</w:t>
      </w:r>
      <w:r w:rsidRPr="00503EDF">
        <w:t xml:space="preserve"> (</w:t>
      </w:r>
      <w:r w:rsidRPr="00E33167">
        <w:rPr>
          <w:b/>
          <w:bCs/>
        </w:rPr>
        <w:t>QGSO Crime Report</w:t>
      </w:r>
      <w:r>
        <w:t xml:space="preserve">) </w:t>
      </w:r>
      <w:r w:rsidR="00340B55">
        <w:t xml:space="preserve">similarly finds </w:t>
      </w:r>
      <w:r>
        <w:t>that i</w:t>
      </w:r>
      <w:r w:rsidRPr="00C80FC2">
        <w:t xml:space="preserve">n 2023–24, </w:t>
      </w:r>
      <w:r w:rsidR="00340B55">
        <w:t xml:space="preserve">the </w:t>
      </w:r>
      <w:r w:rsidRPr="00C80FC2">
        <w:t xml:space="preserve">unique offender rate for children </w:t>
      </w:r>
      <w:r w:rsidR="00340B55">
        <w:t xml:space="preserve">was </w:t>
      </w:r>
      <w:r w:rsidR="0016758C">
        <w:t xml:space="preserve">1,896.8 per 100,000 children, </w:t>
      </w:r>
      <w:r w:rsidR="0016758C" w:rsidRPr="00CD43CA">
        <w:rPr>
          <w:b/>
          <w:bCs/>
        </w:rPr>
        <w:t xml:space="preserve">a </w:t>
      </w:r>
      <w:r w:rsidRPr="00CD43CA">
        <w:rPr>
          <w:b/>
          <w:bCs/>
        </w:rPr>
        <w:t>decreas</w:t>
      </w:r>
      <w:r w:rsidR="0016758C" w:rsidRPr="00CD43CA">
        <w:rPr>
          <w:b/>
          <w:bCs/>
        </w:rPr>
        <w:t>e</w:t>
      </w:r>
      <w:r w:rsidRPr="00CD43CA">
        <w:rPr>
          <w:b/>
          <w:bCs/>
        </w:rPr>
        <w:t xml:space="preserve"> </w:t>
      </w:r>
      <w:r w:rsidR="0016758C" w:rsidRPr="00CD43CA">
        <w:rPr>
          <w:b/>
          <w:bCs/>
        </w:rPr>
        <w:t>of</w:t>
      </w:r>
      <w:r w:rsidRPr="00CD43CA">
        <w:rPr>
          <w:b/>
          <w:bCs/>
        </w:rPr>
        <w:t xml:space="preserve"> </w:t>
      </w:r>
      <w:r w:rsidRPr="00B9495C">
        <w:rPr>
          <w:b/>
          <w:bCs/>
        </w:rPr>
        <w:t>30.4</w:t>
      </w:r>
      <w:r w:rsidRPr="00CD43CA">
        <w:rPr>
          <w:b/>
          <w:bCs/>
        </w:rPr>
        <w:t xml:space="preserve"> per cent </w:t>
      </w:r>
      <w:r w:rsidR="0016758C" w:rsidRPr="00B9495C">
        <w:rPr>
          <w:b/>
          <w:bCs/>
        </w:rPr>
        <w:t>since</w:t>
      </w:r>
      <w:r w:rsidRPr="003E54FC">
        <w:rPr>
          <w:b/>
        </w:rPr>
        <w:t xml:space="preserve"> 2014–15</w:t>
      </w:r>
      <w:r w:rsidR="00B9495C">
        <w:t xml:space="preserve"> and </w:t>
      </w:r>
      <w:r w:rsidRPr="00C80FC2">
        <w:t>2.2</w:t>
      </w:r>
      <w:r>
        <w:t xml:space="preserve"> per cent lower </w:t>
      </w:r>
      <w:r w:rsidRPr="00C80FC2">
        <w:t>than in 2022–23</w:t>
      </w:r>
      <w:r>
        <w:t>.</w:t>
      </w:r>
      <w:r>
        <w:rPr>
          <w:rStyle w:val="FootnoteReference"/>
        </w:rPr>
        <w:footnoteReference w:id="25"/>
      </w:r>
      <w:r>
        <w:t xml:space="preserve"> </w:t>
      </w:r>
      <w:r w:rsidR="00D077F5">
        <w:t xml:space="preserve">This is the lowest </w:t>
      </w:r>
      <w:r w:rsidR="00FA6F3B">
        <w:t xml:space="preserve">unique </w:t>
      </w:r>
      <w:r w:rsidR="00A22FB5">
        <w:t xml:space="preserve">child </w:t>
      </w:r>
      <w:r w:rsidR="00FA6F3B">
        <w:t>offender rate</w:t>
      </w:r>
      <w:r w:rsidR="00A22FB5">
        <w:t xml:space="preserve"> </w:t>
      </w:r>
      <w:r w:rsidR="00FA6F3B">
        <w:t>since 2014-15.</w:t>
      </w:r>
      <w:r w:rsidR="00FA6F3B">
        <w:rPr>
          <w:rStyle w:val="FootnoteReference"/>
        </w:rPr>
        <w:footnoteReference w:id="26"/>
      </w:r>
    </w:p>
    <w:p w14:paraId="41543C6C" w14:textId="7C864AC4" w:rsidR="001752ED" w:rsidRDefault="00256E9D" w:rsidP="001752ED">
      <w:pPr>
        <w:pStyle w:val="Numberedparagraph"/>
        <w:numPr>
          <w:ilvl w:val="0"/>
          <w:numId w:val="5"/>
        </w:numPr>
      </w:pPr>
      <w:r>
        <w:t>Queensland does not have more youth offenders than other states and territories</w:t>
      </w:r>
      <w:r w:rsidR="000209DB">
        <w:t>.</w:t>
      </w:r>
      <w:r w:rsidR="000209DB">
        <w:rPr>
          <w:rStyle w:val="FootnoteReference"/>
        </w:rPr>
        <w:footnoteReference w:id="27"/>
      </w:r>
      <w:r w:rsidR="00134C85">
        <w:t xml:space="preserve"> </w:t>
      </w:r>
      <w:r w:rsidR="001D0B37">
        <w:rPr>
          <w:lang w:val="en-US"/>
        </w:rPr>
        <w:t>In 2023-24, Queensland’s youth offender rate was fifth in the country behind New South Wales, Northern Territory, Tasmania, and Western Australia</w:t>
      </w:r>
      <w:r w:rsidR="001D0B37" w:rsidRPr="00467392">
        <w:rPr>
          <w:lang w:val="en-US"/>
        </w:rPr>
        <w:t>.</w:t>
      </w:r>
      <w:r w:rsidR="001D0B37">
        <w:rPr>
          <w:rStyle w:val="FootnoteReference"/>
          <w:lang w:val="en-US"/>
        </w:rPr>
        <w:footnoteReference w:id="28"/>
      </w:r>
      <w:r w:rsidR="001D0B37">
        <w:rPr>
          <w:lang w:val="en-US"/>
        </w:rPr>
        <w:t xml:space="preserve"> </w:t>
      </w:r>
      <w:r w:rsidR="00933295">
        <w:t>Despite this, the incarceration of children in Queensland is increasing, while incarceration of children in other states and territories</w:t>
      </w:r>
      <w:r w:rsidR="00D41E50">
        <w:t xml:space="preserve"> with higher youth offender rates</w:t>
      </w:r>
      <w:r w:rsidR="00933295">
        <w:t xml:space="preserve"> is decreasing (</w:t>
      </w:r>
      <w:r w:rsidR="00415C72">
        <w:t>e.g.,</w:t>
      </w:r>
      <w:r w:rsidR="00933295">
        <w:t xml:space="preserve"> </w:t>
      </w:r>
      <w:r w:rsidR="009476D2">
        <w:t>in</w:t>
      </w:r>
      <w:r w:rsidR="001752ED">
        <w:t xml:space="preserve"> </w:t>
      </w:r>
      <w:r w:rsidR="00FA17AD" w:rsidRPr="00FA17AD">
        <w:t>New South Wales</w:t>
      </w:r>
      <w:r w:rsidR="00D41E50">
        <w:t xml:space="preserve"> and</w:t>
      </w:r>
      <w:r w:rsidR="00FA17AD" w:rsidRPr="00FA17AD">
        <w:t xml:space="preserve"> Western Australia</w:t>
      </w:r>
      <w:r w:rsidR="00933295">
        <w:t>).</w:t>
      </w:r>
      <w:r w:rsidR="00933295">
        <w:rPr>
          <w:rStyle w:val="FootnoteReference"/>
        </w:rPr>
        <w:footnoteReference w:id="29"/>
      </w:r>
      <w:r w:rsidR="00C87A77">
        <w:t xml:space="preserve"> </w:t>
      </w:r>
    </w:p>
    <w:p w14:paraId="01069059" w14:textId="04D1F247" w:rsidR="007853E9" w:rsidRDefault="00F16BB6" w:rsidP="009D1BBA">
      <w:pPr>
        <w:pStyle w:val="Numberedparagraph"/>
        <w:numPr>
          <w:ilvl w:val="0"/>
          <w:numId w:val="5"/>
        </w:numPr>
      </w:pPr>
      <w:r>
        <w:t xml:space="preserve">In a recent media statement made by the </w:t>
      </w:r>
      <w:r w:rsidR="007853E9">
        <w:t>g</w:t>
      </w:r>
      <w:r>
        <w:t xml:space="preserve">overnment, the </w:t>
      </w:r>
      <w:r w:rsidR="007853E9">
        <w:t>g</w:t>
      </w:r>
      <w:r>
        <w:t xml:space="preserve">overnment states </w:t>
      </w:r>
      <w:r w:rsidR="009D1BBA">
        <w:t xml:space="preserve">the </w:t>
      </w:r>
      <w:r w:rsidR="005017A2" w:rsidRPr="001119A6">
        <w:t xml:space="preserve">QGSO </w:t>
      </w:r>
      <w:r w:rsidR="009D1BBA" w:rsidRPr="001119A6">
        <w:t>Crime Report</w:t>
      </w:r>
      <w:r>
        <w:t xml:space="preserve"> reveals that ‘</w:t>
      </w:r>
      <w:r w:rsidRPr="00D95EF5">
        <w:t>between 2014 and 2024, the number of youth charged with stolen cars and robbery tripled, and the number of youth charged with break-ins and assault doubled.</w:t>
      </w:r>
      <w:r>
        <w:t>’</w:t>
      </w:r>
      <w:r>
        <w:rPr>
          <w:rStyle w:val="FootnoteReference"/>
        </w:rPr>
        <w:footnoteReference w:id="30"/>
      </w:r>
      <w:r>
        <w:t xml:space="preserve"> </w:t>
      </w:r>
      <w:r w:rsidR="0037335D">
        <w:t>However</w:t>
      </w:r>
      <w:r>
        <w:t xml:space="preserve">, these figures </w:t>
      </w:r>
      <w:r w:rsidR="005E2283">
        <w:t>refer</w:t>
      </w:r>
      <w:r>
        <w:t xml:space="preserve"> to </w:t>
      </w:r>
      <w:r w:rsidR="005E2283">
        <w:t>the number</w:t>
      </w:r>
      <w:r>
        <w:t xml:space="preserve"> of </w:t>
      </w:r>
      <w:r w:rsidR="005E2283">
        <w:t xml:space="preserve">child offenders </w:t>
      </w:r>
      <w:r w:rsidR="008C7C31">
        <w:t>‘</w:t>
      </w:r>
      <w:r w:rsidR="005E2283">
        <w:t>actioned by police</w:t>
      </w:r>
      <w:r w:rsidR="008C7C31">
        <w:t>’</w:t>
      </w:r>
      <w:r w:rsidR="0084148E">
        <w:t xml:space="preserve"> </w:t>
      </w:r>
      <w:r w:rsidR="00F26E5B">
        <w:t xml:space="preserve"> </w:t>
      </w:r>
      <w:r w:rsidR="008C7C31">
        <w:t xml:space="preserve">– meaning the figures may include </w:t>
      </w:r>
      <w:r w:rsidR="00E3027E">
        <w:t xml:space="preserve">youth who </w:t>
      </w:r>
      <w:r w:rsidR="00000DCE">
        <w:t xml:space="preserve">are subsequently acquitted </w:t>
      </w:r>
      <w:r w:rsidR="004C6A02">
        <w:t>of the alleged offences, or where charges are discontinued by prosecuting agencies</w:t>
      </w:r>
      <w:r>
        <w:t xml:space="preserve">. </w:t>
      </w:r>
    </w:p>
    <w:p w14:paraId="25C7D1D6" w14:textId="394A9C08" w:rsidR="008A2B97" w:rsidRDefault="008A2B97" w:rsidP="009D1BBA">
      <w:pPr>
        <w:pStyle w:val="Numberedparagraph"/>
        <w:numPr>
          <w:ilvl w:val="0"/>
          <w:numId w:val="5"/>
        </w:numPr>
      </w:pPr>
      <w:r>
        <w:t xml:space="preserve">Additionally, </w:t>
      </w:r>
      <w:r w:rsidR="003047A0">
        <w:t>comparing offence numbers in one year to another year can be misleading</w:t>
      </w:r>
      <w:r w:rsidR="002E0FBB">
        <w:t xml:space="preserve">. For example, it is </w:t>
      </w:r>
      <w:r w:rsidR="0073789D">
        <w:t xml:space="preserve">also </w:t>
      </w:r>
      <w:r w:rsidR="002E0FBB">
        <w:t xml:space="preserve">possible to show that </w:t>
      </w:r>
      <w:r w:rsidR="00A146C4">
        <w:t>‘unlawful entry with intent</w:t>
      </w:r>
      <w:r w:rsidR="00E74BEC">
        <w:t xml:space="preserve">’ </w:t>
      </w:r>
      <w:r w:rsidR="006F2D60">
        <w:t>offences have</w:t>
      </w:r>
      <w:r w:rsidR="00E74BEC">
        <w:t xml:space="preserve"> </w:t>
      </w:r>
      <w:r w:rsidR="00A470E3">
        <w:t xml:space="preserve">reduced from </w:t>
      </w:r>
      <w:r w:rsidR="006B696A">
        <w:t>2,025 in 2008-09 to 1,423 in 2023-24</w:t>
      </w:r>
      <w:r w:rsidR="00A318FB">
        <w:t xml:space="preserve">. </w:t>
      </w:r>
      <w:r w:rsidR="006B696A">
        <w:t>Adjusted for population</w:t>
      </w:r>
      <w:r w:rsidR="00A318FB">
        <w:t xml:space="preserve"> growth</w:t>
      </w:r>
      <w:r w:rsidR="006B696A">
        <w:t xml:space="preserve">, that is a </w:t>
      </w:r>
      <w:r w:rsidR="000D3B64">
        <w:t xml:space="preserve">43.05 per cent </w:t>
      </w:r>
      <w:r w:rsidR="006B696A">
        <w:t xml:space="preserve">drop from </w:t>
      </w:r>
      <w:r w:rsidR="00D3259F">
        <w:t xml:space="preserve">433.3 </w:t>
      </w:r>
      <w:r w:rsidR="00A318FB">
        <w:t xml:space="preserve">offences </w:t>
      </w:r>
      <w:r w:rsidR="00D3259F">
        <w:t>per 100,000 to 246.7</w:t>
      </w:r>
      <w:r w:rsidR="00A318FB">
        <w:t xml:space="preserve"> offences</w:t>
      </w:r>
      <w:r w:rsidR="00D3259F">
        <w:t xml:space="preserve"> per 100,000</w:t>
      </w:r>
      <w:r w:rsidR="000D3B64">
        <w:t>.</w:t>
      </w:r>
      <w:r w:rsidR="00B21F79">
        <w:rPr>
          <w:rStyle w:val="FootnoteReference"/>
        </w:rPr>
        <w:footnoteReference w:id="31"/>
      </w:r>
      <w:r w:rsidR="000D3B64">
        <w:t xml:space="preserve"> </w:t>
      </w:r>
      <w:r w:rsidR="0073789D">
        <w:t>Further</w:t>
      </w:r>
      <w:r w:rsidR="00A318FB">
        <w:t xml:space="preserve">, it would be possible to show </w:t>
      </w:r>
      <w:r w:rsidR="004D2911">
        <w:t xml:space="preserve">that the rate of </w:t>
      </w:r>
      <w:r w:rsidR="00A6446F">
        <w:t>‘</w:t>
      </w:r>
      <w:r w:rsidR="004D2911">
        <w:t xml:space="preserve">sexual assault </w:t>
      </w:r>
      <w:r w:rsidR="004D26EC">
        <w:t>and related offences</w:t>
      </w:r>
      <w:r w:rsidR="00A6446F">
        <w:t>’</w:t>
      </w:r>
      <w:r w:rsidR="004D26EC">
        <w:t xml:space="preserve"> have decreased by </w:t>
      </w:r>
      <w:r w:rsidR="000F4923">
        <w:lastRenderedPageBreak/>
        <w:t>31.8</w:t>
      </w:r>
      <w:r w:rsidR="004D26EC">
        <w:t xml:space="preserve"> per cent from </w:t>
      </w:r>
      <w:r w:rsidR="001F2B48">
        <w:t>172.7 per 100,000 in 2014-15 to 117.7 in 2023-24.</w:t>
      </w:r>
      <w:r w:rsidR="00B21F79">
        <w:rPr>
          <w:rStyle w:val="FootnoteReference"/>
        </w:rPr>
        <w:footnoteReference w:id="32"/>
      </w:r>
      <w:r w:rsidR="001F2B48">
        <w:t xml:space="preserve"> </w:t>
      </w:r>
      <w:r w:rsidR="0073789D">
        <w:t xml:space="preserve">However, this does not paint a complete picture of offence rates over time. </w:t>
      </w:r>
    </w:p>
    <w:p w14:paraId="06781BCF" w14:textId="05F8B306" w:rsidR="0092186C" w:rsidRDefault="00C00493" w:rsidP="00CD43CA">
      <w:pPr>
        <w:pStyle w:val="Numberedparagraph"/>
        <w:numPr>
          <w:ilvl w:val="0"/>
          <w:numId w:val="5"/>
        </w:numPr>
      </w:pPr>
      <w:r>
        <w:t xml:space="preserve">A more </w:t>
      </w:r>
      <w:r w:rsidR="00070F65">
        <w:t xml:space="preserve">accurate way of </w:t>
      </w:r>
      <w:r w:rsidR="0029629A">
        <w:t xml:space="preserve">demonstrating </w:t>
      </w:r>
      <w:r w:rsidR="003E0178">
        <w:t>increases or decreases</w:t>
      </w:r>
      <w:r w:rsidR="003A5EAA">
        <w:t xml:space="preserve"> in offence rates</w:t>
      </w:r>
      <w:r w:rsidR="003E0178">
        <w:t xml:space="preserve"> is to </w:t>
      </w:r>
      <w:r w:rsidR="002E1D0B">
        <w:t>observe</w:t>
      </w:r>
      <w:r w:rsidR="00DA22BD">
        <w:t xml:space="preserve"> how offending </w:t>
      </w:r>
      <w:r w:rsidR="003A5EAA">
        <w:t xml:space="preserve">rates </w:t>
      </w:r>
      <w:r w:rsidR="00DA22BD">
        <w:t>ha</w:t>
      </w:r>
      <w:r w:rsidR="003A5EAA">
        <w:t>ve</w:t>
      </w:r>
      <w:r w:rsidR="00DA22BD">
        <w:t xml:space="preserve"> changed over a prolonged period. The below tabl</w:t>
      </w:r>
      <w:r w:rsidR="00152E41">
        <w:t>e (</w:t>
      </w:r>
      <w:r w:rsidR="00152E41" w:rsidRPr="00CD43CA">
        <w:rPr>
          <w:b/>
          <w:bCs/>
        </w:rPr>
        <w:t>Table B</w:t>
      </w:r>
      <w:r w:rsidR="00152E41">
        <w:t xml:space="preserve">) shows </w:t>
      </w:r>
      <w:r w:rsidR="004D0762">
        <w:t>the rate of y</w:t>
      </w:r>
      <w:r w:rsidR="004D0762" w:rsidRPr="004D0762">
        <w:t>outh offenders by principal offence between 2014-15 to 2023-24</w:t>
      </w:r>
      <w:r w:rsidR="00152E41">
        <w:t>.</w:t>
      </w:r>
      <w:r w:rsidR="00A06011">
        <w:t xml:space="preserve"> </w:t>
      </w:r>
      <w:r w:rsidR="00634279">
        <w:t>Based on this data</w:t>
      </w:r>
      <w:r w:rsidR="00A06011">
        <w:t xml:space="preserve">, there does not appear to be any </w:t>
      </w:r>
      <w:r w:rsidR="00E74EAB">
        <w:t xml:space="preserve">spikes or increases which are </w:t>
      </w:r>
      <w:r w:rsidR="007473AA">
        <w:t>demonstrative of</w:t>
      </w:r>
      <w:r w:rsidR="00962BDB">
        <w:t xml:space="preserve"> an ‘exceptional cris</w:t>
      </w:r>
      <w:r w:rsidR="00BC6F03">
        <w:t>i</w:t>
      </w:r>
      <w:r w:rsidR="00962BDB">
        <w:t>s’.</w:t>
      </w:r>
      <w:r w:rsidR="00E74EAB">
        <w:t xml:space="preserve"> </w:t>
      </w:r>
      <w:r w:rsidR="00152E41">
        <w:t xml:space="preserve"> </w:t>
      </w:r>
    </w:p>
    <w:p w14:paraId="1FDAC9D3" w14:textId="7A1B5AD2" w:rsidR="00F6653F" w:rsidRDefault="00F6653F" w:rsidP="00CD43CA">
      <w:pPr>
        <w:pStyle w:val="Numberedparagraph"/>
      </w:pPr>
      <w:r w:rsidRPr="0092186C">
        <w:rPr>
          <w:b/>
          <w:bCs/>
        </w:rPr>
        <w:t>Table B</w:t>
      </w:r>
      <w:r>
        <w:t>: Youth</w:t>
      </w:r>
      <w:r w:rsidRPr="00F6653F">
        <w:t xml:space="preserve"> </w:t>
      </w:r>
      <w:r w:rsidR="001C277A">
        <w:t>offender</w:t>
      </w:r>
      <w:r w:rsidR="00BE6228">
        <w:t>s in Queensland</w:t>
      </w:r>
      <w:r w:rsidR="001C277A">
        <w:t xml:space="preserve"> by</w:t>
      </w:r>
      <w:r w:rsidRPr="00F6653F">
        <w:t xml:space="preserve"> principal offence</w:t>
      </w:r>
      <w:r w:rsidR="001C277A">
        <w:t xml:space="preserve"> </w:t>
      </w:r>
      <w:r w:rsidRPr="00F6653F">
        <w:t>between 2014-15 to 2023-24</w:t>
      </w:r>
      <w:r w:rsidR="001C277A">
        <w:t xml:space="preserve"> (rate per 100</w:t>
      </w:r>
      <w:r w:rsidR="004D0762">
        <w:t>,000 persons)</w:t>
      </w:r>
      <w:r w:rsidR="004D0762">
        <w:rPr>
          <w:rStyle w:val="FootnoteReference"/>
        </w:rPr>
        <w:footnoteReference w:id="33"/>
      </w:r>
    </w:p>
    <w:p w14:paraId="53654850" w14:textId="49B3B3FA" w:rsidR="00C00493" w:rsidRDefault="00F22852" w:rsidP="00CD43CA">
      <w:pPr>
        <w:pStyle w:val="Numberedparagraph"/>
      </w:pPr>
      <w:r>
        <w:rPr>
          <w:noProof/>
        </w:rPr>
        <w:drawing>
          <wp:inline distT="0" distB="0" distL="0" distR="0" wp14:anchorId="1CF8AA4D" wp14:editId="755D2721">
            <wp:extent cx="6078931" cy="4433011"/>
            <wp:effectExtent l="0" t="0" r="17145" b="5715"/>
            <wp:docPr id="1340426026" name="Chart 1">
              <a:extLst xmlns:a="http://schemas.openxmlformats.org/drawingml/2006/main">
                <a:ext uri="{FF2B5EF4-FFF2-40B4-BE49-F238E27FC236}">
                  <a16:creationId xmlns:a16="http://schemas.microsoft.com/office/drawing/2014/main" id="{8473EBC3-989F-8538-4AF8-B3B760DC94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BD33EB9" w14:textId="420CFD2D" w:rsidR="00524462" w:rsidRPr="00524462" w:rsidRDefault="00524462" w:rsidP="00256E9D">
      <w:pPr>
        <w:pStyle w:val="Numberedparagraph"/>
        <w:numPr>
          <w:ilvl w:val="0"/>
          <w:numId w:val="5"/>
        </w:numPr>
      </w:pPr>
      <w:r>
        <w:lastRenderedPageBreak/>
        <w:t>Academics have similarly debunked the Government’s claims that there is a ‘youth crime crisis’ in Queensland.</w:t>
      </w:r>
      <w:r>
        <w:rPr>
          <w:rStyle w:val="FootnoteReference"/>
        </w:rPr>
        <w:footnoteReference w:id="34"/>
      </w:r>
    </w:p>
    <w:p w14:paraId="306D4FF6" w14:textId="3126E2B0" w:rsidR="00643D7C" w:rsidRPr="0017353D" w:rsidRDefault="00643D7C" w:rsidP="00256E9D">
      <w:pPr>
        <w:pStyle w:val="Numberedparagraph"/>
        <w:numPr>
          <w:ilvl w:val="0"/>
          <w:numId w:val="5"/>
        </w:numPr>
      </w:pPr>
      <w:r w:rsidRPr="00643D7C">
        <w:rPr>
          <w:rFonts w:eastAsia="Times New Roman" w:cs="Times New Roman"/>
          <w:color w:val="auto"/>
          <w:szCs w:val="22"/>
        </w:rPr>
        <w:t xml:space="preserve">Given this evidence, the Commission finds no justification for </w:t>
      </w:r>
      <w:r w:rsidR="004B12CD">
        <w:rPr>
          <w:rFonts w:eastAsia="Times New Roman" w:cs="Times New Roman"/>
          <w:color w:val="auto"/>
          <w:szCs w:val="22"/>
        </w:rPr>
        <w:t xml:space="preserve">overriding human rights in relation to </w:t>
      </w:r>
      <w:r w:rsidR="003548DD">
        <w:rPr>
          <w:rFonts w:eastAsia="Times New Roman" w:cs="Times New Roman"/>
          <w:color w:val="auto"/>
          <w:szCs w:val="22"/>
        </w:rPr>
        <w:t xml:space="preserve">this Bill, nor </w:t>
      </w:r>
      <w:r w:rsidR="00BD53F2">
        <w:rPr>
          <w:rFonts w:eastAsia="Times New Roman" w:cs="Times New Roman"/>
          <w:color w:val="auto"/>
          <w:szCs w:val="22"/>
        </w:rPr>
        <w:t>the MQS Act</w:t>
      </w:r>
      <w:r w:rsidR="00524462">
        <w:rPr>
          <w:rFonts w:eastAsia="Times New Roman" w:cs="Times New Roman"/>
          <w:color w:val="auto"/>
          <w:szCs w:val="22"/>
        </w:rPr>
        <w:t>.</w:t>
      </w:r>
      <w:r w:rsidR="00FA0E1A">
        <w:rPr>
          <w:rFonts w:eastAsia="Times New Roman" w:cs="Times New Roman"/>
          <w:color w:val="auto"/>
          <w:szCs w:val="22"/>
        </w:rPr>
        <w:t xml:space="preserve"> </w:t>
      </w:r>
      <w:r w:rsidR="00BD53F2">
        <w:rPr>
          <w:rFonts w:eastAsia="Times New Roman" w:cs="Times New Roman"/>
          <w:color w:val="auto"/>
          <w:szCs w:val="22"/>
        </w:rPr>
        <w:t>The Commission stresses that e</w:t>
      </w:r>
      <w:r w:rsidR="00350F3D">
        <w:rPr>
          <w:rFonts w:eastAsia="Times New Roman" w:cs="Times New Roman"/>
          <w:color w:val="auto"/>
          <w:szCs w:val="22"/>
        </w:rPr>
        <w:t xml:space="preserve">ven </w:t>
      </w:r>
      <w:r w:rsidR="00DB538F">
        <w:rPr>
          <w:rFonts w:eastAsia="Times New Roman" w:cs="Times New Roman"/>
          <w:color w:val="auto"/>
          <w:szCs w:val="22"/>
        </w:rPr>
        <w:t xml:space="preserve">if </w:t>
      </w:r>
      <w:r w:rsidR="00981D6D">
        <w:rPr>
          <w:rFonts w:eastAsia="Times New Roman" w:cs="Times New Roman"/>
          <w:color w:val="auto"/>
          <w:szCs w:val="22"/>
        </w:rPr>
        <w:t xml:space="preserve">it is possible to point to </w:t>
      </w:r>
      <w:r w:rsidR="009E2215">
        <w:rPr>
          <w:rFonts w:eastAsia="Times New Roman" w:cs="Times New Roman"/>
          <w:color w:val="auto"/>
          <w:szCs w:val="22"/>
        </w:rPr>
        <w:t>year</w:t>
      </w:r>
      <w:r w:rsidR="00DB538F">
        <w:rPr>
          <w:rFonts w:eastAsia="Times New Roman" w:cs="Times New Roman"/>
          <w:color w:val="auto"/>
          <w:szCs w:val="22"/>
        </w:rPr>
        <w:t>-to-</w:t>
      </w:r>
      <w:r w:rsidR="009E2215">
        <w:rPr>
          <w:rFonts w:eastAsia="Times New Roman" w:cs="Times New Roman"/>
          <w:color w:val="auto"/>
          <w:szCs w:val="22"/>
        </w:rPr>
        <w:t xml:space="preserve">year increases in relation to discrete offences, </w:t>
      </w:r>
      <w:r w:rsidR="00DB538F">
        <w:rPr>
          <w:rFonts w:eastAsia="Times New Roman" w:cs="Times New Roman"/>
          <w:color w:val="auto"/>
          <w:szCs w:val="22"/>
        </w:rPr>
        <w:t>this is insufficient to establish that there is</w:t>
      </w:r>
      <w:r w:rsidR="005B139C">
        <w:rPr>
          <w:rFonts w:eastAsia="Times New Roman" w:cs="Times New Roman"/>
          <w:color w:val="auto"/>
          <w:szCs w:val="22"/>
        </w:rPr>
        <w:t xml:space="preserve"> a</w:t>
      </w:r>
      <w:r w:rsidR="00DB538F">
        <w:rPr>
          <w:rFonts w:eastAsia="Times New Roman" w:cs="Times New Roman"/>
          <w:color w:val="auto"/>
          <w:szCs w:val="22"/>
        </w:rPr>
        <w:t>n ‘exception</w:t>
      </w:r>
      <w:r w:rsidR="00F10E8C">
        <w:rPr>
          <w:rFonts w:eastAsia="Times New Roman" w:cs="Times New Roman"/>
          <w:color w:val="auto"/>
          <w:szCs w:val="22"/>
        </w:rPr>
        <w:t>al</w:t>
      </w:r>
      <w:r w:rsidR="00DB538F">
        <w:rPr>
          <w:rFonts w:eastAsia="Times New Roman" w:cs="Times New Roman"/>
          <w:color w:val="auto"/>
          <w:szCs w:val="22"/>
        </w:rPr>
        <w:t xml:space="preserve"> crisis’ with respect to</w:t>
      </w:r>
      <w:r w:rsidR="005B139C">
        <w:rPr>
          <w:rFonts w:eastAsia="Times New Roman" w:cs="Times New Roman"/>
          <w:color w:val="auto"/>
          <w:szCs w:val="22"/>
        </w:rPr>
        <w:t xml:space="preserve"> youth crime </w:t>
      </w:r>
      <w:r w:rsidR="00910822">
        <w:rPr>
          <w:rFonts w:eastAsia="Times New Roman" w:cs="Times New Roman"/>
          <w:color w:val="auto"/>
          <w:szCs w:val="22"/>
        </w:rPr>
        <w:t xml:space="preserve">warranting a </w:t>
      </w:r>
      <w:r w:rsidR="004B12CD">
        <w:rPr>
          <w:rFonts w:eastAsia="Times New Roman" w:cs="Times New Roman"/>
          <w:color w:val="auto"/>
          <w:szCs w:val="22"/>
        </w:rPr>
        <w:t xml:space="preserve">broad and far-reaching </w:t>
      </w:r>
      <w:r w:rsidR="00910822">
        <w:rPr>
          <w:rFonts w:eastAsia="Times New Roman" w:cs="Times New Roman"/>
          <w:color w:val="auto"/>
          <w:szCs w:val="22"/>
        </w:rPr>
        <w:t xml:space="preserve">override of human rights. </w:t>
      </w:r>
    </w:p>
    <w:p w14:paraId="7D786C70" w14:textId="77777777" w:rsidR="0055246F" w:rsidRPr="0055246F" w:rsidRDefault="0017353D" w:rsidP="0055246F">
      <w:pPr>
        <w:pStyle w:val="Numberedparagraph"/>
        <w:numPr>
          <w:ilvl w:val="0"/>
          <w:numId w:val="5"/>
        </w:numPr>
      </w:pPr>
      <w:r>
        <w:rPr>
          <w:rFonts w:eastAsia="Times New Roman" w:cs="Times New Roman"/>
          <w:color w:val="auto"/>
          <w:szCs w:val="22"/>
        </w:rPr>
        <w:t>The Committee</w:t>
      </w:r>
      <w:r w:rsidR="00A44BC8">
        <w:rPr>
          <w:rFonts w:eastAsia="Times New Roman" w:cs="Times New Roman"/>
          <w:color w:val="auto"/>
          <w:szCs w:val="22"/>
        </w:rPr>
        <w:t xml:space="preserve"> should</w:t>
      </w:r>
      <w:r>
        <w:rPr>
          <w:rFonts w:eastAsia="Times New Roman" w:cs="Times New Roman"/>
          <w:color w:val="auto"/>
          <w:szCs w:val="22"/>
        </w:rPr>
        <w:t xml:space="preserve"> recommend to </w:t>
      </w:r>
      <w:r w:rsidR="00736B92">
        <w:rPr>
          <w:rFonts w:eastAsia="Times New Roman" w:cs="Times New Roman"/>
          <w:color w:val="auto"/>
          <w:szCs w:val="22"/>
        </w:rPr>
        <w:t>parliament</w:t>
      </w:r>
      <w:r>
        <w:rPr>
          <w:rFonts w:eastAsia="Times New Roman" w:cs="Times New Roman"/>
          <w:color w:val="auto"/>
          <w:szCs w:val="22"/>
        </w:rPr>
        <w:t xml:space="preserve"> that this Bill not be passed (</w:t>
      </w:r>
      <w:r w:rsidRPr="0017353D">
        <w:rPr>
          <w:rFonts w:eastAsia="Times New Roman" w:cs="Times New Roman"/>
          <w:b/>
          <w:bCs/>
          <w:color w:val="auto"/>
          <w:szCs w:val="22"/>
        </w:rPr>
        <w:t>RECOMMENDATION 2</w:t>
      </w:r>
      <w:r>
        <w:rPr>
          <w:rFonts w:eastAsia="Times New Roman" w:cs="Times New Roman"/>
          <w:color w:val="auto"/>
          <w:szCs w:val="22"/>
        </w:rPr>
        <w:t xml:space="preserve">). Further, that the relevant sections of the MQS Act </w:t>
      </w:r>
      <w:r w:rsidR="00A44BC8">
        <w:rPr>
          <w:rFonts w:eastAsia="Times New Roman" w:cs="Times New Roman"/>
          <w:color w:val="auto"/>
          <w:szCs w:val="22"/>
        </w:rPr>
        <w:t xml:space="preserve">which are incompatible with the Human Rights Act </w:t>
      </w:r>
      <w:r>
        <w:rPr>
          <w:rFonts w:eastAsia="Times New Roman" w:cs="Times New Roman"/>
          <w:color w:val="auto"/>
          <w:szCs w:val="22"/>
        </w:rPr>
        <w:t>be repealed (</w:t>
      </w:r>
      <w:r w:rsidRPr="0017353D">
        <w:rPr>
          <w:rFonts w:eastAsia="Times New Roman" w:cs="Times New Roman"/>
          <w:b/>
          <w:bCs/>
          <w:color w:val="auto"/>
          <w:szCs w:val="22"/>
        </w:rPr>
        <w:t>RECOMMENDATION 2A</w:t>
      </w:r>
      <w:r>
        <w:rPr>
          <w:rFonts w:eastAsia="Times New Roman" w:cs="Times New Roman"/>
          <w:color w:val="auto"/>
          <w:szCs w:val="22"/>
        </w:rPr>
        <w:t xml:space="preserve">). </w:t>
      </w:r>
      <w:r w:rsidR="00C07913">
        <w:rPr>
          <w:rFonts w:eastAsia="Times New Roman" w:cs="Times New Roman"/>
        </w:rPr>
        <w:t xml:space="preserve">Alternatively, </w:t>
      </w:r>
      <w:r w:rsidR="00C07913" w:rsidRPr="0036286E">
        <w:rPr>
          <w:rFonts w:eastAsia="Times New Roman" w:cs="Times New Roman"/>
        </w:rPr>
        <w:t xml:space="preserve">at a minimum, </w:t>
      </w:r>
      <w:r w:rsidR="00615239">
        <w:rPr>
          <w:rFonts w:eastAsia="Times New Roman" w:cs="Times New Roman"/>
        </w:rPr>
        <w:t>this Bill</w:t>
      </w:r>
      <w:r w:rsidR="00C07913">
        <w:rPr>
          <w:rFonts w:eastAsia="Times New Roman" w:cs="Times New Roman"/>
        </w:rPr>
        <w:t xml:space="preserve"> </w:t>
      </w:r>
      <w:r w:rsidR="00C07913" w:rsidRPr="0036286E">
        <w:rPr>
          <w:rFonts w:eastAsia="Times New Roman" w:cs="Times New Roman"/>
        </w:rPr>
        <w:t xml:space="preserve">should be </w:t>
      </w:r>
      <w:r w:rsidR="00C07913">
        <w:rPr>
          <w:rFonts w:eastAsia="Times New Roman" w:cs="Times New Roman"/>
        </w:rPr>
        <w:t xml:space="preserve">delayed </w:t>
      </w:r>
      <w:r w:rsidR="00C07913" w:rsidRPr="0036286E">
        <w:rPr>
          <w:rFonts w:eastAsia="Times New Roman" w:cs="Times New Roman"/>
        </w:rPr>
        <w:t xml:space="preserve">until the MQS Act is independently reviewed </w:t>
      </w:r>
      <w:r w:rsidR="00C07913">
        <w:rPr>
          <w:rFonts w:eastAsia="Times New Roman" w:cs="Times New Roman"/>
        </w:rPr>
        <w:t xml:space="preserve">within the broader </w:t>
      </w:r>
      <w:r w:rsidR="00C07913" w:rsidRPr="0036286E">
        <w:rPr>
          <w:rFonts w:eastAsia="Times New Roman" w:cs="Times New Roman"/>
        </w:rPr>
        <w:t xml:space="preserve">context of </w:t>
      </w:r>
      <w:r w:rsidR="00C07913">
        <w:rPr>
          <w:rFonts w:eastAsia="Times New Roman" w:cs="Times New Roman"/>
        </w:rPr>
        <w:t xml:space="preserve">youth justice reforms </w:t>
      </w:r>
      <w:r w:rsidR="00C07913" w:rsidRPr="0036286E">
        <w:rPr>
          <w:rFonts w:eastAsia="Times New Roman" w:cs="Times New Roman"/>
        </w:rPr>
        <w:t>since 2020</w:t>
      </w:r>
      <w:r w:rsidR="00C07913">
        <w:rPr>
          <w:rFonts w:eastAsia="Times New Roman" w:cs="Times New Roman"/>
        </w:rPr>
        <w:t xml:space="preserve"> (</w:t>
      </w:r>
      <w:r w:rsidR="00C07913" w:rsidRPr="00C07913">
        <w:rPr>
          <w:rFonts w:eastAsia="Times New Roman" w:cs="Times New Roman"/>
          <w:b/>
          <w:bCs/>
        </w:rPr>
        <w:t>RECOMMENDATION 2B</w:t>
      </w:r>
      <w:r w:rsidR="00C07913">
        <w:rPr>
          <w:rFonts w:eastAsia="Times New Roman" w:cs="Times New Roman"/>
        </w:rPr>
        <w:t>).</w:t>
      </w:r>
      <w:r w:rsidR="006306B2">
        <w:rPr>
          <w:rFonts w:eastAsia="Times New Roman" w:cs="Times New Roman"/>
        </w:rPr>
        <w:t xml:space="preserve"> </w:t>
      </w:r>
    </w:p>
    <w:p w14:paraId="4A194D23" w14:textId="5FDE61BD" w:rsidR="0055246F" w:rsidRPr="00643D7C" w:rsidRDefault="00DA35A2" w:rsidP="005D30DD">
      <w:pPr>
        <w:pStyle w:val="Numberedparagraph"/>
        <w:numPr>
          <w:ilvl w:val="0"/>
          <w:numId w:val="5"/>
        </w:numPr>
      </w:pPr>
      <w:r>
        <w:rPr>
          <w:rFonts w:eastAsia="Times New Roman" w:cs="Times New Roman"/>
        </w:rPr>
        <w:t xml:space="preserve">The </w:t>
      </w:r>
      <w:r w:rsidR="00121AE2">
        <w:rPr>
          <w:rFonts w:eastAsia="Times New Roman" w:cs="Times New Roman"/>
          <w:color w:val="auto"/>
          <w:szCs w:val="22"/>
        </w:rPr>
        <w:t>g</w:t>
      </w:r>
      <w:r w:rsidR="0055246F" w:rsidRPr="00121AE2">
        <w:rPr>
          <w:rFonts w:eastAsia="Times New Roman" w:cs="Times New Roman"/>
          <w:color w:val="auto"/>
          <w:szCs w:val="22"/>
        </w:rPr>
        <w:t xml:space="preserve">overnment should engage </w:t>
      </w:r>
      <w:proofErr w:type="gramStart"/>
      <w:r w:rsidR="0055246F" w:rsidRPr="00DA35A2">
        <w:rPr>
          <w:rFonts w:eastAsia="Times New Roman" w:cs="Times New Roman"/>
          <w:bCs/>
          <w:color w:val="auto"/>
          <w:szCs w:val="22"/>
        </w:rPr>
        <w:t>QATSICPP</w:t>
      </w:r>
      <w:proofErr w:type="gramEnd"/>
      <w:r w:rsidR="0055246F" w:rsidRPr="00DA35A2">
        <w:rPr>
          <w:rFonts w:eastAsia="Times New Roman" w:cs="Times New Roman"/>
          <w:bCs/>
          <w:color w:val="auto"/>
          <w:szCs w:val="22"/>
        </w:rPr>
        <w:t xml:space="preserve"> </w:t>
      </w:r>
      <w:r w:rsidR="0055246F" w:rsidRPr="00121AE2">
        <w:rPr>
          <w:rFonts w:eastAsia="Times New Roman" w:cs="Times New Roman"/>
          <w:color w:val="auto"/>
          <w:szCs w:val="22"/>
        </w:rPr>
        <w:t>and relevant community led organisation and peak bodies for disability services to assist to conduct the independent review of the MQS Act (</w:t>
      </w:r>
      <w:r w:rsidR="0055246F" w:rsidRPr="00121AE2">
        <w:rPr>
          <w:rFonts w:eastAsia="Times New Roman" w:cs="Times New Roman"/>
          <w:b/>
          <w:bCs/>
          <w:color w:val="auto"/>
          <w:szCs w:val="22"/>
        </w:rPr>
        <w:t>RECOMMENDATION 2C</w:t>
      </w:r>
      <w:r w:rsidR="0055246F" w:rsidRPr="00121AE2">
        <w:rPr>
          <w:rFonts w:eastAsia="Times New Roman" w:cs="Times New Roman"/>
          <w:color w:val="auto"/>
          <w:szCs w:val="22"/>
        </w:rPr>
        <w:t>).</w:t>
      </w:r>
    </w:p>
    <w:p w14:paraId="418A9137" w14:textId="77777777" w:rsidR="00856424" w:rsidRDefault="00856424" w:rsidP="00856424">
      <w:pPr>
        <w:pStyle w:val="Heading1"/>
        <w:rPr>
          <w:lang w:val="en-US"/>
        </w:rPr>
      </w:pPr>
      <w:bookmarkStart w:id="13" w:name="_Toc195687395"/>
      <w:r>
        <w:rPr>
          <w:lang w:val="en-US"/>
        </w:rPr>
        <w:t>The Bill will not make Queensland safer</w:t>
      </w:r>
      <w:bookmarkEnd w:id="13"/>
    </w:p>
    <w:p w14:paraId="292238D0" w14:textId="20983FC0" w:rsidR="00DF5588" w:rsidRPr="00DF5588" w:rsidRDefault="00DF5588" w:rsidP="00DF5588">
      <w:pPr>
        <w:pStyle w:val="Heading3"/>
        <w:rPr>
          <w:lang w:val="en-US"/>
        </w:rPr>
      </w:pPr>
      <w:bookmarkStart w:id="14" w:name="_Toc195687396"/>
      <w:r>
        <w:rPr>
          <w:lang w:val="en-US"/>
        </w:rPr>
        <w:t>The Bill will not improve confidence in the criminal justice system</w:t>
      </w:r>
      <w:bookmarkEnd w:id="14"/>
    </w:p>
    <w:p w14:paraId="12B5FF5B" w14:textId="48808501" w:rsidR="00CF6E07" w:rsidRPr="00BB2E9F" w:rsidRDefault="00CF6E07" w:rsidP="00CF6E07">
      <w:pPr>
        <w:pStyle w:val="Numberedparagraph"/>
        <w:numPr>
          <w:ilvl w:val="0"/>
          <w:numId w:val="5"/>
        </w:numPr>
        <w:rPr>
          <w:lang w:val="en-US"/>
        </w:rPr>
      </w:pPr>
      <w:r w:rsidRPr="00A45E53">
        <w:t xml:space="preserve">The Statement of Compatibility states the Bill will enhance community safety by ensuring courts can </w:t>
      </w:r>
      <w:r w:rsidR="00F325D7">
        <w:t>‘</w:t>
      </w:r>
      <w:r w:rsidRPr="00A45E53">
        <w:t>impose appropriate penalties that meet community expectations… [which] will demonstrate to the community that youth offending is treated seriously… which will increase community confidence in the justice system</w:t>
      </w:r>
      <w:r w:rsidR="00F325D7">
        <w:t>’</w:t>
      </w:r>
      <w:r w:rsidRPr="00A45E53">
        <w:t>.</w:t>
      </w:r>
      <w:r>
        <w:rPr>
          <w:rStyle w:val="FootnoteReference"/>
        </w:rPr>
        <w:footnoteReference w:id="35"/>
      </w:r>
    </w:p>
    <w:p w14:paraId="4D160819" w14:textId="56D49BB7" w:rsidR="00BB2E9F" w:rsidRPr="000A5B21" w:rsidRDefault="0031343B" w:rsidP="00CF6E07">
      <w:pPr>
        <w:pStyle w:val="Numberedparagraph"/>
        <w:numPr>
          <w:ilvl w:val="0"/>
          <w:numId w:val="5"/>
        </w:numPr>
        <w:rPr>
          <w:lang w:val="en-US"/>
        </w:rPr>
      </w:pPr>
      <w:r>
        <w:t xml:space="preserve">While the Commission agrees </w:t>
      </w:r>
      <w:r w:rsidR="001C09A6">
        <w:t xml:space="preserve">community </w:t>
      </w:r>
      <w:r>
        <w:t xml:space="preserve">confidence in the justice system tends to lead to lower offending and higher compliance, </w:t>
      </w:r>
      <w:r w:rsidRPr="00BC535F">
        <w:rPr>
          <w:b/>
          <w:bCs/>
        </w:rPr>
        <w:t xml:space="preserve">the Commission does not agree this Bill will </w:t>
      </w:r>
      <w:r w:rsidR="005D16EE" w:rsidRPr="00BC535F">
        <w:rPr>
          <w:b/>
          <w:bCs/>
        </w:rPr>
        <w:t>increase community confidence in the justice system in Queensland</w:t>
      </w:r>
      <w:r w:rsidR="005D16EE">
        <w:t xml:space="preserve">. </w:t>
      </w:r>
    </w:p>
    <w:p w14:paraId="0832FE46" w14:textId="02A5D2A4" w:rsidR="00306DD2" w:rsidRPr="001B3D32" w:rsidRDefault="00DF2F06" w:rsidP="001B3D32">
      <w:pPr>
        <w:numPr>
          <w:ilvl w:val="0"/>
          <w:numId w:val="5"/>
        </w:numPr>
        <w:spacing w:before="120" w:after="240" w:line="276" w:lineRule="auto"/>
        <w:rPr>
          <w:rFonts w:cs="Arial"/>
        </w:rPr>
      </w:pPr>
      <w:r>
        <w:rPr>
          <w:lang w:val="en-US"/>
        </w:rPr>
        <w:t xml:space="preserve">Recent research published by </w:t>
      </w:r>
      <w:r w:rsidR="00D56227" w:rsidRPr="006C2B45">
        <w:rPr>
          <w:lang w:val="en-US"/>
        </w:rPr>
        <w:t>QSAC</w:t>
      </w:r>
      <w:r w:rsidR="006C2B45">
        <w:rPr>
          <w:lang w:val="en-US"/>
        </w:rPr>
        <w:t xml:space="preserve"> </w:t>
      </w:r>
      <w:r w:rsidR="00A72B2D">
        <w:rPr>
          <w:lang w:val="en-US"/>
        </w:rPr>
        <w:t>suggest</w:t>
      </w:r>
      <w:r w:rsidR="00B36EDE">
        <w:rPr>
          <w:lang w:val="en-US"/>
        </w:rPr>
        <w:t>s</w:t>
      </w:r>
      <w:r w:rsidR="007430F7">
        <w:rPr>
          <w:lang w:val="en-US"/>
        </w:rPr>
        <w:t xml:space="preserve"> </w:t>
      </w:r>
      <w:r w:rsidR="00C713B1">
        <w:rPr>
          <w:lang w:val="en-US"/>
        </w:rPr>
        <w:t xml:space="preserve">punitive attitudes toward sentencing </w:t>
      </w:r>
      <w:r w:rsidR="00A71D03">
        <w:rPr>
          <w:lang w:val="en-US"/>
        </w:rPr>
        <w:t xml:space="preserve">largely </w:t>
      </w:r>
      <w:r w:rsidR="00C713B1">
        <w:rPr>
          <w:lang w:val="en-US"/>
        </w:rPr>
        <w:t>stem from a lack of knowledge about sentenc</w:t>
      </w:r>
      <w:r w:rsidR="00D56227">
        <w:rPr>
          <w:lang w:val="en-US"/>
        </w:rPr>
        <w:t>ing</w:t>
      </w:r>
      <w:r w:rsidR="00C713B1">
        <w:rPr>
          <w:lang w:val="en-US"/>
        </w:rPr>
        <w:t xml:space="preserve"> and the criminal justice system.</w:t>
      </w:r>
      <w:r w:rsidR="00B21282">
        <w:rPr>
          <w:rStyle w:val="FootnoteReference"/>
          <w:lang w:val="en-US"/>
        </w:rPr>
        <w:footnoteReference w:id="36"/>
      </w:r>
      <w:r w:rsidR="006C4C6B" w:rsidRPr="006C4C6B">
        <w:t xml:space="preserve"> </w:t>
      </w:r>
      <w:r w:rsidR="006C4C6B">
        <w:t>W</w:t>
      </w:r>
      <w:r w:rsidR="006C4C6B" w:rsidRPr="006C4C6B">
        <w:rPr>
          <w:lang w:val="en-US"/>
        </w:rPr>
        <w:t xml:space="preserve">hen </w:t>
      </w:r>
      <w:r w:rsidR="006149F4">
        <w:rPr>
          <w:lang w:val="en-US"/>
        </w:rPr>
        <w:t xml:space="preserve">a </w:t>
      </w:r>
      <w:r w:rsidR="006C4C6B">
        <w:rPr>
          <w:lang w:val="en-US"/>
        </w:rPr>
        <w:t xml:space="preserve">community </w:t>
      </w:r>
      <w:r w:rsidR="006149F4">
        <w:rPr>
          <w:lang w:val="en-US"/>
        </w:rPr>
        <w:t xml:space="preserve">member </w:t>
      </w:r>
      <w:r w:rsidR="006C4C6B">
        <w:rPr>
          <w:lang w:val="en-US"/>
        </w:rPr>
        <w:t>is</w:t>
      </w:r>
      <w:r w:rsidR="006C4C6B" w:rsidRPr="006C4C6B">
        <w:rPr>
          <w:lang w:val="en-US"/>
        </w:rPr>
        <w:t xml:space="preserve"> provided with accurate information about a case, they </w:t>
      </w:r>
      <w:r w:rsidR="008A6EC9">
        <w:rPr>
          <w:lang w:val="en-US"/>
        </w:rPr>
        <w:t>typically</w:t>
      </w:r>
      <w:r w:rsidR="006C4C6B" w:rsidRPr="006C4C6B">
        <w:rPr>
          <w:lang w:val="en-US"/>
        </w:rPr>
        <w:t xml:space="preserve"> support the sentences imposed</w:t>
      </w:r>
      <w:r w:rsidR="006C4C6B">
        <w:rPr>
          <w:lang w:val="en-US"/>
        </w:rPr>
        <w:t>.</w:t>
      </w:r>
      <w:r w:rsidR="00C42C8E">
        <w:rPr>
          <w:rStyle w:val="FootnoteReference"/>
          <w:lang w:val="en-US"/>
        </w:rPr>
        <w:footnoteReference w:id="37"/>
      </w:r>
      <w:r w:rsidR="006C4C6B">
        <w:rPr>
          <w:lang w:val="en-US"/>
        </w:rPr>
        <w:t xml:space="preserve"> In fact,</w:t>
      </w:r>
      <w:r w:rsidR="006C4C6B" w:rsidRPr="006C4C6B">
        <w:rPr>
          <w:lang w:val="en-US"/>
        </w:rPr>
        <w:t xml:space="preserve"> </w:t>
      </w:r>
      <w:r w:rsidR="006C4C6B" w:rsidRPr="006C4C6B">
        <w:rPr>
          <w:lang w:val="en-US"/>
        </w:rPr>
        <w:lastRenderedPageBreak/>
        <w:t xml:space="preserve">many would impose </w:t>
      </w:r>
      <w:r w:rsidR="006C4C6B">
        <w:rPr>
          <w:lang w:val="en-US"/>
        </w:rPr>
        <w:t xml:space="preserve">a </w:t>
      </w:r>
      <w:r w:rsidR="006C4C6B" w:rsidRPr="006C4C6B">
        <w:rPr>
          <w:lang w:val="en-US"/>
        </w:rPr>
        <w:t>more lenient sentence</w:t>
      </w:r>
      <w:r w:rsidR="003A0C1A">
        <w:rPr>
          <w:lang w:val="en-US"/>
        </w:rPr>
        <w:t>,</w:t>
      </w:r>
      <w:r w:rsidR="00CC7634">
        <w:rPr>
          <w:rStyle w:val="FootnoteReference"/>
          <w:lang w:val="en-US"/>
        </w:rPr>
        <w:footnoteReference w:id="38"/>
      </w:r>
      <w:r w:rsidR="00C713B1">
        <w:rPr>
          <w:lang w:val="en-US"/>
        </w:rPr>
        <w:t xml:space="preserve"> </w:t>
      </w:r>
      <w:r w:rsidR="003A0C1A">
        <w:rPr>
          <w:rFonts w:cs="Arial"/>
        </w:rPr>
        <w:t>and</w:t>
      </w:r>
      <w:r w:rsidR="001B3D32" w:rsidRPr="000C1BAA">
        <w:rPr>
          <w:rFonts w:cs="Arial"/>
        </w:rPr>
        <w:t xml:space="preserve"> for non-violent offences, such as property crime or non-violent drug offences, the public typically agrees with the courts or leans toward non-custodial sentences.</w:t>
      </w:r>
      <w:r w:rsidR="001B3D32" w:rsidRPr="000C1BAA">
        <w:rPr>
          <w:rFonts w:cs="Arial"/>
          <w:vertAlign w:val="superscript"/>
        </w:rPr>
        <w:footnoteReference w:id="39"/>
      </w:r>
    </w:p>
    <w:p w14:paraId="288805A5" w14:textId="21D010FD" w:rsidR="00B36EDE" w:rsidRDefault="00306DD2" w:rsidP="00CF6E07">
      <w:pPr>
        <w:pStyle w:val="Numberedparagraph"/>
        <w:numPr>
          <w:ilvl w:val="0"/>
          <w:numId w:val="5"/>
        </w:numPr>
        <w:rPr>
          <w:lang w:val="en-US"/>
        </w:rPr>
      </w:pPr>
      <w:r>
        <w:rPr>
          <w:lang w:val="en-US"/>
        </w:rPr>
        <w:t>As such,</w:t>
      </w:r>
      <w:r w:rsidR="00C713B1">
        <w:rPr>
          <w:lang w:val="en-US"/>
        </w:rPr>
        <w:t xml:space="preserve"> </w:t>
      </w:r>
      <w:r w:rsidR="00C713B1" w:rsidRPr="00D90C4D">
        <w:rPr>
          <w:b/>
          <w:bCs/>
          <w:lang w:val="en-US"/>
        </w:rPr>
        <w:t xml:space="preserve">it is unlikely that </w:t>
      </w:r>
      <w:r w:rsidR="00FA26E8" w:rsidRPr="00D90C4D">
        <w:rPr>
          <w:b/>
          <w:bCs/>
          <w:lang w:val="en-US"/>
        </w:rPr>
        <w:t xml:space="preserve">simply imposing harsher sentences on children will </w:t>
      </w:r>
      <w:r w:rsidR="00193EFD" w:rsidRPr="00D90C4D">
        <w:rPr>
          <w:b/>
          <w:bCs/>
          <w:lang w:val="en-US"/>
        </w:rPr>
        <w:t xml:space="preserve">improve confidence in the criminal justice system, nor </w:t>
      </w:r>
      <w:r w:rsidRPr="00D90C4D">
        <w:rPr>
          <w:b/>
          <w:bCs/>
          <w:lang w:val="en-US"/>
        </w:rPr>
        <w:t>is it likely to</w:t>
      </w:r>
      <w:r w:rsidR="00193EFD" w:rsidRPr="00D90C4D">
        <w:rPr>
          <w:b/>
          <w:bCs/>
          <w:lang w:val="en-US"/>
        </w:rPr>
        <w:t xml:space="preserve"> </w:t>
      </w:r>
      <w:r w:rsidR="00FA26E8" w:rsidRPr="00D90C4D">
        <w:rPr>
          <w:b/>
          <w:bCs/>
          <w:lang w:val="en-US"/>
        </w:rPr>
        <w:t>appease Queenslanders</w:t>
      </w:r>
      <w:r w:rsidR="00D12119" w:rsidRPr="00D90C4D">
        <w:rPr>
          <w:b/>
          <w:bCs/>
          <w:lang w:val="en-US"/>
        </w:rPr>
        <w:t>’</w:t>
      </w:r>
      <w:r w:rsidR="00FA26E8" w:rsidRPr="00D90C4D">
        <w:rPr>
          <w:b/>
          <w:bCs/>
          <w:lang w:val="en-US"/>
        </w:rPr>
        <w:t xml:space="preserve"> dissatisfaction </w:t>
      </w:r>
      <w:r w:rsidR="00D56227" w:rsidRPr="00D90C4D">
        <w:rPr>
          <w:b/>
          <w:bCs/>
          <w:lang w:val="en-US"/>
        </w:rPr>
        <w:t xml:space="preserve">with the </w:t>
      </w:r>
      <w:r w:rsidR="00B10A46" w:rsidRPr="00D90C4D">
        <w:rPr>
          <w:b/>
          <w:bCs/>
          <w:lang w:val="en-US"/>
        </w:rPr>
        <w:t>response to youth crime</w:t>
      </w:r>
      <w:r w:rsidR="00193EFD">
        <w:rPr>
          <w:lang w:val="en-US"/>
        </w:rPr>
        <w:t>.</w:t>
      </w:r>
    </w:p>
    <w:p w14:paraId="68D7B57C" w14:textId="5593FA18" w:rsidR="002C04D1" w:rsidRPr="00774B93" w:rsidRDefault="005D2799" w:rsidP="00774B93">
      <w:pPr>
        <w:pStyle w:val="ListParagraph"/>
        <w:numPr>
          <w:ilvl w:val="0"/>
          <w:numId w:val="5"/>
        </w:numPr>
        <w:spacing w:line="276" w:lineRule="auto"/>
        <w:rPr>
          <w:rFonts w:eastAsia="Times New Roman" w:cs="Times New Roman"/>
          <w:lang w:val="en-US"/>
        </w:rPr>
      </w:pPr>
      <w:r w:rsidRPr="00774B93">
        <w:rPr>
          <w:rFonts w:eastAsia="Times New Roman" w:cs="Times New Roman"/>
          <w:lang w:val="en-US"/>
        </w:rPr>
        <w:t xml:space="preserve">Additionally, </w:t>
      </w:r>
      <w:r w:rsidR="00667BA0">
        <w:rPr>
          <w:rFonts w:eastAsia="Times New Roman" w:cs="Times New Roman"/>
          <w:lang w:val="en-US"/>
        </w:rPr>
        <w:t>instead of</w:t>
      </w:r>
      <w:r w:rsidRPr="00774B93">
        <w:rPr>
          <w:rFonts w:eastAsia="Times New Roman" w:cs="Times New Roman"/>
          <w:lang w:val="en-US"/>
        </w:rPr>
        <w:t xml:space="preserve"> improving confidence in the criminal justice system,</w:t>
      </w:r>
      <w:r w:rsidR="00A6279E" w:rsidRPr="00774B93">
        <w:rPr>
          <w:rFonts w:eastAsia="Times New Roman" w:cs="Times New Roman"/>
          <w:lang w:val="en-US"/>
        </w:rPr>
        <w:t xml:space="preserve"> </w:t>
      </w:r>
      <w:r w:rsidR="00667BA0">
        <w:rPr>
          <w:rFonts w:eastAsia="Times New Roman" w:cs="Times New Roman"/>
          <w:lang w:val="en-US"/>
        </w:rPr>
        <w:t xml:space="preserve">elements of </w:t>
      </w:r>
      <w:r w:rsidR="00A6279E" w:rsidRPr="00774B93">
        <w:rPr>
          <w:rFonts w:eastAsia="Times New Roman" w:cs="Times New Roman"/>
          <w:lang w:val="en-US"/>
        </w:rPr>
        <w:t xml:space="preserve">the </w:t>
      </w:r>
      <w:r w:rsidR="00D9727C" w:rsidRPr="00774B93">
        <w:rPr>
          <w:rFonts w:eastAsia="Times New Roman" w:cs="Times New Roman"/>
          <w:lang w:val="en-US"/>
        </w:rPr>
        <w:t>Bill and the MQS Act</w:t>
      </w:r>
      <w:r w:rsidR="00A6279E" w:rsidRPr="00774B93">
        <w:rPr>
          <w:rFonts w:eastAsia="Times New Roman" w:cs="Times New Roman"/>
          <w:lang w:val="en-US"/>
        </w:rPr>
        <w:t xml:space="preserve"> </w:t>
      </w:r>
      <w:r w:rsidR="00667BA0">
        <w:rPr>
          <w:rFonts w:eastAsia="Times New Roman" w:cs="Times New Roman"/>
          <w:lang w:val="en-US"/>
        </w:rPr>
        <w:t>may</w:t>
      </w:r>
      <w:r w:rsidR="00A6279E" w:rsidRPr="00774B93">
        <w:rPr>
          <w:rFonts w:eastAsia="Times New Roman" w:cs="Times New Roman"/>
          <w:lang w:val="en-US"/>
        </w:rPr>
        <w:t xml:space="preserve"> undermin</w:t>
      </w:r>
      <w:r w:rsidR="00667BA0">
        <w:rPr>
          <w:rFonts w:eastAsia="Times New Roman" w:cs="Times New Roman"/>
          <w:lang w:val="en-US"/>
        </w:rPr>
        <w:t xml:space="preserve">e </w:t>
      </w:r>
      <w:r w:rsidR="00A6279E" w:rsidRPr="00774B93">
        <w:rPr>
          <w:rFonts w:eastAsia="Times New Roman" w:cs="Times New Roman"/>
          <w:lang w:val="en-US"/>
        </w:rPr>
        <w:t>confidence in the system.</w:t>
      </w:r>
      <w:r w:rsidRPr="00774B93">
        <w:rPr>
          <w:rFonts w:eastAsia="Times New Roman" w:cs="Times New Roman"/>
          <w:lang w:val="en-US"/>
        </w:rPr>
        <w:t xml:space="preserve"> </w:t>
      </w:r>
      <w:r w:rsidR="00A6279E" w:rsidRPr="00774B93">
        <w:rPr>
          <w:rFonts w:eastAsia="Times New Roman" w:cs="Times New Roman"/>
          <w:lang w:val="en-US"/>
        </w:rPr>
        <w:t>While the respective seriousness of offences can be reasonably debated, there is general agreement that offences that involve violence and/or cause significant harm to a victim are more serious than those that do not.</w:t>
      </w:r>
      <w:r w:rsidR="00A6279E" w:rsidRPr="00742B52">
        <w:rPr>
          <w:vertAlign w:val="superscript"/>
          <w:lang w:val="en-US"/>
        </w:rPr>
        <w:footnoteReference w:id="40"/>
      </w:r>
      <w:r w:rsidR="00A6279E" w:rsidRPr="00774B93">
        <w:rPr>
          <w:rFonts w:eastAsia="Times New Roman" w:cs="Times New Roman"/>
          <w:lang w:val="en-US"/>
        </w:rPr>
        <w:t xml:space="preserve"> </w:t>
      </w:r>
      <w:r w:rsidR="004D71B2" w:rsidRPr="00774B93">
        <w:rPr>
          <w:rFonts w:cs="Arial"/>
          <w:lang w:val="en-US"/>
        </w:rPr>
        <w:t>Despite this, the prescribed list of offences includes a number of</w:t>
      </w:r>
      <w:r w:rsidR="004D71B2" w:rsidRPr="00774B93">
        <w:rPr>
          <w:rFonts w:eastAsia="Times New Roman" w:cs="Times New Roman"/>
          <w:lang w:val="en-US"/>
        </w:rPr>
        <w:t xml:space="preserve"> offences which do not involve violence or significant harm to the victim</w:t>
      </w:r>
      <w:r w:rsidR="002C04D1" w:rsidRPr="00774B93">
        <w:rPr>
          <w:rFonts w:eastAsia="Times New Roman" w:cs="Times New Roman"/>
          <w:lang w:val="en-US"/>
        </w:rPr>
        <w:t xml:space="preserve"> (e.g., </w:t>
      </w:r>
      <w:r w:rsidR="00B04F3C" w:rsidRPr="00774B93">
        <w:rPr>
          <w:rFonts w:eastAsia="Times New Roman" w:cs="Times New Roman"/>
          <w:lang w:val="en-US"/>
        </w:rPr>
        <w:t>stealing a vehicle</w:t>
      </w:r>
      <w:r w:rsidR="00F2170D">
        <w:rPr>
          <w:rFonts w:eastAsia="Times New Roman" w:cs="Times New Roman"/>
          <w:lang w:val="en-US"/>
        </w:rPr>
        <w:t>,</w:t>
      </w:r>
      <w:r w:rsidR="00B04F3C" w:rsidRPr="00774B93">
        <w:rPr>
          <w:rFonts w:eastAsia="Times New Roman" w:cs="Times New Roman"/>
          <w:lang w:val="en-US"/>
        </w:rPr>
        <w:t xml:space="preserve"> </w:t>
      </w:r>
      <w:r w:rsidR="00774B93">
        <w:rPr>
          <w:rFonts w:eastAsia="Times New Roman" w:cs="Times New Roman"/>
          <w:lang w:val="en-US"/>
        </w:rPr>
        <w:t>d</w:t>
      </w:r>
      <w:r w:rsidR="00774B93" w:rsidRPr="00774B93">
        <w:rPr>
          <w:rFonts w:eastAsia="Times New Roman" w:cs="Times New Roman"/>
          <w:lang w:val="en-US"/>
        </w:rPr>
        <w:t>amaging emergency vehicle when operating motor vehicle</w:t>
      </w:r>
      <w:r w:rsidR="00F2170D">
        <w:rPr>
          <w:rFonts w:eastAsia="Times New Roman" w:cs="Times New Roman"/>
          <w:lang w:val="en-US"/>
        </w:rPr>
        <w:t>,</w:t>
      </w:r>
      <w:r w:rsidR="00774B93">
        <w:rPr>
          <w:rFonts w:eastAsia="Times New Roman" w:cs="Times New Roman"/>
          <w:lang w:val="en-US"/>
        </w:rPr>
        <w:t xml:space="preserve"> </w:t>
      </w:r>
      <w:r w:rsidR="002C04D1" w:rsidRPr="00774B93">
        <w:rPr>
          <w:rFonts w:eastAsia="Times New Roman" w:cs="Times New Roman"/>
          <w:lang w:val="en-US"/>
        </w:rPr>
        <w:t>unlawful use of a motor vehicle).</w:t>
      </w:r>
    </w:p>
    <w:p w14:paraId="52870876" w14:textId="76C16B32" w:rsidR="004D71B2" w:rsidRDefault="004D71B2" w:rsidP="002C04D1">
      <w:pPr>
        <w:pStyle w:val="Numberedparagraph"/>
        <w:numPr>
          <w:ilvl w:val="0"/>
          <w:numId w:val="5"/>
        </w:numPr>
        <w:rPr>
          <w:lang w:val="en-US"/>
        </w:rPr>
      </w:pPr>
      <w:r w:rsidRPr="002C04D1">
        <w:rPr>
          <w:rFonts w:eastAsia="Times New Roman" w:cs="Times New Roman"/>
          <w:lang w:val="en-US"/>
        </w:rPr>
        <w:t>A core tenet of the rule of law is that the law should apply equally with predictable outcomes based on established principles.</w:t>
      </w:r>
      <w:r w:rsidRPr="00742B52">
        <w:rPr>
          <w:vertAlign w:val="superscript"/>
          <w:lang w:val="en-US"/>
        </w:rPr>
        <w:footnoteReference w:id="41"/>
      </w:r>
      <w:r w:rsidRPr="002C04D1">
        <w:rPr>
          <w:rFonts w:eastAsia="Times New Roman" w:cs="Times New Roman"/>
          <w:lang w:val="en-US"/>
        </w:rPr>
        <w:t xml:space="preserve"> Because the prescribed offences do not follow broadly agreed principles in terms of seriousness, the law appears arbitrary. </w:t>
      </w:r>
      <w:proofErr w:type="gramStart"/>
      <w:r w:rsidRPr="002C04D1">
        <w:rPr>
          <w:rFonts w:eastAsia="Times New Roman" w:cs="Times New Roman"/>
          <w:lang w:val="en-US"/>
        </w:rPr>
        <w:t>Th</w:t>
      </w:r>
      <w:r w:rsidR="0091321B" w:rsidRPr="002C04D1">
        <w:rPr>
          <w:rFonts w:eastAsia="Times New Roman" w:cs="Times New Roman"/>
          <w:lang w:val="en-US"/>
        </w:rPr>
        <w:t>is risks</w:t>
      </w:r>
      <w:proofErr w:type="gramEnd"/>
      <w:r w:rsidR="0091321B" w:rsidRPr="002C04D1">
        <w:rPr>
          <w:rFonts w:eastAsia="Times New Roman" w:cs="Times New Roman"/>
          <w:lang w:val="en-US"/>
        </w:rPr>
        <w:t xml:space="preserve"> undermining</w:t>
      </w:r>
      <w:r w:rsidRPr="002C04D1">
        <w:rPr>
          <w:rFonts w:eastAsia="Times New Roman" w:cs="Times New Roman"/>
          <w:lang w:val="en-US"/>
        </w:rPr>
        <w:t xml:space="preserve"> confidence in the justice system. Furthermore, even if harsh penalties could be said to have a deterrent effect – an argument which </w:t>
      </w:r>
      <w:r w:rsidRPr="002C04D1">
        <w:rPr>
          <w:lang w:val="en-US"/>
        </w:rPr>
        <w:t xml:space="preserve">evidence and research does not support – an inconsistent approach to sentencing would diminish any such effect. </w:t>
      </w:r>
    </w:p>
    <w:p w14:paraId="79C51C54" w14:textId="5C33BAF1" w:rsidR="00E33A8B" w:rsidRPr="00E33A8B" w:rsidRDefault="00E33A8B" w:rsidP="00E33A8B">
      <w:pPr>
        <w:pStyle w:val="ListParagraph"/>
        <w:numPr>
          <w:ilvl w:val="0"/>
          <w:numId w:val="5"/>
        </w:numPr>
        <w:spacing w:line="276" w:lineRule="auto"/>
        <w:rPr>
          <w:rFonts w:eastAsia="Times New Roman" w:cs="Times New Roman"/>
          <w:lang w:val="en-US"/>
        </w:rPr>
      </w:pPr>
      <w:r w:rsidRPr="00E33A8B">
        <w:rPr>
          <w:rFonts w:eastAsia="Times New Roman" w:cs="Times New Roman"/>
          <w:lang w:val="en-US"/>
        </w:rPr>
        <w:t xml:space="preserve">Additionally, the ‘adult crime, </w:t>
      </w:r>
      <w:proofErr w:type="gramStart"/>
      <w:r w:rsidRPr="00E33A8B">
        <w:rPr>
          <w:rFonts w:eastAsia="Times New Roman" w:cs="Times New Roman"/>
          <w:lang w:val="en-US"/>
        </w:rPr>
        <w:t>adult</w:t>
      </w:r>
      <w:proofErr w:type="gramEnd"/>
      <w:r w:rsidRPr="00E33A8B">
        <w:rPr>
          <w:rFonts w:eastAsia="Times New Roman" w:cs="Times New Roman"/>
          <w:lang w:val="en-US"/>
        </w:rPr>
        <w:t xml:space="preserve"> time’ policy creates a situation where children convicted of certain offences could now face harsher sentences compared to adults convicted of the same offences. Unlike children, adults will still benefit from sentencing principles that emphasise incarceration </w:t>
      </w:r>
      <w:r>
        <w:rPr>
          <w:rFonts w:eastAsia="Times New Roman" w:cs="Times New Roman"/>
          <w:lang w:val="en-US"/>
        </w:rPr>
        <w:t>should be</w:t>
      </w:r>
      <w:r w:rsidRPr="00E33A8B">
        <w:rPr>
          <w:rFonts w:eastAsia="Times New Roman" w:cs="Times New Roman"/>
          <w:lang w:val="en-US"/>
        </w:rPr>
        <w:t xml:space="preserve"> a last resort </w:t>
      </w:r>
      <w:r w:rsidRPr="00E33A8B">
        <w:rPr>
          <w:rFonts w:eastAsia="Times New Roman" w:cs="Times New Roman"/>
        </w:rPr>
        <w:t>and the preference for non-custodial orders</w:t>
      </w:r>
      <w:r w:rsidRPr="00E33A8B">
        <w:rPr>
          <w:rFonts w:eastAsia="Times New Roman" w:cs="Times New Roman"/>
          <w:lang w:val="en-US"/>
        </w:rPr>
        <w:t>.</w:t>
      </w:r>
      <w:r w:rsidRPr="00742B52">
        <w:rPr>
          <w:vertAlign w:val="superscript"/>
          <w:lang w:val="en-US"/>
        </w:rPr>
        <w:footnoteReference w:id="42"/>
      </w:r>
      <w:r w:rsidRPr="00E33A8B">
        <w:rPr>
          <w:rFonts w:eastAsia="Times New Roman" w:cs="Times New Roman"/>
          <w:lang w:val="en-US"/>
        </w:rPr>
        <w:t xml:space="preserve"> Given </w:t>
      </w:r>
      <w:r>
        <w:rPr>
          <w:rFonts w:eastAsia="Times New Roman" w:cs="Times New Roman"/>
          <w:lang w:val="en-US"/>
        </w:rPr>
        <w:t xml:space="preserve">the </w:t>
      </w:r>
      <w:r w:rsidRPr="00E33A8B">
        <w:rPr>
          <w:rFonts w:eastAsia="Times New Roman" w:cs="Times New Roman"/>
          <w:lang w:val="en-US"/>
        </w:rPr>
        <w:t>well-established evidence that a child’s cognitive development and decision-making capacity is different to adults,</w:t>
      </w:r>
      <w:r w:rsidRPr="00742B52">
        <w:rPr>
          <w:vertAlign w:val="superscript"/>
          <w:lang w:val="en-US"/>
        </w:rPr>
        <w:footnoteReference w:id="43"/>
      </w:r>
      <w:r w:rsidRPr="00E33A8B">
        <w:rPr>
          <w:rFonts w:eastAsia="Times New Roman" w:cs="Times New Roman"/>
          <w:lang w:val="en-US"/>
        </w:rPr>
        <w:t xml:space="preserve"> this disparity </w:t>
      </w:r>
      <w:r w:rsidR="00491482">
        <w:rPr>
          <w:rFonts w:eastAsia="Times New Roman" w:cs="Times New Roman"/>
          <w:lang w:val="en-US"/>
        </w:rPr>
        <w:t>can</w:t>
      </w:r>
      <w:r>
        <w:rPr>
          <w:rFonts w:eastAsia="Times New Roman" w:cs="Times New Roman"/>
          <w:lang w:val="en-US"/>
        </w:rPr>
        <w:t xml:space="preserve"> be seen as</w:t>
      </w:r>
      <w:r w:rsidRPr="00E33A8B">
        <w:rPr>
          <w:rFonts w:eastAsia="Times New Roman" w:cs="Times New Roman"/>
          <w:lang w:val="en-US"/>
        </w:rPr>
        <w:t xml:space="preserve"> arbitrary and unreasonable. </w:t>
      </w:r>
    </w:p>
    <w:p w14:paraId="2F1E4C82" w14:textId="10FD84AA" w:rsidR="00CB7A77" w:rsidRPr="00D90792" w:rsidRDefault="004D71B2" w:rsidP="00A32C96">
      <w:pPr>
        <w:pStyle w:val="Numberedparagraph"/>
        <w:numPr>
          <w:ilvl w:val="0"/>
          <w:numId w:val="5"/>
        </w:numPr>
        <w:rPr>
          <w:rFonts w:eastAsia="Times New Roman" w:cs="Times New Roman"/>
        </w:rPr>
      </w:pPr>
      <w:r w:rsidRPr="00D90792">
        <w:rPr>
          <w:lang w:val="en-US"/>
        </w:rPr>
        <w:lastRenderedPageBreak/>
        <w:t>The Commission</w:t>
      </w:r>
      <w:r w:rsidRPr="00D90792">
        <w:rPr>
          <w:rFonts w:eastAsia="Times New Roman" w:cs="Times New Roman"/>
          <w:lang w:val="en-US"/>
        </w:rPr>
        <w:t xml:space="preserve"> urges the </w:t>
      </w:r>
      <w:r w:rsidR="00F206AA">
        <w:rPr>
          <w:rFonts w:eastAsia="Times New Roman" w:cs="Times New Roman"/>
          <w:lang w:val="en-US"/>
        </w:rPr>
        <w:t>Committee</w:t>
      </w:r>
      <w:r w:rsidRPr="00D90792">
        <w:rPr>
          <w:rFonts w:eastAsia="Times New Roman" w:cs="Times New Roman"/>
          <w:lang w:val="en-US"/>
        </w:rPr>
        <w:t xml:space="preserve"> to recommend </w:t>
      </w:r>
      <w:r w:rsidR="00481F6A">
        <w:rPr>
          <w:rFonts w:eastAsia="Times New Roman" w:cs="Times New Roman"/>
          <w:lang w:val="en-US"/>
        </w:rPr>
        <w:t>th</w:t>
      </w:r>
      <w:r w:rsidR="00F206AA">
        <w:rPr>
          <w:rFonts w:eastAsia="Times New Roman" w:cs="Times New Roman"/>
          <w:lang w:val="en-US"/>
        </w:rPr>
        <w:t>at</w:t>
      </w:r>
      <w:r w:rsidR="00481F6A" w:rsidRPr="00D90792">
        <w:rPr>
          <w:rFonts w:eastAsia="Times New Roman" w:cs="Times New Roman"/>
          <w:lang w:val="en-US"/>
        </w:rPr>
        <w:t xml:space="preserve"> </w:t>
      </w:r>
      <w:proofErr w:type="gramStart"/>
      <w:r w:rsidR="00736B92">
        <w:rPr>
          <w:rFonts w:eastAsia="Times New Roman" w:cs="Times New Roman"/>
          <w:lang w:val="en-US"/>
        </w:rPr>
        <w:t>g</w:t>
      </w:r>
      <w:r w:rsidRPr="00D90792">
        <w:rPr>
          <w:rFonts w:eastAsia="Times New Roman" w:cs="Times New Roman"/>
          <w:lang w:val="en-US"/>
        </w:rPr>
        <w:t>overnment</w:t>
      </w:r>
      <w:proofErr w:type="gramEnd"/>
      <w:r w:rsidRPr="00D90792">
        <w:rPr>
          <w:rFonts w:eastAsia="Times New Roman" w:cs="Times New Roman"/>
          <w:lang w:val="en-US"/>
        </w:rPr>
        <w:t xml:space="preserve"> rectify this issue by, at a minimum, amending the </w:t>
      </w:r>
      <w:r w:rsidR="00674B94" w:rsidRPr="00D90792">
        <w:rPr>
          <w:rFonts w:eastAsia="Times New Roman" w:cs="Times New Roman"/>
          <w:lang w:val="en-US"/>
        </w:rPr>
        <w:t>Bill and the MQS Act</w:t>
      </w:r>
      <w:r w:rsidRPr="00D90792">
        <w:rPr>
          <w:rFonts w:eastAsia="Times New Roman" w:cs="Times New Roman"/>
          <w:lang w:val="en-US"/>
        </w:rPr>
        <w:t xml:space="preserve"> to </w:t>
      </w:r>
      <w:r w:rsidR="00D90792" w:rsidRPr="00D90792">
        <w:rPr>
          <w:rFonts w:eastAsia="Times New Roman" w:cs="Times New Roman"/>
          <w:lang w:val="en-US"/>
        </w:rPr>
        <w:t>include an exception for</w:t>
      </w:r>
      <w:r w:rsidRPr="00D90792">
        <w:rPr>
          <w:rFonts w:eastAsia="Times New Roman" w:cs="Times New Roman"/>
          <w:lang w:val="en-US"/>
        </w:rPr>
        <w:t xml:space="preserve"> offences that are committed without violence </w:t>
      </w:r>
      <w:r w:rsidR="00D90792" w:rsidRPr="00D90792">
        <w:rPr>
          <w:rFonts w:eastAsia="Times New Roman" w:cs="Times New Roman"/>
          <w:lang w:val="en-US"/>
        </w:rPr>
        <w:t xml:space="preserve">and </w:t>
      </w:r>
      <w:r w:rsidR="00A90621">
        <w:rPr>
          <w:rFonts w:eastAsia="Times New Roman" w:cs="Times New Roman"/>
          <w:lang w:val="en-US"/>
        </w:rPr>
        <w:t>ensuring</w:t>
      </w:r>
      <w:r w:rsidR="00D90792">
        <w:rPr>
          <w:rFonts w:eastAsia="Times New Roman" w:cs="Times New Roman"/>
          <w:lang w:val="en-US"/>
        </w:rPr>
        <w:t xml:space="preserve"> the </w:t>
      </w:r>
      <w:r w:rsidR="00D90792" w:rsidRPr="00D90792">
        <w:rPr>
          <w:rFonts w:eastAsia="Times New Roman" w:cs="Times New Roman"/>
        </w:rPr>
        <w:t xml:space="preserve">principles of detention as a last resort and preference for non-custodial orders </w:t>
      </w:r>
      <w:r w:rsidR="00A90621">
        <w:rPr>
          <w:rFonts w:eastAsia="Times New Roman" w:cs="Times New Roman"/>
        </w:rPr>
        <w:t>are</w:t>
      </w:r>
      <w:r w:rsidR="00D90792" w:rsidRPr="00D90792">
        <w:rPr>
          <w:rFonts w:eastAsia="Times New Roman" w:cs="Times New Roman"/>
        </w:rPr>
        <w:t xml:space="preserve"> retained in relation to non-violent offences</w:t>
      </w:r>
      <w:r w:rsidR="00D90792">
        <w:rPr>
          <w:rFonts w:eastAsia="Times New Roman" w:cs="Times New Roman"/>
        </w:rPr>
        <w:t xml:space="preserve"> (</w:t>
      </w:r>
      <w:r w:rsidR="00D90792" w:rsidRPr="00D90792">
        <w:rPr>
          <w:rFonts w:eastAsia="Times New Roman" w:cs="Times New Roman"/>
          <w:b/>
          <w:bCs/>
        </w:rPr>
        <w:t xml:space="preserve">RECOMMENDATION </w:t>
      </w:r>
      <w:r w:rsidR="008654A0">
        <w:rPr>
          <w:rFonts w:eastAsia="Times New Roman" w:cs="Times New Roman"/>
          <w:b/>
          <w:bCs/>
        </w:rPr>
        <w:t>3</w:t>
      </w:r>
      <w:r w:rsidR="00D90792">
        <w:rPr>
          <w:rFonts w:eastAsia="Times New Roman" w:cs="Times New Roman"/>
        </w:rPr>
        <w:t>).</w:t>
      </w:r>
    </w:p>
    <w:p w14:paraId="5EF8B4CC" w14:textId="20346EDC" w:rsidR="00B87631" w:rsidRDefault="00B87631" w:rsidP="00A32C96">
      <w:pPr>
        <w:pStyle w:val="Numberedparagraph"/>
        <w:numPr>
          <w:ilvl w:val="0"/>
          <w:numId w:val="5"/>
        </w:numPr>
        <w:rPr>
          <w:rFonts w:eastAsia="Times New Roman" w:cs="Times New Roman"/>
        </w:rPr>
      </w:pPr>
      <w:r>
        <w:rPr>
          <w:rFonts w:eastAsia="Times New Roman" w:cs="Times New Roman"/>
        </w:rPr>
        <w:t xml:space="preserve">Additionally, the </w:t>
      </w:r>
      <w:r w:rsidR="00C84606">
        <w:rPr>
          <w:rFonts w:eastAsia="Times New Roman" w:cs="Times New Roman"/>
        </w:rPr>
        <w:t xml:space="preserve">Expert Legal Panel, which </w:t>
      </w:r>
      <w:r w:rsidR="000865E0">
        <w:rPr>
          <w:rFonts w:eastAsia="Times New Roman" w:cs="Times New Roman"/>
        </w:rPr>
        <w:t xml:space="preserve">was </w:t>
      </w:r>
      <w:r w:rsidR="00CF3CEB">
        <w:rPr>
          <w:rFonts w:eastAsia="Times New Roman" w:cs="Times New Roman"/>
        </w:rPr>
        <w:t>appointed</w:t>
      </w:r>
      <w:r w:rsidR="000865E0">
        <w:rPr>
          <w:rFonts w:eastAsia="Times New Roman" w:cs="Times New Roman"/>
        </w:rPr>
        <w:t xml:space="preserve"> </w:t>
      </w:r>
      <w:r w:rsidR="00125E5A">
        <w:rPr>
          <w:rFonts w:eastAsia="Times New Roman" w:cs="Times New Roman"/>
        </w:rPr>
        <w:t>‘</w:t>
      </w:r>
      <w:r w:rsidR="00125E5A" w:rsidRPr="00125E5A">
        <w:rPr>
          <w:rFonts w:eastAsia="Times New Roman" w:cs="Times New Roman"/>
        </w:rPr>
        <w:t>to provide advice on the next stages of reform</w:t>
      </w:r>
      <w:r w:rsidR="00465BB6">
        <w:rPr>
          <w:rFonts w:eastAsia="Times New Roman" w:cs="Times New Roman"/>
        </w:rPr>
        <w:t>…</w:t>
      </w:r>
      <w:r w:rsidR="00125E5A" w:rsidRPr="00125E5A">
        <w:rPr>
          <w:rFonts w:eastAsia="Times New Roman" w:cs="Times New Roman"/>
        </w:rPr>
        <w:t xml:space="preserve"> relevant to Adult Crime, Adult Time</w:t>
      </w:r>
      <w:r w:rsidR="00AE0E7A">
        <w:rPr>
          <w:rFonts w:eastAsia="Times New Roman" w:cs="Times New Roman"/>
        </w:rPr>
        <w:t>’</w:t>
      </w:r>
      <w:r w:rsidR="008A2412">
        <w:rPr>
          <w:rStyle w:val="FootnoteReference"/>
          <w:rFonts w:eastAsia="Times New Roman" w:cs="Times New Roman"/>
        </w:rPr>
        <w:footnoteReference w:id="44"/>
      </w:r>
      <w:r w:rsidR="00AE0E7A">
        <w:rPr>
          <w:rFonts w:eastAsia="Times New Roman" w:cs="Times New Roman"/>
        </w:rPr>
        <w:t xml:space="preserve"> </w:t>
      </w:r>
      <w:r w:rsidR="00CF3CEB">
        <w:rPr>
          <w:rFonts w:eastAsia="Times New Roman" w:cs="Times New Roman"/>
        </w:rPr>
        <w:t>should release its Terms of Reference and a report on the consultation undertake</w:t>
      </w:r>
      <w:r w:rsidR="00465BB6">
        <w:rPr>
          <w:rFonts w:eastAsia="Times New Roman" w:cs="Times New Roman"/>
        </w:rPr>
        <w:t>n</w:t>
      </w:r>
      <w:r w:rsidR="00CF3CEB">
        <w:rPr>
          <w:rFonts w:eastAsia="Times New Roman" w:cs="Times New Roman"/>
        </w:rPr>
        <w:t xml:space="preserve"> by the Panel</w:t>
      </w:r>
      <w:r w:rsidR="00A90621">
        <w:rPr>
          <w:rFonts w:eastAsia="Times New Roman" w:cs="Times New Roman"/>
        </w:rPr>
        <w:t>. This would</w:t>
      </w:r>
      <w:r w:rsidR="00CF3CEB">
        <w:rPr>
          <w:rFonts w:eastAsia="Times New Roman" w:cs="Times New Roman"/>
        </w:rPr>
        <w:t xml:space="preserve"> facilitate the community to better understand </w:t>
      </w:r>
      <w:r w:rsidR="0020742B">
        <w:rPr>
          <w:rFonts w:eastAsia="Times New Roman" w:cs="Times New Roman"/>
        </w:rPr>
        <w:t xml:space="preserve">and assess </w:t>
      </w:r>
      <w:r w:rsidR="00CF3CEB">
        <w:rPr>
          <w:rFonts w:eastAsia="Times New Roman" w:cs="Times New Roman"/>
        </w:rPr>
        <w:t xml:space="preserve">the reasoning for the inclusion of the additional 20 offences </w:t>
      </w:r>
      <w:r w:rsidR="008A2412">
        <w:rPr>
          <w:rFonts w:eastAsia="Times New Roman" w:cs="Times New Roman"/>
        </w:rPr>
        <w:t>(</w:t>
      </w:r>
      <w:r w:rsidR="008A2412" w:rsidRPr="0054733C">
        <w:rPr>
          <w:rFonts w:eastAsia="Times New Roman" w:cs="Times New Roman"/>
          <w:b/>
          <w:bCs/>
        </w:rPr>
        <w:t>RECOMMENDATION 3</w:t>
      </w:r>
      <w:r w:rsidR="00A90621">
        <w:rPr>
          <w:rFonts w:eastAsia="Times New Roman" w:cs="Times New Roman"/>
          <w:b/>
          <w:bCs/>
        </w:rPr>
        <w:t>A</w:t>
      </w:r>
      <w:r w:rsidR="008A2412">
        <w:rPr>
          <w:rFonts w:eastAsia="Times New Roman" w:cs="Times New Roman"/>
        </w:rPr>
        <w:t>).</w:t>
      </w:r>
      <w:r w:rsidR="00AE0E7A">
        <w:rPr>
          <w:rFonts w:eastAsia="Times New Roman" w:cs="Times New Roman"/>
        </w:rPr>
        <w:t xml:space="preserve"> </w:t>
      </w:r>
    </w:p>
    <w:p w14:paraId="6ABDD8B3" w14:textId="1A97996B" w:rsidR="00484F5E" w:rsidRPr="00D90792" w:rsidRDefault="00484F5E" w:rsidP="00A32C96">
      <w:pPr>
        <w:pStyle w:val="Numberedparagraph"/>
        <w:numPr>
          <w:ilvl w:val="0"/>
          <w:numId w:val="5"/>
        </w:numPr>
        <w:rPr>
          <w:rFonts w:eastAsia="Times New Roman" w:cs="Times New Roman"/>
        </w:rPr>
      </w:pPr>
      <w:r w:rsidRPr="00484F5E">
        <w:rPr>
          <w:rFonts w:eastAsia="Times New Roman" w:cs="Times New Roman"/>
        </w:rPr>
        <w:t xml:space="preserve">The Commission strongly warns the </w:t>
      </w:r>
      <w:r>
        <w:rPr>
          <w:rFonts w:eastAsia="Times New Roman" w:cs="Times New Roman"/>
        </w:rPr>
        <w:t>Committee</w:t>
      </w:r>
      <w:r w:rsidRPr="00484F5E">
        <w:rPr>
          <w:rFonts w:eastAsia="Times New Roman" w:cs="Times New Roman"/>
        </w:rPr>
        <w:t xml:space="preserve"> against removing the principle of detention as a last resort and preference for non-custodial orders for adults. Doing so would undoubtedly place Queensland in an untenable position with respect to adult detention capacity – which is already at breaking point. </w:t>
      </w:r>
    </w:p>
    <w:p w14:paraId="7355D46A" w14:textId="115E4B2D" w:rsidR="00CD531A" w:rsidRPr="009A3FE8" w:rsidRDefault="00B50C7B">
      <w:pPr>
        <w:pStyle w:val="Numberedparagraph"/>
        <w:numPr>
          <w:ilvl w:val="0"/>
          <w:numId w:val="5"/>
        </w:numPr>
        <w:rPr>
          <w:lang w:val="en-US"/>
        </w:rPr>
      </w:pPr>
      <w:r>
        <w:rPr>
          <w:lang w:val="en-US"/>
        </w:rPr>
        <w:t>C</w:t>
      </w:r>
      <w:r w:rsidR="00F77F3F" w:rsidRPr="009A3FE8">
        <w:rPr>
          <w:lang w:val="en-US"/>
        </w:rPr>
        <w:t>ommunity satisfaction with the response</w:t>
      </w:r>
      <w:r w:rsidR="00515116">
        <w:rPr>
          <w:lang w:val="en-US"/>
        </w:rPr>
        <w:t xml:space="preserve"> </w:t>
      </w:r>
      <w:r w:rsidR="00F77F3F" w:rsidRPr="009A3FE8">
        <w:rPr>
          <w:lang w:val="en-US"/>
        </w:rPr>
        <w:t>to youth crime</w:t>
      </w:r>
      <w:r w:rsidR="00515116">
        <w:rPr>
          <w:lang w:val="en-US"/>
        </w:rPr>
        <w:t xml:space="preserve"> is likely to increase </w:t>
      </w:r>
      <w:r w:rsidR="00730A8E">
        <w:rPr>
          <w:lang w:val="en-US"/>
        </w:rPr>
        <w:t>if there is a reduction in youth crime</w:t>
      </w:r>
      <w:r w:rsidR="009A3FE8" w:rsidRPr="009A3FE8">
        <w:rPr>
          <w:lang w:val="en-US"/>
        </w:rPr>
        <w:t xml:space="preserve">. </w:t>
      </w:r>
      <w:r w:rsidR="00AB408F">
        <w:rPr>
          <w:lang w:val="en-US"/>
        </w:rPr>
        <w:t>However, t</w:t>
      </w:r>
      <w:r w:rsidR="009A3FE8" w:rsidRPr="009A3FE8">
        <w:rPr>
          <w:lang w:val="en-US"/>
        </w:rPr>
        <w:t xml:space="preserve">his Bill </w:t>
      </w:r>
      <w:r w:rsidR="000513B1">
        <w:rPr>
          <w:lang w:val="en-US"/>
        </w:rPr>
        <w:t>is likely to</w:t>
      </w:r>
      <w:r w:rsidR="00AB408F">
        <w:rPr>
          <w:lang w:val="en-US"/>
        </w:rPr>
        <w:t xml:space="preserve"> </w:t>
      </w:r>
      <w:r w:rsidR="000513B1">
        <w:rPr>
          <w:lang w:val="en-US"/>
        </w:rPr>
        <w:t>increase</w:t>
      </w:r>
      <w:r>
        <w:rPr>
          <w:lang w:val="en-US"/>
        </w:rPr>
        <w:t xml:space="preserve"> youth </w:t>
      </w:r>
      <w:r w:rsidR="00BC05DD">
        <w:rPr>
          <w:lang w:val="en-US"/>
        </w:rPr>
        <w:t>offending</w:t>
      </w:r>
      <w:r w:rsidR="009A3FE8" w:rsidRPr="009A3FE8">
        <w:rPr>
          <w:lang w:val="en-US"/>
        </w:rPr>
        <w:t xml:space="preserve">. </w:t>
      </w:r>
    </w:p>
    <w:p w14:paraId="5EFB4332" w14:textId="680CBAF5" w:rsidR="0066235D" w:rsidRDefault="0066235D" w:rsidP="00BB2E9F">
      <w:pPr>
        <w:pStyle w:val="Heading3"/>
        <w:rPr>
          <w:lang w:val="en-US"/>
        </w:rPr>
      </w:pPr>
      <w:bookmarkStart w:id="15" w:name="_Toc195687397"/>
      <w:bookmarkStart w:id="16" w:name="_Toc184118318"/>
      <w:r>
        <w:rPr>
          <w:lang w:val="en-US"/>
        </w:rPr>
        <w:t>Harsh</w:t>
      </w:r>
      <w:r w:rsidR="00676470">
        <w:rPr>
          <w:lang w:val="en-US"/>
        </w:rPr>
        <w:t>er</w:t>
      </w:r>
      <w:r>
        <w:rPr>
          <w:lang w:val="en-US"/>
        </w:rPr>
        <w:t xml:space="preserve"> sentences do not deter </w:t>
      </w:r>
      <w:r w:rsidR="00B31EEE">
        <w:rPr>
          <w:lang w:val="en-US"/>
        </w:rPr>
        <w:t xml:space="preserve">youth </w:t>
      </w:r>
      <w:r>
        <w:rPr>
          <w:lang w:val="en-US"/>
        </w:rPr>
        <w:t>crime</w:t>
      </w:r>
      <w:bookmarkEnd w:id="15"/>
    </w:p>
    <w:p w14:paraId="0B8BD691" w14:textId="574AEE97" w:rsidR="00F33FA8" w:rsidRPr="009D1228" w:rsidRDefault="00074C62">
      <w:pPr>
        <w:pStyle w:val="Numberedparagraph"/>
        <w:numPr>
          <w:ilvl w:val="0"/>
          <w:numId w:val="5"/>
        </w:numPr>
        <w:rPr>
          <w:lang w:val="en-US"/>
        </w:rPr>
      </w:pPr>
      <w:r>
        <w:t xml:space="preserve">The theory of deterrence </w:t>
      </w:r>
      <w:r w:rsidR="002046F6">
        <w:t>is</w:t>
      </w:r>
      <w:r>
        <w:t xml:space="preserve"> that crime can be prevented</w:t>
      </w:r>
      <w:r w:rsidR="008771DD" w:rsidRPr="008771DD">
        <w:t xml:space="preserve"> through the fear of threatened</w:t>
      </w:r>
      <w:r w:rsidR="009E38FA">
        <w:t xml:space="preserve"> </w:t>
      </w:r>
      <w:r>
        <w:t xml:space="preserve">or actual </w:t>
      </w:r>
      <w:r w:rsidR="008771DD" w:rsidRPr="008771DD">
        <w:t>criminal sanction.</w:t>
      </w:r>
      <w:r w:rsidR="00A33F3D">
        <w:rPr>
          <w:rStyle w:val="FootnoteReference"/>
        </w:rPr>
        <w:footnoteReference w:id="45"/>
      </w:r>
      <w:r w:rsidR="00DD0A10">
        <w:t xml:space="preserve"> </w:t>
      </w:r>
      <w:r w:rsidR="00F829A7">
        <w:t>This</w:t>
      </w:r>
      <w:r w:rsidR="00492C90">
        <w:t xml:space="preserve"> relies on an assumption that </w:t>
      </w:r>
      <w:r w:rsidR="00A33F3D">
        <w:t xml:space="preserve">people weigh up the costs and </w:t>
      </w:r>
      <w:r w:rsidR="00492C90">
        <w:t>benefits</w:t>
      </w:r>
      <w:r w:rsidR="00A33F3D">
        <w:t xml:space="preserve"> of a particular course of action</w:t>
      </w:r>
      <w:r w:rsidR="00492C90">
        <w:t xml:space="preserve"> when making decisions.</w:t>
      </w:r>
      <w:r w:rsidR="00720A76">
        <w:rPr>
          <w:rStyle w:val="FootnoteReference"/>
        </w:rPr>
        <w:footnoteReference w:id="46"/>
      </w:r>
      <w:r w:rsidR="00F90568" w:rsidRPr="009D1228">
        <w:rPr>
          <w:lang w:val="en-US"/>
        </w:rPr>
        <w:t xml:space="preserve"> </w:t>
      </w:r>
      <w:r w:rsidR="003E0197">
        <w:rPr>
          <w:lang w:val="en-US"/>
        </w:rPr>
        <w:t xml:space="preserve">Deterrent sentencing </w:t>
      </w:r>
      <w:r w:rsidR="001A0CE5">
        <w:rPr>
          <w:lang w:val="en-US"/>
        </w:rPr>
        <w:t>(imposing specific</w:t>
      </w:r>
      <w:r w:rsidR="002046F6">
        <w:rPr>
          <w:lang w:val="en-US"/>
        </w:rPr>
        <w:t xml:space="preserve"> or harsher</w:t>
      </w:r>
      <w:r w:rsidR="001A0CE5">
        <w:rPr>
          <w:lang w:val="en-US"/>
        </w:rPr>
        <w:t xml:space="preserve"> sentences with the aim of deterring a specific crime) </w:t>
      </w:r>
      <w:r w:rsidR="003E0197">
        <w:rPr>
          <w:lang w:val="en-US"/>
        </w:rPr>
        <w:t xml:space="preserve">additionally relies on knowledge of the </w:t>
      </w:r>
      <w:r w:rsidR="00E81BA3">
        <w:rPr>
          <w:lang w:val="en-US"/>
        </w:rPr>
        <w:t xml:space="preserve">possible </w:t>
      </w:r>
      <w:r w:rsidR="00653AB1">
        <w:rPr>
          <w:lang w:val="en-US"/>
        </w:rPr>
        <w:t xml:space="preserve">criminal </w:t>
      </w:r>
      <w:r w:rsidR="00E81BA3">
        <w:rPr>
          <w:lang w:val="en-US"/>
        </w:rPr>
        <w:t>sanction.</w:t>
      </w:r>
    </w:p>
    <w:p w14:paraId="188CB483" w14:textId="6DB5D962" w:rsidR="003F21D2" w:rsidRPr="00F014C2" w:rsidRDefault="00CE3909" w:rsidP="00F014C2">
      <w:pPr>
        <w:pStyle w:val="Numberedparagraph"/>
        <w:numPr>
          <w:ilvl w:val="0"/>
          <w:numId w:val="5"/>
        </w:numPr>
        <w:rPr>
          <w:i/>
          <w:iCs/>
          <w:lang w:val="en-US"/>
        </w:rPr>
      </w:pPr>
      <w:r>
        <w:t xml:space="preserve">The Commission has been unable to identify any evidence that deterrence works for </w:t>
      </w:r>
      <w:r w:rsidR="00D125CB">
        <w:t>children. This is because d</w:t>
      </w:r>
      <w:r w:rsidR="00653AB1">
        <w:t xml:space="preserve">eterrence </w:t>
      </w:r>
      <w:r w:rsidR="00523C23">
        <w:t xml:space="preserve">theory </w:t>
      </w:r>
      <w:r w:rsidR="00653AB1">
        <w:t>is</w:t>
      </w:r>
      <w:r w:rsidR="009D1228" w:rsidRPr="00A4448A">
        <w:t xml:space="preserve"> </w:t>
      </w:r>
      <w:r w:rsidR="000E1E68" w:rsidRPr="00A4448A">
        <w:t>at odds with the way children make decisions.</w:t>
      </w:r>
      <w:r w:rsidR="00E81BA3" w:rsidRPr="00A4448A">
        <w:t xml:space="preserve"> </w:t>
      </w:r>
      <w:r w:rsidR="00F014C2">
        <w:rPr>
          <w:lang w:val="en-US"/>
        </w:rPr>
        <w:t xml:space="preserve">As noted by </w:t>
      </w:r>
      <w:r w:rsidR="00B97B69" w:rsidRPr="00F014C2">
        <w:rPr>
          <w:lang w:val="en-US"/>
        </w:rPr>
        <w:t>QSAC</w:t>
      </w:r>
      <w:r w:rsidR="003F21D2" w:rsidRPr="00F014C2">
        <w:rPr>
          <w:lang w:val="en-US"/>
        </w:rPr>
        <w:t>:</w:t>
      </w:r>
    </w:p>
    <w:p w14:paraId="46C721C7" w14:textId="42BA98A6" w:rsidR="00F014C2" w:rsidRDefault="0096024A" w:rsidP="334CBF55">
      <w:pPr>
        <w:pStyle w:val="Numberedparagraph"/>
        <w:ind w:left="873"/>
        <w:rPr>
          <w:i/>
          <w:iCs/>
        </w:rPr>
      </w:pPr>
      <w:r w:rsidRPr="334CBF55">
        <w:rPr>
          <w:i/>
          <w:iCs/>
        </w:rPr>
        <w:t>‘</w:t>
      </w:r>
      <w:r w:rsidR="00B97B69" w:rsidRPr="334CBF55">
        <w:rPr>
          <w:i/>
          <w:iCs/>
        </w:rPr>
        <w:t>[w]</w:t>
      </w:r>
      <w:r w:rsidR="003F21D2" w:rsidRPr="334CBF55">
        <w:rPr>
          <w:i/>
          <w:iCs/>
        </w:rPr>
        <w:t xml:space="preserve">e are even less certain if deterrence works for children as they are much less likely to think about the long-term effects of their behaviour. Even if they do know the risks of what they are doing, they may ignore those risks because </w:t>
      </w:r>
      <w:r w:rsidR="003F21D2" w:rsidRPr="334CBF55">
        <w:rPr>
          <w:i/>
          <w:iCs/>
        </w:rPr>
        <w:lastRenderedPageBreak/>
        <w:t>they are more influenced by feelings and friends than by logic. This is because children’s brains are not fully developed</w:t>
      </w:r>
      <w:r w:rsidRPr="334CBF55">
        <w:rPr>
          <w:i/>
          <w:iCs/>
        </w:rPr>
        <w:t>’</w:t>
      </w:r>
      <w:r w:rsidR="003F21D2" w:rsidRPr="334CBF55">
        <w:rPr>
          <w:i/>
          <w:iCs/>
        </w:rPr>
        <w:t>.</w:t>
      </w:r>
      <w:r w:rsidR="00D26BA3" w:rsidRPr="334CBF55">
        <w:rPr>
          <w:rStyle w:val="FootnoteReference"/>
          <w:i/>
          <w:iCs/>
        </w:rPr>
        <w:footnoteReference w:id="47"/>
      </w:r>
    </w:p>
    <w:p w14:paraId="34A50790" w14:textId="5B786413" w:rsidR="00F014C2" w:rsidRPr="00A4448A" w:rsidRDefault="00F014C2" w:rsidP="00F014C2">
      <w:pPr>
        <w:pStyle w:val="Numberedparagraph"/>
        <w:numPr>
          <w:ilvl w:val="0"/>
          <w:numId w:val="5"/>
        </w:numPr>
        <w:rPr>
          <w:lang w:val="en-US"/>
        </w:rPr>
      </w:pPr>
      <w:r>
        <w:t>Similarly, a</w:t>
      </w:r>
      <w:r w:rsidRPr="00A4448A">
        <w:t>ccording to Dr Emma Antrobus et al</w:t>
      </w:r>
      <w:r w:rsidR="0063033D">
        <w:t>.</w:t>
      </w:r>
      <w:r w:rsidRPr="00A4448A">
        <w:t>, University of Queensland:</w:t>
      </w:r>
    </w:p>
    <w:p w14:paraId="3A1FF256" w14:textId="77777777" w:rsidR="00F014C2" w:rsidRDefault="00F014C2" w:rsidP="00F014C2">
      <w:pPr>
        <w:pStyle w:val="Numberedparagraph"/>
        <w:ind w:left="873"/>
        <w:rPr>
          <w:i/>
          <w:iCs/>
        </w:rPr>
      </w:pPr>
      <w:r>
        <w:rPr>
          <w:i/>
          <w:iCs/>
        </w:rPr>
        <w:t>‘…n</w:t>
      </w:r>
      <w:r w:rsidRPr="00E81BA3">
        <w:rPr>
          <w:i/>
          <w:iCs/>
        </w:rPr>
        <w:t xml:space="preserve">euroscience tells us that even neurotypical brains are not fully developed until around age 25, and the pre-frontal cortex, which is responsible for decision making, is one of the last areas of the brain to develop. </w:t>
      </w:r>
    </w:p>
    <w:p w14:paraId="01A867DC" w14:textId="3525C3F0" w:rsidR="00F014C2" w:rsidRDefault="00F014C2" w:rsidP="00F014C2">
      <w:pPr>
        <w:pStyle w:val="Numberedparagraph"/>
        <w:ind w:left="873"/>
        <w:rPr>
          <w:i/>
          <w:iCs/>
          <w:lang w:val="en-US"/>
        </w:rPr>
      </w:pPr>
      <w:r w:rsidRPr="00E81BA3">
        <w:rPr>
          <w:i/>
          <w:iCs/>
        </w:rPr>
        <w:t>Further, emerging evidence suggests that many young people in the youth justice system have neurodevelopmental disorders, further impacting their ability to rationally consider the long-term consequences of their actions</w:t>
      </w:r>
      <w:r>
        <w:rPr>
          <w:i/>
          <w:iCs/>
        </w:rPr>
        <w:t>’</w:t>
      </w:r>
      <w:r w:rsidRPr="00E81BA3">
        <w:rPr>
          <w:i/>
          <w:iCs/>
        </w:rPr>
        <w:t>.</w:t>
      </w:r>
      <w:r>
        <w:rPr>
          <w:rStyle w:val="FootnoteReference"/>
          <w:i/>
          <w:iCs/>
        </w:rPr>
        <w:footnoteReference w:id="48"/>
      </w:r>
      <w:r w:rsidRPr="00E81BA3">
        <w:rPr>
          <w:i/>
          <w:iCs/>
        </w:rPr>
        <w:t xml:space="preserve">  </w:t>
      </w:r>
    </w:p>
    <w:p w14:paraId="4029118C" w14:textId="4DE51DDF" w:rsidR="003F21D2" w:rsidRPr="003713E3" w:rsidRDefault="000F4025" w:rsidP="003F21D2">
      <w:pPr>
        <w:pStyle w:val="Numberedparagraph"/>
        <w:numPr>
          <w:ilvl w:val="0"/>
          <w:numId w:val="5"/>
        </w:numPr>
        <w:rPr>
          <w:lang w:val="en-US"/>
        </w:rPr>
      </w:pPr>
      <w:r w:rsidRPr="003713E3">
        <w:rPr>
          <w:lang w:val="en-US"/>
        </w:rPr>
        <w:t xml:space="preserve">Moreover, even if it could be shown </w:t>
      </w:r>
      <w:r w:rsidR="003713E3" w:rsidRPr="003713E3">
        <w:rPr>
          <w:lang w:val="en-US"/>
        </w:rPr>
        <w:t>that the threat of criminal sanction deters children from offending</w:t>
      </w:r>
      <w:r w:rsidR="00020A8B" w:rsidRPr="003713E3">
        <w:rPr>
          <w:lang w:val="en-US"/>
        </w:rPr>
        <w:t xml:space="preserve">, </w:t>
      </w:r>
      <w:r w:rsidR="003713E3" w:rsidRPr="003713E3">
        <w:rPr>
          <w:lang w:val="en-US"/>
        </w:rPr>
        <w:t>the overwhelming weight of evidence indicates</w:t>
      </w:r>
      <w:r w:rsidR="00020A8B" w:rsidRPr="003713E3">
        <w:rPr>
          <w:lang w:val="en-US"/>
        </w:rPr>
        <w:t xml:space="preserve"> that </w:t>
      </w:r>
      <w:r w:rsidR="00020A8B" w:rsidRPr="00D90C4D">
        <w:rPr>
          <w:b/>
          <w:bCs/>
          <w:lang w:val="en-US"/>
        </w:rPr>
        <w:t xml:space="preserve">increases in the severity of sentences do not </w:t>
      </w:r>
      <w:r w:rsidR="009E63FB" w:rsidRPr="00D90C4D">
        <w:rPr>
          <w:b/>
          <w:bCs/>
          <w:lang w:val="en-US"/>
        </w:rPr>
        <w:t xml:space="preserve">have </w:t>
      </w:r>
      <w:r w:rsidR="00A477E4" w:rsidRPr="00D90C4D">
        <w:rPr>
          <w:b/>
          <w:bCs/>
          <w:lang w:val="en-US"/>
        </w:rPr>
        <w:t xml:space="preserve">a corresponding </w:t>
      </w:r>
      <w:r w:rsidR="00D14FE5" w:rsidRPr="00D90C4D">
        <w:rPr>
          <w:b/>
          <w:bCs/>
          <w:lang w:val="en-US"/>
        </w:rPr>
        <w:t xml:space="preserve">increase in </w:t>
      </w:r>
      <w:r w:rsidR="00020A8B" w:rsidRPr="00D90C4D">
        <w:rPr>
          <w:b/>
          <w:bCs/>
          <w:lang w:val="en-US"/>
        </w:rPr>
        <w:t>deterrent effect</w:t>
      </w:r>
      <w:r w:rsidR="00020A8B" w:rsidRPr="003713E3">
        <w:rPr>
          <w:lang w:val="en-US"/>
        </w:rPr>
        <w:t>.</w:t>
      </w:r>
      <w:r w:rsidR="00AA1F03">
        <w:rPr>
          <w:rStyle w:val="FootnoteReference"/>
          <w:lang w:val="en-US"/>
        </w:rPr>
        <w:footnoteReference w:id="49"/>
      </w:r>
      <w:r w:rsidR="00020A8B" w:rsidRPr="003713E3">
        <w:rPr>
          <w:lang w:val="en-US"/>
        </w:rPr>
        <w:t xml:space="preserve"> </w:t>
      </w:r>
    </w:p>
    <w:p w14:paraId="7828B0AA" w14:textId="42F0DD1E" w:rsidR="00BB2E9F" w:rsidRDefault="0066235D" w:rsidP="00F86B45">
      <w:pPr>
        <w:pStyle w:val="Heading3"/>
        <w:rPr>
          <w:lang w:val="en-US"/>
        </w:rPr>
      </w:pPr>
      <w:bookmarkStart w:id="17" w:name="_Toc195687398"/>
      <w:r>
        <w:rPr>
          <w:lang w:val="en-US"/>
        </w:rPr>
        <w:t>D</w:t>
      </w:r>
      <w:r w:rsidR="00BB2E9F">
        <w:rPr>
          <w:lang w:val="en-US"/>
        </w:rPr>
        <w:t>etention does not reduce offending</w:t>
      </w:r>
      <w:bookmarkEnd w:id="16"/>
      <w:bookmarkEnd w:id="17"/>
    </w:p>
    <w:p w14:paraId="79C10CE8" w14:textId="40AE3593" w:rsidR="00D817F7" w:rsidRPr="00D817F7" w:rsidRDefault="00E076B8" w:rsidP="00D817F7">
      <w:pPr>
        <w:pStyle w:val="Numberedparagraph"/>
        <w:numPr>
          <w:ilvl w:val="0"/>
          <w:numId w:val="5"/>
        </w:numPr>
        <w:rPr>
          <w:rFonts w:eastAsia="Times New Roman" w:cs="Times New Roman"/>
          <w:color w:val="auto"/>
          <w:szCs w:val="22"/>
          <w:lang w:val="en-US"/>
        </w:rPr>
      </w:pPr>
      <w:r>
        <w:rPr>
          <w:rFonts w:eastAsia="Times New Roman" w:cs="Times New Roman"/>
          <w:color w:val="auto"/>
          <w:szCs w:val="22"/>
          <w:lang w:val="en-US"/>
        </w:rPr>
        <w:t xml:space="preserve">Not only will the Bill fail to reduce or deter crime </w:t>
      </w:r>
      <w:r w:rsidRPr="00D44E79">
        <w:rPr>
          <w:rFonts w:eastAsia="Times New Roman" w:cs="Times New Roman"/>
          <w:b/>
          <w:bCs/>
          <w:color w:val="auto"/>
          <w:szCs w:val="22"/>
          <w:lang w:val="en-US"/>
        </w:rPr>
        <w:t>but</w:t>
      </w:r>
      <w:r w:rsidR="00876E0B" w:rsidRPr="00D44E79">
        <w:rPr>
          <w:rFonts w:eastAsia="Times New Roman" w:cs="Times New Roman"/>
          <w:b/>
          <w:bCs/>
          <w:color w:val="auto"/>
          <w:szCs w:val="22"/>
          <w:lang w:val="en-US"/>
        </w:rPr>
        <w:t xml:space="preserve"> </w:t>
      </w:r>
      <w:r w:rsidR="00604B80" w:rsidRPr="00D44E79">
        <w:rPr>
          <w:rFonts w:eastAsia="Times New Roman" w:cs="Times New Roman"/>
          <w:b/>
          <w:bCs/>
          <w:color w:val="auto"/>
          <w:szCs w:val="22"/>
          <w:lang w:val="en-US"/>
        </w:rPr>
        <w:t>by causing</w:t>
      </w:r>
      <w:r w:rsidR="00876E0B" w:rsidRPr="00D44E79">
        <w:rPr>
          <w:rFonts w:eastAsia="Times New Roman" w:cs="Times New Roman"/>
          <w:b/>
          <w:bCs/>
          <w:color w:val="auto"/>
          <w:szCs w:val="22"/>
          <w:lang w:val="en-US"/>
        </w:rPr>
        <w:t xml:space="preserve"> more children </w:t>
      </w:r>
      <w:r w:rsidR="00604B80" w:rsidRPr="00D44E79">
        <w:rPr>
          <w:rFonts w:eastAsia="Times New Roman" w:cs="Times New Roman"/>
          <w:b/>
          <w:bCs/>
          <w:color w:val="auto"/>
          <w:szCs w:val="22"/>
          <w:lang w:val="en-US"/>
        </w:rPr>
        <w:t>to be detained, the Bill</w:t>
      </w:r>
      <w:r w:rsidRPr="00D44E79">
        <w:rPr>
          <w:rFonts w:eastAsia="Times New Roman" w:cs="Times New Roman"/>
          <w:b/>
          <w:bCs/>
          <w:color w:val="auto"/>
          <w:szCs w:val="22"/>
          <w:lang w:val="en-US"/>
        </w:rPr>
        <w:t xml:space="preserve"> is likely to increase</w:t>
      </w:r>
      <w:r w:rsidR="00604B80" w:rsidRPr="00D44E79">
        <w:rPr>
          <w:rFonts w:eastAsia="Times New Roman" w:cs="Times New Roman"/>
          <w:b/>
          <w:bCs/>
          <w:color w:val="auto"/>
          <w:szCs w:val="22"/>
          <w:lang w:val="en-US"/>
        </w:rPr>
        <w:t xml:space="preserve"> youth crime</w:t>
      </w:r>
      <w:r w:rsidR="009D6546" w:rsidRPr="006652E9">
        <w:rPr>
          <w:rFonts w:eastAsia="Times New Roman" w:cs="Times New Roman"/>
          <w:color w:val="auto"/>
          <w:szCs w:val="22"/>
          <w:lang w:val="en-US"/>
        </w:rPr>
        <w:t>.</w:t>
      </w:r>
      <w:r w:rsidR="009756D2" w:rsidRPr="006652E9">
        <w:rPr>
          <w:rFonts w:eastAsia="Times New Roman" w:cs="Times New Roman"/>
          <w:color w:val="auto"/>
          <w:szCs w:val="22"/>
          <w:lang w:val="en-US"/>
        </w:rPr>
        <w:t xml:space="preserve"> </w:t>
      </w:r>
      <w:r w:rsidR="00D817F7">
        <w:t xml:space="preserve">This is because all detention is harmful to children, </w:t>
      </w:r>
      <w:r w:rsidR="00604B80">
        <w:t xml:space="preserve">and the harms of detention </w:t>
      </w:r>
      <w:r w:rsidR="00C355DE">
        <w:t>– which are increased where children are detained in inappropriate facilities such as overcrowded detention centres and watchhouses</w:t>
      </w:r>
      <w:r w:rsidR="00D44E79">
        <w:t xml:space="preserve"> – </w:t>
      </w:r>
      <w:r>
        <w:t>often</w:t>
      </w:r>
      <w:r w:rsidR="00D44E79">
        <w:t xml:space="preserve"> </w:t>
      </w:r>
      <w:r>
        <w:t>lead</w:t>
      </w:r>
      <w:r w:rsidR="004C4816">
        <w:t xml:space="preserve"> children to </w:t>
      </w:r>
      <w:r>
        <w:t>re</w:t>
      </w:r>
      <w:r w:rsidR="004C4816">
        <w:t>offend</w:t>
      </w:r>
      <w:r w:rsidR="00D817F7">
        <w:t>.</w:t>
      </w:r>
      <w:r w:rsidR="00D817F7" w:rsidRPr="00A16D12">
        <w:rPr>
          <w:vertAlign w:val="superscript"/>
          <w:lang w:val="en-US"/>
        </w:rPr>
        <w:footnoteReference w:id="50"/>
      </w:r>
      <w:r w:rsidR="00D817F7" w:rsidRPr="00A16D12">
        <w:t xml:space="preserve"> </w:t>
      </w:r>
    </w:p>
    <w:p w14:paraId="7CC5181C" w14:textId="1EE3E75D" w:rsidR="00911D96" w:rsidRDefault="00D31786" w:rsidP="00884078">
      <w:pPr>
        <w:pStyle w:val="Numberedparagraph"/>
        <w:numPr>
          <w:ilvl w:val="0"/>
          <w:numId w:val="5"/>
        </w:numPr>
        <w:rPr>
          <w:rFonts w:eastAsia="Times New Roman" w:cs="Times New Roman"/>
          <w:color w:val="auto"/>
          <w:szCs w:val="22"/>
          <w:lang w:val="en-US"/>
        </w:rPr>
      </w:pPr>
      <w:r w:rsidRPr="006652E9">
        <w:rPr>
          <w:rFonts w:eastAsia="Times New Roman" w:cs="Times New Roman"/>
          <w:color w:val="auto"/>
          <w:szCs w:val="22"/>
          <w:lang w:val="en-US"/>
        </w:rPr>
        <w:t>The Statement of Compatibility for the Bill concedes the Bill will result in more children spending more time in detention.</w:t>
      </w:r>
      <w:r w:rsidR="00884078">
        <w:rPr>
          <w:rStyle w:val="FootnoteReference"/>
          <w:rFonts w:eastAsia="Times New Roman" w:cs="Times New Roman"/>
          <w:color w:val="auto"/>
          <w:szCs w:val="22"/>
          <w:lang w:val="en-US"/>
        </w:rPr>
        <w:footnoteReference w:id="51"/>
      </w:r>
      <w:r w:rsidRPr="006652E9">
        <w:rPr>
          <w:rFonts w:eastAsia="Times New Roman" w:cs="Times New Roman"/>
          <w:color w:val="auto"/>
          <w:szCs w:val="22"/>
          <w:lang w:val="en-US"/>
        </w:rPr>
        <w:t xml:space="preserve"> </w:t>
      </w:r>
      <w:r w:rsidRPr="00884078">
        <w:rPr>
          <w:rFonts w:eastAsia="Times New Roman" w:cs="Times New Roman"/>
          <w:color w:val="auto"/>
          <w:szCs w:val="22"/>
          <w:lang w:val="en-US"/>
        </w:rPr>
        <w:t>D</w:t>
      </w:r>
      <w:r w:rsidR="00857EB1" w:rsidRPr="00884078">
        <w:rPr>
          <w:rFonts w:eastAsia="Times New Roman" w:cs="Times New Roman"/>
          <w:color w:val="auto"/>
          <w:szCs w:val="22"/>
          <w:lang w:val="en-US"/>
        </w:rPr>
        <w:t xml:space="preserve">etention harms children by </w:t>
      </w:r>
      <w:r w:rsidR="00857EB1" w:rsidRPr="00884078">
        <w:rPr>
          <w:rFonts w:eastAsia="Times New Roman" w:cs="Times New Roman"/>
          <w:color w:val="auto"/>
          <w:szCs w:val="22"/>
          <w:lang w:val="en-US"/>
        </w:rPr>
        <w:lastRenderedPageBreak/>
        <w:t>undermining their psychological and physical wellbeing</w:t>
      </w:r>
      <w:r w:rsidR="00482518">
        <w:rPr>
          <w:rFonts w:eastAsia="Times New Roman" w:cs="Times New Roman"/>
          <w:color w:val="auto"/>
          <w:szCs w:val="22"/>
          <w:lang w:val="en-US"/>
        </w:rPr>
        <w:t xml:space="preserve"> and</w:t>
      </w:r>
      <w:r w:rsidR="00857EB1" w:rsidRPr="00884078">
        <w:rPr>
          <w:rFonts w:eastAsia="Times New Roman" w:cs="Times New Roman"/>
          <w:color w:val="auto"/>
          <w:szCs w:val="22"/>
          <w:lang w:val="en-US"/>
        </w:rPr>
        <w:t xml:space="preserve"> compromising their cognitive development</w:t>
      </w:r>
      <w:r w:rsidR="00911D96">
        <w:rPr>
          <w:rFonts w:eastAsia="Times New Roman" w:cs="Times New Roman"/>
          <w:color w:val="auto"/>
          <w:szCs w:val="22"/>
          <w:lang w:val="en-US"/>
        </w:rPr>
        <w:t>.</w:t>
      </w:r>
      <w:r w:rsidR="00857EB1" w:rsidRPr="00857EB1">
        <w:rPr>
          <w:vertAlign w:val="superscript"/>
          <w:lang w:val="en-US"/>
        </w:rPr>
        <w:footnoteReference w:id="52"/>
      </w:r>
      <w:r w:rsidR="00911D96">
        <w:rPr>
          <w:rFonts w:eastAsia="Times New Roman" w:cs="Times New Roman"/>
          <w:color w:val="auto"/>
          <w:szCs w:val="22"/>
          <w:lang w:val="en-US"/>
        </w:rPr>
        <w:t xml:space="preserve"> </w:t>
      </w:r>
      <w:r w:rsidR="00911D96" w:rsidRPr="00D44E79">
        <w:rPr>
          <w:rFonts w:eastAsia="Times New Roman" w:cs="Times New Roman"/>
          <w:b/>
          <w:bCs/>
          <w:color w:val="auto"/>
          <w:szCs w:val="22"/>
          <w:lang w:val="en-US"/>
        </w:rPr>
        <w:t>Th</w:t>
      </w:r>
      <w:r w:rsidR="00482518" w:rsidRPr="00D44E79">
        <w:rPr>
          <w:rFonts w:eastAsia="Times New Roman" w:cs="Times New Roman"/>
          <w:b/>
          <w:bCs/>
          <w:color w:val="auto"/>
          <w:szCs w:val="22"/>
          <w:lang w:val="en-US"/>
        </w:rPr>
        <w:t>ese harms</w:t>
      </w:r>
      <w:r w:rsidR="00911D96" w:rsidRPr="00D44E79">
        <w:rPr>
          <w:rFonts w:eastAsia="Times New Roman" w:cs="Times New Roman"/>
          <w:b/>
          <w:bCs/>
          <w:color w:val="auto"/>
          <w:szCs w:val="22"/>
          <w:lang w:val="en-US"/>
        </w:rPr>
        <w:t xml:space="preserve"> increase the likelihood that </w:t>
      </w:r>
      <w:r w:rsidR="00482518" w:rsidRPr="00D44E79">
        <w:rPr>
          <w:rFonts w:eastAsia="Times New Roman" w:cs="Times New Roman"/>
          <w:b/>
          <w:bCs/>
          <w:color w:val="auto"/>
          <w:szCs w:val="22"/>
          <w:lang w:val="en-US"/>
        </w:rPr>
        <w:t xml:space="preserve">a </w:t>
      </w:r>
      <w:r w:rsidR="00911D96" w:rsidRPr="00D44E79">
        <w:rPr>
          <w:rFonts w:eastAsia="Times New Roman" w:cs="Times New Roman"/>
          <w:b/>
          <w:bCs/>
          <w:color w:val="auto"/>
          <w:szCs w:val="22"/>
          <w:lang w:val="en-US"/>
        </w:rPr>
        <w:t>child will reoffend</w:t>
      </w:r>
      <w:r w:rsidR="00911D96">
        <w:rPr>
          <w:rFonts w:eastAsia="Times New Roman" w:cs="Times New Roman"/>
          <w:color w:val="auto"/>
          <w:szCs w:val="22"/>
          <w:lang w:val="en-US"/>
        </w:rPr>
        <w:t xml:space="preserve">. </w:t>
      </w:r>
    </w:p>
    <w:p w14:paraId="3ADFC252" w14:textId="77777777" w:rsidR="0058235E" w:rsidRPr="00A16D12" w:rsidRDefault="0058235E" w:rsidP="0058235E">
      <w:pPr>
        <w:pStyle w:val="Numberedparagraph"/>
        <w:numPr>
          <w:ilvl w:val="0"/>
          <w:numId w:val="5"/>
        </w:numPr>
        <w:rPr>
          <w:lang w:val="en-US"/>
        </w:rPr>
      </w:pPr>
      <w:r w:rsidRPr="00A16D12">
        <w:rPr>
          <w:lang w:val="en-US"/>
        </w:rPr>
        <w:t>As the Special Rapporteur on Torture has emphasised:</w:t>
      </w:r>
    </w:p>
    <w:p w14:paraId="10CD9BD4" w14:textId="63CDC0AC" w:rsidR="0058235E" w:rsidRPr="0058235E" w:rsidRDefault="0058235E" w:rsidP="0058235E">
      <w:pPr>
        <w:pStyle w:val="Quote"/>
        <w:rPr>
          <w:lang w:val="en-GB"/>
        </w:rPr>
      </w:pPr>
      <w:r w:rsidRPr="009A7A38">
        <w:rPr>
          <w:i/>
          <w:iCs/>
          <w:sz w:val="22"/>
          <w:szCs w:val="22"/>
          <w:lang w:val="en-GB"/>
        </w:rPr>
        <w:t>Even very short periods of detention can undermine a child’s</w:t>
      </w:r>
      <w:r>
        <w:rPr>
          <w:i/>
          <w:iCs/>
          <w:sz w:val="22"/>
          <w:szCs w:val="22"/>
          <w:lang w:val="en-GB"/>
        </w:rPr>
        <w:t xml:space="preserve"> </w:t>
      </w:r>
      <w:r w:rsidRPr="009A7A38">
        <w:rPr>
          <w:i/>
          <w:iCs/>
          <w:sz w:val="22"/>
          <w:szCs w:val="22"/>
          <w:lang w:val="en-GB"/>
        </w:rPr>
        <w:t xml:space="preserve">psychological and physical well-being and compromise cognitive development. Children deprived of liberty are at a heightened risk of suffering depression and </w:t>
      </w:r>
      <w:proofErr w:type="gramStart"/>
      <w:r w:rsidRPr="009A7A38">
        <w:rPr>
          <w:i/>
          <w:iCs/>
          <w:sz w:val="22"/>
          <w:szCs w:val="22"/>
          <w:lang w:val="en-GB"/>
        </w:rPr>
        <w:t>anxiety, and</w:t>
      </w:r>
      <w:proofErr w:type="gramEnd"/>
      <w:r w:rsidRPr="009A7A38">
        <w:rPr>
          <w:i/>
          <w:iCs/>
          <w:sz w:val="22"/>
          <w:szCs w:val="22"/>
          <w:lang w:val="en-GB"/>
        </w:rPr>
        <w:t xml:space="preserve"> frequently exhibit symptoms consistent with post-traumatic stress disorder. Reports on the effects of depriving children of liberty have found higher rates of suicide and self-harm, mental disorder and developmental problems</w:t>
      </w:r>
      <w:r>
        <w:rPr>
          <w:lang w:val="en-GB"/>
        </w:rPr>
        <w:t>.</w:t>
      </w:r>
      <w:r>
        <w:rPr>
          <w:rStyle w:val="FootnoteReference"/>
          <w:lang w:val="en-GB"/>
        </w:rPr>
        <w:footnoteReference w:id="53"/>
      </w:r>
    </w:p>
    <w:p w14:paraId="001ABD6A" w14:textId="688AF4DF" w:rsidR="00857EB1" w:rsidRPr="000874DE" w:rsidRDefault="0051357E" w:rsidP="00233D47">
      <w:pPr>
        <w:pStyle w:val="Numberedparagraph"/>
        <w:numPr>
          <w:ilvl w:val="0"/>
          <w:numId w:val="5"/>
        </w:numPr>
        <w:rPr>
          <w:rFonts w:eastAsia="Times New Roman" w:cs="Times New Roman"/>
          <w:color w:val="auto"/>
          <w:szCs w:val="22"/>
          <w:lang w:val="en-US"/>
        </w:rPr>
      </w:pPr>
      <w:r>
        <w:rPr>
          <w:rFonts w:eastAsia="Times New Roman" w:cs="Times New Roman"/>
          <w:color w:val="auto"/>
          <w:szCs w:val="22"/>
          <w:lang w:val="en-US"/>
        </w:rPr>
        <w:t>D</w:t>
      </w:r>
      <w:r w:rsidR="00C26BFB">
        <w:rPr>
          <w:rFonts w:eastAsia="Times New Roman" w:cs="Times New Roman"/>
          <w:color w:val="auto"/>
          <w:szCs w:val="22"/>
          <w:lang w:val="en-US"/>
        </w:rPr>
        <w:t>ata</w:t>
      </w:r>
      <w:r w:rsidR="00946F08" w:rsidRPr="00946F08">
        <w:rPr>
          <w:rFonts w:eastAsia="Times New Roman" w:cs="Times New Roman"/>
          <w:color w:val="auto"/>
          <w:szCs w:val="22"/>
          <w:lang w:val="en-US"/>
        </w:rPr>
        <w:t xml:space="preserve"> published in 2023</w:t>
      </w:r>
      <w:r>
        <w:rPr>
          <w:rFonts w:eastAsia="Times New Roman" w:cs="Times New Roman"/>
          <w:color w:val="auto"/>
          <w:szCs w:val="22"/>
          <w:lang w:val="en-US"/>
        </w:rPr>
        <w:t xml:space="preserve"> demonstrates that detaining children </w:t>
      </w:r>
      <w:r w:rsidR="00847F4E">
        <w:rPr>
          <w:rFonts w:eastAsia="Times New Roman" w:cs="Times New Roman"/>
          <w:color w:val="auto"/>
          <w:szCs w:val="22"/>
          <w:lang w:val="en-US"/>
        </w:rPr>
        <w:t>typically leads to further</w:t>
      </w:r>
      <w:r>
        <w:rPr>
          <w:rFonts w:eastAsia="Times New Roman" w:cs="Times New Roman"/>
          <w:color w:val="auto"/>
          <w:szCs w:val="22"/>
          <w:lang w:val="en-US"/>
        </w:rPr>
        <w:t xml:space="preserve"> offending. It</w:t>
      </w:r>
      <w:r w:rsidR="00233D47">
        <w:rPr>
          <w:rFonts w:eastAsia="Times New Roman" w:cs="Times New Roman"/>
          <w:color w:val="auto"/>
          <w:szCs w:val="22"/>
          <w:lang w:val="en-US"/>
        </w:rPr>
        <w:t xml:space="preserve"> </w:t>
      </w:r>
      <w:r w:rsidR="00946F08" w:rsidRPr="00946F08">
        <w:rPr>
          <w:rFonts w:eastAsia="Times New Roman" w:cs="Times New Roman"/>
          <w:color w:val="auto"/>
          <w:szCs w:val="22"/>
          <w:lang w:val="en-US"/>
        </w:rPr>
        <w:t xml:space="preserve">shows </w:t>
      </w:r>
      <w:r w:rsidR="00946F08" w:rsidRPr="00AA0952">
        <w:rPr>
          <w:rFonts w:eastAsia="Times New Roman" w:cs="Times New Roman"/>
          <w:b/>
          <w:bCs/>
          <w:color w:val="auto"/>
          <w:szCs w:val="22"/>
          <w:lang w:val="en-US"/>
        </w:rPr>
        <w:t xml:space="preserve">the percentage of </w:t>
      </w:r>
      <w:r w:rsidR="00C12DEA">
        <w:rPr>
          <w:rFonts w:eastAsia="Times New Roman" w:cs="Times New Roman"/>
          <w:b/>
          <w:bCs/>
          <w:color w:val="auto"/>
          <w:szCs w:val="22"/>
          <w:lang w:val="en-US"/>
        </w:rPr>
        <w:t>children</w:t>
      </w:r>
      <w:r w:rsidR="00946F08" w:rsidRPr="00AA0952">
        <w:rPr>
          <w:rFonts w:eastAsia="Times New Roman" w:cs="Times New Roman"/>
          <w:b/>
          <w:bCs/>
          <w:color w:val="auto"/>
          <w:szCs w:val="22"/>
          <w:lang w:val="en-US"/>
        </w:rPr>
        <w:t xml:space="preserve"> who reoffended within 12 months following</w:t>
      </w:r>
      <w:r w:rsidR="00233D47" w:rsidRPr="00AA0952">
        <w:rPr>
          <w:rFonts w:eastAsia="Times New Roman" w:cs="Times New Roman"/>
          <w:b/>
          <w:bCs/>
          <w:color w:val="auto"/>
          <w:szCs w:val="22"/>
          <w:lang w:val="en-US"/>
        </w:rPr>
        <w:t xml:space="preserve"> </w:t>
      </w:r>
      <w:r w:rsidR="00946F08" w:rsidRPr="00AA0952">
        <w:rPr>
          <w:rFonts w:eastAsia="Times New Roman" w:cs="Times New Roman"/>
          <w:b/>
          <w:bCs/>
          <w:color w:val="auto"/>
          <w:szCs w:val="22"/>
          <w:lang w:val="en-US"/>
        </w:rPr>
        <w:t>release f</w:t>
      </w:r>
      <w:r w:rsidR="00DC0E10" w:rsidRPr="00AA0952">
        <w:rPr>
          <w:rFonts w:eastAsia="Times New Roman" w:cs="Times New Roman"/>
          <w:b/>
          <w:bCs/>
          <w:color w:val="auto"/>
          <w:szCs w:val="22"/>
          <w:lang w:val="en-US"/>
        </w:rPr>
        <w:t>ro</w:t>
      </w:r>
      <w:r w:rsidR="00946F08" w:rsidRPr="00AA0952">
        <w:rPr>
          <w:rFonts w:eastAsia="Times New Roman" w:cs="Times New Roman"/>
          <w:b/>
          <w:bCs/>
          <w:color w:val="auto"/>
          <w:szCs w:val="22"/>
          <w:lang w:val="en-US"/>
        </w:rPr>
        <w:t>m Queensland youth detention centres was between 84 per cent and 96 per cent</w:t>
      </w:r>
      <w:r w:rsidR="00857EB1" w:rsidRPr="00233D47">
        <w:rPr>
          <w:rFonts w:eastAsia="MS Mincho"/>
          <w:color w:val="000000"/>
        </w:rPr>
        <w:t>.</w:t>
      </w:r>
      <w:r w:rsidR="00857EB1" w:rsidRPr="00857EB1">
        <w:rPr>
          <w:rFonts w:eastAsia="MS Mincho"/>
          <w:color w:val="000000"/>
          <w:vertAlign w:val="superscript"/>
        </w:rPr>
        <w:footnoteReference w:id="54"/>
      </w:r>
      <w:r w:rsidR="00857EB1" w:rsidRPr="00233D47">
        <w:rPr>
          <w:rFonts w:eastAsia="MS Mincho"/>
          <w:color w:val="000000"/>
        </w:rPr>
        <w:t xml:space="preserve"> </w:t>
      </w:r>
    </w:p>
    <w:p w14:paraId="30854FBC" w14:textId="29B31970" w:rsidR="0032041F" w:rsidRPr="007C2A05" w:rsidRDefault="00602FC1" w:rsidP="00EB39DE">
      <w:pPr>
        <w:pStyle w:val="Heading4"/>
        <w:rPr>
          <w:color w:val="004270"/>
          <w:sz w:val="28"/>
          <w:lang w:val="en-US"/>
        </w:rPr>
      </w:pPr>
      <w:r>
        <w:rPr>
          <w:lang w:val="en-US"/>
        </w:rPr>
        <w:t>O</w:t>
      </w:r>
      <w:r w:rsidR="00C122F1">
        <w:rPr>
          <w:lang w:val="en-US"/>
        </w:rPr>
        <w:t xml:space="preserve">ver-crowded </w:t>
      </w:r>
      <w:r w:rsidR="007D6E9B">
        <w:rPr>
          <w:lang w:val="en-US"/>
        </w:rPr>
        <w:t xml:space="preserve">youth detention </w:t>
      </w:r>
      <w:r w:rsidR="00096080">
        <w:rPr>
          <w:lang w:val="en-US"/>
        </w:rPr>
        <w:t xml:space="preserve">facilities </w:t>
      </w:r>
      <w:r w:rsidR="007D6E9B">
        <w:rPr>
          <w:lang w:val="en-US"/>
        </w:rPr>
        <w:t>increase harm</w:t>
      </w:r>
    </w:p>
    <w:p w14:paraId="0794A949" w14:textId="0CF7CC3E" w:rsidR="005C6661" w:rsidRPr="00C37EE9" w:rsidRDefault="000954F5" w:rsidP="005C6661">
      <w:pPr>
        <w:numPr>
          <w:ilvl w:val="0"/>
          <w:numId w:val="5"/>
        </w:numPr>
        <w:spacing w:before="120" w:after="240" w:line="276" w:lineRule="auto"/>
        <w:rPr>
          <w:rFonts w:eastAsia="MS Mincho" w:cs="Arial"/>
          <w:color w:val="000000"/>
        </w:rPr>
      </w:pPr>
      <w:r>
        <w:rPr>
          <w:rFonts w:eastAsia="MS Mincho" w:cs="Arial"/>
          <w:color w:val="000000"/>
          <w:lang w:val="en-US"/>
        </w:rPr>
        <w:t xml:space="preserve">The harms of detention are </w:t>
      </w:r>
      <w:r w:rsidR="00570E53">
        <w:rPr>
          <w:rFonts w:eastAsia="MS Mincho" w:cs="Arial"/>
          <w:color w:val="000000"/>
          <w:lang w:val="en-US"/>
        </w:rPr>
        <w:t>increased</w:t>
      </w:r>
      <w:r>
        <w:rPr>
          <w:rFonts w:eastAsia="MS Mincho" w:cs="Arial"/>
          <w:color w:val="000000"/>
          <w:lang w:val="en-US"/>
        </w:rPr>
        <w:t xml:space="preserve"> where children are detained in </w:t>
      </w:r>
      <w:proofErr w:type="gramStart"/>
      <w:r>
        <w:rPr>
          <w:rFonts w:eastAsia="MS Mincho" w:cs="Arial"/>
          <w:color w:val="000000"/>
          <w:lang w:val="en-US"/>
        </w:rPr>
        <w:t>over-crowded</w:t>
      </w:r>
      <w:proofErr w:type="gramEnd"/>
      <w:r>
        <w:rPr>
          <w:rFonts w:eastAsia="MS Mincho" w:cs="Arial"/>
          <w:color w:val="000000"/>
          <w:lang w:val="en-US"/>
        </w:rPr>
        <w:t xml:space="preserve"> detention centres </w:t>
      </w:r>
      <w:r w:rsidR="008A77BB">
        <w:rPr>
          <w:rFonts w:eastAsia="MS Mincho" w:cs="Arial"/>
          <w:color w:val="000000"/>
          <w:lang w:val="en-US"/>
        </w:rPr>
        <w:t xml:space="preserve">or inappropriate facilities including adult watchhouses. </w:t>
      </w:r>
      <w:r w:rsidR="0042027B">
        <w:rPr>
          <w:rFonts w:eastAsia="MS Mincho" w:cs="Arial"/>
          <w:color w:val="000000"/>
          <w:lang w:val="en-US"/>
        </w:rPr>
        <w:t>The Statement of Compatibility for the Bill concedes the impact of the Bill may</w:t>
      </w:r>
      <w:r w:rsidR="005C6661">
        <w:rPr>
          <w:rFonts w:eastAsia="MS Mincho" w:cs="Arial"/>
          <w:color w:val="000000"/>
          <w:lang w:val="en-US"/>
        </w:rPr>
        <w:t xml:space="preserve"> impose further strain on youth detention centres, possibly resulting in increased numbers of children in watchhouses for extended periods of time</w:t>
      </w:r>
      <w:r w:rsidR="00E6103C">
        <w:rPr>
          <w:rFonts w:eastAsia="MS Mincho" w:cs="Arial"/>
          <w:color w:val="000000"/>
          <w:lang w:val="en-US"/>
        </w:rPr>
        <w:t>. This is</w:t>
      </w:r>
      <w:r w:rsidR="005C6661">
        <w:rPr>
          <w:rFonts w:eastAsia="MS Mincho" w:cs="Arial"/>
          <w:color w:val="000000"/>
          <w:lang w:val="en-US"/>
        </w:rPr>
        <w:t xml:space="preserve"> </w:t>
      </w:r>
      <w:r w:rsidR="005C6661" w:rsidRPr="00715C2C">
        <w:rPr>
          <w:rFonts w:eastAsia="MS Mincho" w:cs="Arial"/>
          <w:b/>
          <w:bCs/>
          <w:color w:val="000000"/>
          <w:lang w:val="en-US"/>
        </w:rPr>
        <w:t>a direct limitation on the right to protection from cruel inhumane or degrading treatment</w:t>
      </w:r>
      <w:r w:rsidR="005C6661">
        <w:rPr>
          <w:rFonts w:eastAsia="MS Mincho" w:cs="Arial"/>
          <w:color w:val="000000"/>
          <w:lang w:val="en-US"/>
        </w:rPr>
        <w:t>.</w:t>
      </w:r>
      <w:r w:rsidR="005C6661" w:rsidRPr="00EC1634">
        <w:rPr>
          <w:rFonts w:eastAsia="MS Mincho" w:cs="Arial"/>
          <w:color w:val="000000"/>
          <w:vertAlign w:val="superscript"/>
          <w:lang w:val="en-US"/>
        </w:rPr>
        <w:footnoteReference w:id="55"/>
      </w:r>
      <w:r w:rsidR="005C6661">
        <w:rPr>
          <w:rFonts w:eastAsia="MS Mincho" w:cs="Arial"/>
          <w:color w:val="000000"/>
          <w:lang w:val="en-US"/>
        </w:rPr>
        <w:t xml:space="preserve">   </w:t>
      </w:r>
    </w:p>
    <w:p w14:paraId="6D2F1595" w14:textId="4C826BC0" w:rsidR="005C6661" w:rsidRPr="00C37EE9" w:rsidRDefault="005C6661" w:rsidP="005C6661">
      <w:pPr>
        <w:numPr>
          <w:ilvl w:val="0"/>
          <w:numId w:val="5"/>
        </w:numPr>
        <w:spacing w:before="120" w:after="240" w:line="276" w:lineRule="auto"/>
        <w:rPr>
          <w:rFonts w:eastAsia="MS Mincho" w:cs="Arial"/>
          <w:color w:val="000000"/>
        </w:rPr>
      </w:pPr>
      <w:r w:rsidRPr="00C37EE9">
        <w:rPr>
          <w:lang w:val="en-US"/>
        </w:rPr>
        <w:t>Conditions in overcrowded Queensland youth detention centres are unacceptable, with children experiencing:</w:t>
      </w:r>
    </w:p>
    <w:p w14:paraId="425BDA95" w14:textId="65FE6AFF" w:rsidR="005C6661" w:rsidRPr="00C37EE9" w:rsidRDefault="005C6661" w:rsidP="005C6661">
      <w:pPr>
        <w:numPr>
          <w:ilvl w:val="1"/>
          <w:numId w:val="5"/>
        </w:numPr>
        <w:spacing w:before="120" w:after="240" w:line="276" w:lineRule="auto"/>
        <w:rPr>
          <w:rFonts w:eastAsia="MS Mincho" w:cs="Arial"/>
          <w:color w:val="000000"/>
        </w:rPr>
      </w:pPr>
      <w:r>
        <w:t>i</w:t>
      </w:r>
      <w:r w:rsidRPr="00815E1D">
        <w:t>ncreasing</w:t>
      </w:r>
      <w:r w:rsidRPr="00C37EE9">
        <w:rPr>
          <w:lang w:val="en-US"/>
        </w:rPr>
        <w:t xml:space="preserve"> amounts of time spent in lockdown (separated from other children in a locked room), generally </w:t>
      </w:r>
      <w:proofErr w:type="gramStart"/>
      <w:r w:rsidRPr="00C37EE9">
        <w:rPr>
          <w:lang w:val="en-US"/>
        </w:rPr>
        <w:t>as a result of</w:t>
      </w:r>
      <w:proofErr w:type="gramEnd"/>
      <w:r w:rsidRPr="00C37EE9">
        <w:rPr>
          <w:lang w:val="en-US"/>
        </w:rPr>
        <w:t xml:space="preserve"> staff shortages. In 2022-23, </w:t>
      </w:r>
      <w:r w:rsidRPr="00C37EE9">
        <w:rPr>
          <w:lang w:val="en-US"/>
        </w:rPr>
        <w:lastRenderedPageBreak/>
        <w:t>children in Cleveland Youth Detention Centre spent 81</w:t>
      </w:r>
      <w:r w:rsidR="00635D6D" w:rsidRPr="00635D6D">
        <w:t xml:space="preserve"> </w:t>
      </w:r>
      <w:r w:rsidR="00635D6D">
        <w:t>per cent</w:t>
      </w:r>
      <w:r w:rsidR="00635D6D" w:rsidRPr="009908BA">
        <w:t xml:space="preserve"> </w:t>
      </w:r>
      <w:r w:rsidRPr="00C37EE9">
        <w:rPr>
          <w:lang w:val="en-US"/>
        </w:rPr>
        <w:t xml:space="preserve">of their </w:t>
      </w:r>
      <w:proofErr w:type="gramStart"/>
      <w:r w:rsidRPr="00C37EE9">
        <w:rPr>
          <w:lang w:val="en-US"/>
        </w:rPr>
        <w:t>time in</w:t>
      </w:r>
      <w:proofErr w:type="gramEnd"/>
      <w:r w:rsidRPr="00C37EE9">
        <w:rPr>
          <w:lang w:val="en-US"/>
        </w:rPr>
        <w:t xml:space="preserve"> lockdown.</w:t>
      </w:r>
      <w:r w:rsidRPr="005A3874">
        <w:rPr>
          <w:vertAlign w:val="superscript"/>
        </w:rPr>
        <w:footnoteReference w:id="56"/>
      </w:r>
      <w:r w:rsidRPr="005A3874">
        <w:t xml:space="preserve"> </w:t>
      </w:r>
    </w:p>
    <w:p w14:paraId="58DD5DDE" w14:textId="19690A67" w:rsidR="005C6661" w:rsidRPr="00C37EE9" w:rsidRDefault="005C6661" w:rsidP="005C6661">
      <w:pPr>
        <w:numPr>
          <w:ilvl w:val="1"/>
          <w:numId w:val="5"/>
        </w:numPr>
        <w:spacing w:before="120" w:after="240" w:line="276" w:lineRule="auto"/>
        <w:rPr>
          <w:rFonts w:eastAsia="MS Mincho" w:cs="Arial"/>
          <w:color w:val="000000"/>
        </w:rPr>
      </w:pPr>
      <w:r>
        <w:t>l</w:t>
      </w:r>
      <w:r w:rsidRPr="00815E1D">
        <w:t>imited</w:t>
      </w:r>
      <w:r w:rsidRPr="00C37EE9">
        <w:rPr>
          <w:lang w:val="en-US"/>
        </w:rPr>
        <w:t xml:space="preserve"> access to rehabilitation programs. For example, in Cleveland Youth Detention Centre, only 31 children completed rehabilitation programs in 2022 compared to 215 in 2018.</w:t>
      </w:r>
      <w:r>
        <w:rPr>
          <w:rStyle w:val="FootnoteReference"/>
          <w:lang w:val="en-US"/>
        </w:rPr>
        <w:footnoteReference w:id="57"/>
      </w:r>
      <w:r w:rsidRPr="00C37EE9">
        <w:rPr>
          <w:lang w:val="en-US"/>
        </w:rPr>
        <w:t xml:space="preserve"> </w:t>
      </w:r>
    </w:p>
    <w:p w14:paraId="3F670263" w14:textId="00C444E3" w:rsidR="005C6661" w:rsidRPr="00C37EE9" w:rsidRDefault="005C6661" w:rsidP="005C6661">
      <w:pPr>
        <w:numPr>
          <w:ilvl w:val="1"/>
          <w:numId w:val="5"/>
        </w:numPr>
        <w:spacing w:before="120" w:after="240" w:line="276" w:lineRule="auto"/>
        <w:rPr>
          <w:rFonts w:eastAsia="MS Mincho" w:cs="Arial"/>
          <w:color w:val="000000"/>
        </w:rPr>
      </w:pPr>
      <w:r>
        <w:t>v</w:t>
      </w:r>
      <w:r w:rsidRPr="00815E1D">
        <w:t>ery</w:t>
      </w:r>
      <w:r w:rsidRPr="00C37EE9">
        <w:rPr>
          <w:lang w:val="en-US"/>
        </w:rPr>
        <w:t xml:space="preserve"> little provision of education. At Cleveland Youth Detention Centre, children had access to an average of 3 to 5 hours of </w:t>
      </w:r>
      <w:r w:rsidR="003C1EAB" w:rsidRPr="00C37EE9">
        <w:rPr>
          <w:lang w:val="en-US"/>
        </w:rPr>
        <w:t>face-to-face</w:t>
      </w:r>
      <w:r w:rsidRPr="00C37EE9">
        <w:rPr>
          <w:lang w:val="en-US"/>
        </w:rPr>
        <w:t xml:space="preserve"> education a week</w:t>
      </w:r>
      <w:r w:rsidR="003C1EAB">
        <w:rPr>
          <w:lang w:val="en-US"/>
        </w:rPr>
        <w:t xml:space="preserve"> (despite the target of</w:t>
      </w:r>
      <w:r w:rsidRPr="00C37EE9">
        <w:rPr>
          <w:lang w:val="en-US"/>
        </w:rPr>
        <w:t xml:space="preserve"> 17 hours of education per week</w:t>
      </w:r>
      <w:r w:rsidR="003C1EAB">
        <w:rPr>
          <w:lang w:val="en-US"/>
        </w:rPr>
        <w:t>)</w:t>
      </w:r>
      <w:r w:rsidRPr="00C37EE9">
        <w:rPr>
          <w:lang w:val="en-US"/>
        </w:rPr>
        <w:t>.</w:t>
      </w:r>
      <w:r>
        <w:rPr>
          <w:rStyle w:val="FootnoteReference"/>
          <w:lang w:val="en-US"/>
        </w:rPr>
        <w:footnoteReference w:id="58"/>
      </w:r>
    </w:p>
    <w:p w14:paraId="1F2ADE89" w14:textId="60406315" w:rsidR="00550FF7" w:rsidRDefault="00550FF7">
      <w:pPr>
        <w:pStyle w:val="Numberedparagraph"/>
        <w:numPr>
          <w:ilvl w:val="0"/>
          <w:numId w:val="5"/>
        </w:numPr>
      </w:pPr>
      <w:r>
        <w:rPr>
          <w:lang w:val="en-US"/>
        </w:rPr>
        <w:t xml:space="preserve">By </w:t>
      </w:r>
      <w:r w:rsidR="00EE0BE5">
        <w:rPr>
          <w:lang w:val="en-US"/>
        </w:rPr>
        <w:t>increasing strain on</w:t>
      </w:r>
      <w:r w:rsidRPr="00F75205">
        <w:rPr>
          <w:lang w:val="en-US"/>
        </w:rPr>
        <w:t xml:space="preserve"> youth detention centres, </w:t>
      </w:r>
      <w:r>
        <w:rPr>
          <w:lang w:val="en-US"/>
        </w:rPr>
        <w:t xml:space="preserve">the Bill will </w:t>
      </w:r>
      <w:r w:rsidRPr="00F75205">
        <w:rPr>
          <w:lang w:val="en-US"/>
        </w:rPr>
        <w:t>increas</w:t>
      </w:r>
      <w:r>
        <w:rPr>
          <w:lang w:val="en-US"/>
        </w:rPr>
        <w:t>e</w:t>
      </w:r>
      <w:r w:rsidRPr="00F75205">
        <w:rPr>
          <w:lang w:val="en-US"/>
        </w:rPr>
        <w:t xml:space="preserve"> children’s exposure to harm, frustrating rehabilitation and reintegration efforts, </w:t>
      </w:r>
      <w:r w:rsidR="00547751">
        <w:rPr>
          <w:lang w:val="en-US"/>
        </w:rPr>
        <w:t xml:space="preserve">which </w:t>
      </w:r>
      <w:r w:rsidR="007E0373">
        <w:rPr>
          <w:lang w:val="en-US"/>
        </w:rPr>
        <w:t xml:space="preserve">makes it more likely </w:t>
      </w:r>
      <w:r w:rsidR="000E0CEA">
        <w:rPr>
          <w:lang w:val="en-US"/>
        </w:rPr>
        <w:t>children wi</w:t>
      </w:r>
      <w:r w:rsidR="00A822DC">
        <w:rPr>
          <w:lang w:val="en-US"/>
        </w:rPr>
        <w:t>ll</w:t>
      </w:r>
      <w:r w:rsidR="000E0CEA">
        <w:rPr>
          <w:lang w:val="en-US"/>
        </w:rPr>
        <w:t xml:space="preserve"> engage in</w:t>
      </w:r>
      <w:r w:rsidRPr="00F75205">
        <w:rPr>
          <w:lang w:val="en-US"/>
        </w:rPr>
        <w:t xml:space="preserve"> further offending behaviour.</w:t>
      </w:r>
      <w:r w:rsidR="007D713B">
        <w:rPr>
          <w:lang w:val="en-US"/>
        </w:rPr>
        <w:t xml:space="preserve"> </w:t>
      </w:r>
    </w:p>
    <w:p w14:paraId="242F2B30" w14:textId="302532DC" w:rsidR="00602FC1" w:rsidRDefault="00602FC1" w:rsidP="00602FC1">
      <w:pPr>
        <w:pStyle w:val="Heading4"/>
      </w:pPr>
      <w:r>
        <w:rPr>
          <w:lang w:val="en-US"/>
        </w:rPr>
        <w:t>Watchhouse detention</w:t>
      </w:r>
      <w:r w:rsidR="007D6E9B">
        <w:rPr>
          <w:lang w:val="en-US"/>
        </w:rPr>
        <w:t xml:space="preserve"> increases harm</w:t>
      </w:r>
    </w:p>
    <w:p w14:paraId="4F375AE5" w14:textId="5F2DD9D1" w:rsidR="00FB1285" w:rsidRDefault="0042027B">
      <w:pPr>
        <w:pStyle w:val="Numberedparagraph"/>
        <w:numPr>
          <w:ilvl w:val="0"/>
          <w:numId w:val="5"/>
        </w:numPr>
      </w:pPr>
      <w:r>
        <w:t xml:space="preserve">As prefaced by the </w:t>
      </w:r>
      <w:r w:rsidR="00EE0BE5">
        <w:t>Statement of Compatibility for the Bill</w:t>
      </w:r>
      <w:r>
        <w:t>, c</w:t>
      </w:r>
      <w:r w:rsidR="005C6661" w:rsidRPr="00104E9A">
        <w:t xml:space="preserve">rowded youth detention centres </w:t>
      </w:r>
      <w:r>
        <w:t xml:space="preserve">can also mean </w:t>
      </w:r>
      <w:r w:rsidR="005C6661" w:rsidRPr="00104E9A">
        <w:t xml:space="preserve">longer stays in watchhouse detention. </w:t>
      </w:r>
      <w:r w:rsidR="005C6661">
        <w:t>Between 2018 and 2023, youth watchhouse admissions increased by 452</w:t>
      </w:r>
      <w:r w:rsidR="00635D6D" w:rsidRPr="00635D6D">
        <w:t xml:space="preserve"> </w:t>
      </w:r>
      <w:r w:rsidR="00635D6D">
        <w:t>per cent</w:t>
      </w:r>
      <w:r w:rsidR="00635D6D" w:rsidRPr="009908BA">
        <w:t xml:space="preserve"> </w:t>
      </w:r>
      <w:r w:rsidR="005C6661">
        <w:t>and children being held in a watchhouse for more than 1 day has increased by 163</w:t>
      </w:r>
      <w:r w:rsidR="00635D6D" w:rsidRPr="00635D6D">
        <w:t xml:space="preserve"> </w:t>
      </w:r>
      <w:r w:rsidR="00635D6D">
        <w:t>per cent</w:t>
      </w:r>
      <w:r w:rsidR="005C6661">
        <w:t>.</w:t>
      </w:r>
      <w:r w:rsidR="005C6661">
        <w:rPr>
          <w:rStyle w:val="FootnoteReference"/>
        </w:rPr>
        <w:footnoteReference w:id="59"/>
      </w:r>
      <w:r w:rsidR="005C6661">
        <w:t xml:space="preserve"> </w:t>
      </w:r>
    </w:p>
    <w:p w14:paraId="628915C4" w14:textId="5A26BD77" w:rsidR="005C6661" w:rsidRPr="00E03F72" w:rsidRDefault="00782716" w:rsidP="00B94563">
      <w:pPr>
        <w:pStyle w:val="Numberedparagraph"/>
        <w:numPr>
          <w:ilvl w:val="0"/>
          <w:numId w:val="5"/>
        </w:numPr>
      </w:pPr>
      <w:r>
        <w:t xml:space="preserve">While the recent opening of the Wacol Youth Remand Centre </w:t>
      </w:r>
      <w:r w:rsidR="00FB1285">
        <w:t>will assist with capacity in the short term,</w:t>
      </w:r>
      <w:r w:rsidR="006C2788">
        <w:rPr>
          <w:rStyle w:val="FootnoteReference"/>
        </w:rPr>
        <w:footnoteReference w:id="60"/>
      </w:r>
      <w:r w:rsidR="00FB1285">
        <w:t xml:space="preserve"> th</w:t>
      </w:r>
      <w:r w:rsidR="00FB644A">
        <w:t>e impacts of this</w:t>
      </w:r>
      <w:r w:rsidR="002D491B">
        <w:t xml:space="preserve"> Bill</w:t>
      </w:r>
      <w:r w:rsidR="00FB644A">
        <w:t xml:space="preserve"> and other </w:t>
      </w:r>
      <w:r w:rsidR="002D491B">
        <w:t>approaches taken b</w:t>
      </w:r>
      <w:r w:rsidR="0042779B">
        <w:t>y</w:t>
      </w:r>
      <w:r w:rsidR="002D491B">
        <w:t xml:space="preserve"> the </w:t>
      </w:r>
      <w:r w:rsidR="00736B92">
        <w:t>g</w:t>
      </w:r>
      <w:r w:rsidR="002D491B">
        <w:t xml:space="preserve">overnment (including the Police Powers and Responsibilities (Making Jack’s Law Permanent) Bill 2025) </w:t>
      </w:r>
      <w:r w:rsidR="001609B8">
        <w:t xml:space="preserve">are likely to </w:t>
      </w:r>
      <w:r w:rsidR="00A94667">
        <w:t xml:space="preserve">mean this </w:t>
      </w:r>
      <w:r w:rsidR="006C2788">
        <w:t xml:space="preserve">additional </w:t>
      </w:r>
      <w:r w:rsidR="00A94667">
        <w:t xml:space="preserve">capacity </w:t>
      </w:r>
      <w:r w:rsidR="006C2788">
        <w:t>will be exceeded before long</w:t>
      </w:r>
      <w:r w:rsidR="00A94667">
        <w:t xml:space="preserve">. </w:t>
      </w:r>
      <w:r w:rsidR="00B94563">
        <w:t>Indeed, despite the opening of the Wacol facility</w:t>
      </w:r>
      <w:r w:rsidR="00801B0E">
        <w:t xml:space="preserve"> in March 2025</w:t>
      </w:r>
      <w:r w:rsidR="00B94563">
        <w:t xml:space="preserve">, as </w:t>
      </w:r>
      <w:proofErr w:type="gramStart"/>
      <w:r w:rsidR="00B94563">
        <w:t>at</w:t>
      </w:r>
      <w:proofErr w:type="gramEnd"/>
      <w:r w:rsidR="00B94563">
        <w:t xml:space="preserve"> 13 April 2025</w:t>
      </w:r>
      <w:r w:rsidR="00B94563" w:rsidRPr="00BB44B7">
        <w:t xml:space="preserve">, there were </w:t>
      </w:r>
      <w:r w:rsidR="00B94563">
        <w:t>still 13 c</w:t>
      </w:r>
      <w:r w:rsidR="00B94563" w:rsidRPr="00BB44B7">
        <w:t>hildren in watchhouse custody</w:t>
      </w:r>
      <w:r w:rsidR="00726692">
        <w:t xml:space="preserve"> in Queensland</w:t>
      </w:r>
      <w:r w:rsidR="00B94563" w:rsidRPr="00BB44B7">
        <w:t>.</w:t>
      </w:r>
      <w:r w:rsidR="00B94563" w:rsidRPr="00BB44B7">
        <w:rPr>
          <w:vertAlign w:val="superscript"/>
        </w:rPr>
        <w:footnoteReference w:id="61"/>
      </w:r>
      <w:r w:rsidR="00B94563" w:rsidRPr="00BB44B7">
        <w:t xml:space="preserve"> </w:t>
      </w:r>
    </w:p>
    <w:p w14:paraId="59DBF81C" w14:textId="11FB7431" w:rsidR="00B31B0E" w:rsidRDefault="005C6661" w:rsidP="00B31B0E">
      <w:pPr>
        <w:pStyle w:val="Numberedparagraph"/>
        <w:numPr>
          <w:ilvl w:val="0"/>
          <w:numId w:val="5"/>
        </w:numPr>
        <w:rPr>
          <w:lang w:val="en-US"/>
        </w:rPr>
      </w:pPr>
      <w:r>
        <w:rPr>
          <w:lang w:val="en-US"/>
        </w:rPr>
        <w:lastRenderedPageBreak/>
        <w:t>It is widely accepted internationally and in Queensland that watchhouses are not appropriate or humane places in which to detain children for any length of time, including because of the inescapable exposure to adult detainees, the inability of the built and operational environment to meet the child’s needs, and the lack of specialised staff.</w:t>
      </w:r>
      <w:r>
        <w:rPr>
          <w:rStyle w:val="FootnoteReference"/>
          <w:lang w:val="en-US"/>
        </w:rPr>
        <w:footnoteReference w:id="62"/>
      </w:r>
      <w:r>
        <w:rPr>
          <w:lang w:val="en-US"/>
        </w:rPr>
        <w:t xml:space="preserve"> </w:t>
      </w:r>
      <w:r w:rsidRPr="00CE1601">
        <w:t xml:space="preserve">Watchhouse staff </w:t>
      </w:r>
      <w:r>
        <w:t>‘</w:t>
      </w:r>
      <w:r w:rsidRPr="00CE1601">
        <w:t>are not given any specialist training geared towards working with children, let alone those with complex needs</w:t>
      </w:r>
      <w:r>
        <w:t>’, and have</w:t>
      </w:r>
      <w:r w:rsidRPr="0063730E">
        <w:t> few behavioural management tools and strategies </w:t>
      </w:r>
      <w:r>
        <w:t>available</w:t>
      </w:r>
      <w:r w:rsidRPr="00CE1601">
        <w:t>.</w:t>
      </w:r>
      <w:r>
        <w:rPr>
          <w:rStyle w:val="FootnoteReference"/>
        </w:rPr>
        <w:footnoteReference w:id="63"/>
      </w:r>
      <w:r w:rsidRPr="00CE1601">
        <w:t> </w:t>
      </w:r>
    </w:p>
    <w:p w14:paraId="6ED53959" w14:textId="77777777" w:rsidR="00D85679" w:rsidRPr="00857EB1" w:rsidRDefault="00B31B0E" w:rsidP="00D85679">
      <w:pPr>
        <w:pStyle w:val="Numberedparagraph"/>
        <w:numPr>
          <w:ilvl w:val="0"/>
          <w:numId w:val="5"/>
        </w:numPr>
        <w:rPr>
          <w:lang w:val="en-US"/>
        </w:rPr>
      </w:pPr>
      <w:r>
        <w:rPr>
          <w:rFonts w:eastAsia="Times New Roman" w:cs="Times New Roman"/>
          <w:color w:val="auto"/>
          <w:szCs w:val="22"/>
          <w:lang w:val="en-US"/>
        </w:rPr>
        <w:t>By taking a punitive approach to youth justice, which involves locking up more children</w:t>
      </w:r>
      <w:r w:rsidR="00415624">
        <w:rPr>
          <w:rFonts w:eastAsia="Times New Roman" w:cs="Times New Roman"/>
          <w:color w:val="auto"/>
          <w:szCs w:val="22"/>
          <w:lang w:val="en-US"/>
        </w:rPr>
        <w:t xml:space="preserve"> in detention and in watchhouses</w:t>
      </w:r>
      <w:r>
        <w:rPr>
          <w:rFonts w:eastAsia="Times New Roman" w:cs="Times New Roman"/>
          <w:color w:val="auto"/>
          <w:szCs w:val="22"/>
          <w:lang w:val="en-US"/>
        </w:rPr>
        <w:t xml:space="preserve">, </w:t>
      </w:r>
      <w:r w:rsidR="00143195">
        <w:rPr>
          <w:rFonts w:eastAsia="Times New Roman" w:cs="Times New Roman"/>
          <w:color w:val="auto"/>
          <w:szCs w:val="22"/>
          <w:lang w:val="en-US"/>
        </w:rPr>
        <w:t>th</w:t>
      </w:r>
      <w:r w:rsidR="00AC3F00">
        <w:rPr>
          <w:rFonts w:eastAsia="Times New Roman" w:cs="Times New Roman"/>
          <w:color w:val="auto"/>
          <w:szCs w:val="22"/>
          <w:lang w:val="en-US"/>
        </w:rPr>
        <w:t>is Bill will lead to</w:t>
      </w:r>
      <w:r>
        <w:rPr>
          <w:rFonts w:eastAsia="Times New Roman" w:cs="Times New Roman"/>
          <w:color w:val="auto"/>
          <w:szCs w:val="22"/>
          <w:lang w:val="en-US"/>
        </w:rPr>
        <w:t xml:space="preserve"> more offending, not less. </w:t>
      </w:r>
      <w:r w:rsidR="00D85679" w:rsidRPr="00857EB1">
        <w:rPr>
          <w:rFonts w:eastAsia="Times New Roman" w:cs="Times New Roman"/>
          <w:color w:val="auto"/>
          <w:szCs w:val="22"/>
          <w:lang w:val="en-US"/>
        </w:rPr>
        <w:t>As observed by the Bar Association of Queensland:</w:t>
      </w:r>
    </w:p>
    <w:p w14:paraId="2B2499B8" w14:textId="1F060E15" w:rsidR="00D85679" w:rsidRPr="00D85679" w:rsidRDefault="00D85679" w:rsidP="00D85679">
      <w:pPr>
        <w:spacing w:before="120" w:after="240" w:line="276" w:lineRule="auto"/>
        <w:ind w:left="720"/>
        <w:rPr>
          <w:rFonts w:eastAsia="MS Mincho" w:cs="Arial"/>
          <w:i/>
          <w:iCs/>
          <w:color w:val="000000"/>
        </w:rPr>
      </w:pPr>
      <w:r w:rsidRPr="00C31A6D">
        <w:rPr>
          <w:rFonts w:eastAsia="MS Mincho" w:cs="Arial"/>
          <w:i/>
          <w:iCs/>
          <w:color w:val="000000"/>
        </w:rPr>
        <w:t xml:space="preserve">mandatory minimum sentences proposed for murder… may in fact make the problem of violent young offenders a more serious one for the next generation of Queenslanders: a child imprisoned at 10 years of age is unlikely to turn out, </w:t>
      </w:r>
      <w:proofErr w:type="gramStart"/>
      <w:r w:rsidRPr="00C31A6D">
        <w:rPr>
          <w:rFonts w:eastAsia="MS Mincho" w:cs="Arial"/>
          <w:i/>
          <w:iCs/>
          <w:color w:val="000000"/>
        </w:rPr>
        <w:t>newly-released</w:t>
      </w:r>
      <w:proofErr w:type="gramEnd"/>
      <w:r w:rsidRPr="00C31A6D">
        <w:rPr>
          <w:rFonts w:eastAsia="MS Mincho" w:cs="Arial"/>
          <w:i/>
          <w:iCs/>
          <w:color w:val="000000"/>
        </w:rPr>
        <w:t xml:space="preserve"> into the community as a </w:t>
      </w:r>
      <w:proofErr w:type="gramStart"/>
      <w:r w:rsidRPr="00C31A6D">
        <w:rPr>
          <w:rFonts w:eastAsia="MS Mincho" w:cs="Arial"/>
          <w:i/>
          <w:iCs/>
          <w:color w:val="000000"/>
        </w:rPr>
        <w:t>30 year old</w:t>
      </w:r>
      <w:proofErr w:type="gramEnd"/>
      <w:r w:rsidRPr="00C31A6D">
        <w:rPr>
          <w:rFonts w:eastAsia="MS Mincho" w:cs="Arial"/>
          <w:i/>
          <w:iCs/>
          <w:color w:val="000000"/>
        </w:rPr>
        <w:t>, as anything other than a hardened, more dangerous criminal.</w:t>
      </w:r>
      <w:r w:rsidRPr="00C31A6D">
        <w:rPr>
          <w:rFonts w:eastAsia="MS Mincho" w:cs="Times New Roman"/>
          <w:i/>
          <w:iCs/>
          <w:color w:val="000000"/>
          <w:vertAlign w:val="superscript"/>
        </w:rPr>
        <w:footnoteReference w:id="64"/>
      </w:r>
    </w:p>
    <w:p w14:paraId="7C2D08C0" w14:textId="1EC03AD4" w:rsidR="00D85679" w:rsidRPr="00D85679" w:rsidRDefault="00D85679" w:rsidP="00EF7CF6">
      <w:pPr>
        <w:pStyle w:val="Numberedparagraph"/>
        <w:numPr>
          <w:ilvl w:val="0"/>
          <w:numId w:val="5"/>
        </w:numPr>
        <w:rPr>
          <w:b/>
          <w:bCs/>
        </w:rPr>
      </w:pPr>
      <w:r>
        <w:t xml:space="preserve">This plays out in the data. </w:t>
      </w:r>
      <w:r w:rsidR="00C12DEA">
        <w:t xml:space="preserve">As noted above, </w:t>
      </w:r>
      <w:r w:rsidR="00253D22" w:rsidRPr="00253D22">
        <w:rPr>
          <w:lang w:val="en-US"/>
        </w:rPr>
        <w:t>the percentage of children who reoffended within 12 months following release from Queensland youth detention centres was between 84 per cent and 96 per cent</w:t>
      </w:r>
      <w:r w:rsidR="00253D22" w:rsidRPr="00253D22">
        <w:t>.</w:t>
      </w:r>
      <w:r w:rsidR="00253D22" w:rsidRPr="00253D22">
        <w:rPr>
          <w:vertAlign w:val="superscript"/>
        </w:rPr>
        <w:footnoteReference w:id="65"/>
      </w:r>
      <w:r w:rsidR="00253D22" w:rsidRPr="00253D22">
        <w:t xml:space="preserve"> </w:t>
      </w:r>
      <w:r w:rsidR="00253D22">
        <w:t>Additionally, f</w:t>
      </w:r>
      <w:r w:rsidR="00EF7CF6" w:rsidRPr="00E96CE4">
        <w:t>rom 2021–22 to 2022–23, there has been an increase in serious repeat offenders, from 17</w:t>
      </w:r>
      <w:r w:rsidR="00635D6D" w:rsidRPr="00635D6D">
        <w:t xml:space="preserve"> </w:t>
      </w:r>
      <w:r w:rsidR="00635D6D">
        <w:t>per cent</w:t>
      </w:r>
      <w:r w:rsidR="00635D6D" w:rsidRPr="009908BA">
        <w:t xml:space="preserve"> </w:t>
      </w:r>
      <w:r w:rsidR="00EF7CF6" w:rsidRPr="00E96CE4">
        <w:t>of young people accounting for 48</w:t>
      </w:r>
      <w:r w:rsidR="00635D6D" w:rsidRPr="00635D6D">
        <w:t xml:space="preserve"> </w:t>
      </w:r>
      <w:r w:rsidR="00635D6D">
        <w:t>per cent</w:t>
      </w:r>
      <w:r w:rsidR="00635D6D" w:rsidRPr="009908BA">
        <w:t xml:space="preserve"> </w:t>
      </w:r>
      <w:r w:rsidR="00EF7CF6" w:rsidRPr="00E96CE4">
        <w:t>of charges, to 20</w:t>
      </w:r>
      <w:r w:rsidR="00635D6D" w:rsidRPr="00635D6D">
        <w:t xml:space="preserve"> </w:t>
      </w:r>
      <w:r w:rsidR="00635D6D">
        <w:t>per cent</w:t>
      </w:r>
      <w:r w:rsidR="00635D6D" w:rsidRPr="009908BA">
        <w:t xml:space="preserve"> </w:t>
      </w:r>
      <w:r w:rsidR="00EF7CF6" w:rsidRPr="00E96CE4">
        <w:t>of young people accounting for 54.5</w:t>
      </w:r>
      <w:r w:rsidR="00635D6D" w:rsidRPr="00635D6D">
        <w:t xml:space="preserve"> </w:t>
      </w:r>
      <w:r w:rsidR="00635D6D">
        <w:t>per cent</w:t>
      </w:r>
      <w:r w:rsidR="00635D6D" w:rsidRPr="009908BA">
        <w:t xml:space="preserve"> </w:t>
      </w:r>
      <w:r w:rsidR="00EF7CF6" w:rsidRPr="00E96CE4">
        <w:t>of charges.</w:t>
      </w:r>
      <w:r w:rsidR="00EF7CF6" w:rsidRPr="00E96CE4">
        <w:rPr>
          <w:rStyle w:val="FootnoteReference"/>
        </w:rPr>
        <w:footnoteReference w:id="66"/>
      </w:r>
      <w:r w:rsidR="00EF7CF6">
        <w:t xml:space="preserve"> </w:t>
      </w:r>
    </w:p>
    <w:p w14:paraId="55A9928C" w14:textId="5BFBDECD" w:rsidR="00604B80" w:rsidRPr="00D85679" w:rsidRDefault="00EF7CF6" w:rsidP="00D85679">
      <w:pPr>
        <w:pStyle w:val="Numberedparagraph"/>
        <w:numPr>
          <w:ilvl w:val="0"/>
          <w:numId w:val="5"/>
        </w:numPr>
        <w:rPr>
          <w:b/>
          <w:bCs/>
        </w:rPr>
      </w:pPr>
      <w:r w:rsidRPr="009359FF">
        <w:rPr>
          <w:b/>
          <w:bCs/>
        </w:rPr>
        <w:t xml:space="preserve">This means our current approach of locking children up is harming them and turning them into more serious offenders. </w:t>
      </w:r>
      <w:r w:rsidR="00604B80" w:rsidRPr="00D85679">
        <w:rPr>
          <w:b/>
          <w:bCs/>
        </w:rPr>
        <w:t>This is not an effective or cost-effective response to youth crime.</w:t>
      </w:r>
    </w:p>
    <w:p w14:paraId="3C5AD953" w14:textId="5458D98F" w:rsidR="004E2C32" w:rsidRDefault="00AB1B6A" w:rsidP="004E2C32">
      <w:pPr>
        <w:pStyle w:val="Heading1"/>
        <w:rPr>
          <w:lang w:val="en-US"/>
        </w:rPr>
      </w:pPr>
      <w:bookmarkStart w:id="18" w:name="_Toc195687399"/>
      <w:r>
        <w:rPr>
          <w:lang w:val="en-US"/>
        </w:rPr>
        <w:lastRenderedPageBreak/>
        <w:t>The</w:t>
      </w:r>
      <w:r w:rsidR="00A66259">
        <w:rPr>
          <w:lang w:val="en-US"/>
        </w:rPr>
        <w:t xml:space="preserve"> Bill will </w:t>
      </w:r>
      <w:r>
        <w:rPr>
          <w:lang w:val="en-US"/>
        </w:rPr>
        <w:t xml:space="preserve">come at a high </w:t>
      </w:r>
      <w:r w:rsidR="00A66259">
        <w:rPr>
          <w:lang w:val="en-US"/>
        </w:rPr>
        <w:t xml:space="preserve">cost </w:t>
      </w:r>
      <w:r>
        <w:rPr>
          <w:lang w:val="en-US"/>
        </w:rPr>
        <w:t xml:space="preserve">to </w:t>
      </w:r>
      <w:r w:rsidR="00A66259">
        <w:rPr>
          <w:lang w:val="en-US"/>
        </w:rPr>
        <w:t>the taxpayer</w:t>
      </w:r>
      <w:bookmarkEnd w:id="18"/>
      <w:r w:rsidR="00A66259">
        <w:rPr>
          <w:lang w:val="en-US"/>
        </w:rPr>
        <w:t xml:space="preserve"> </w:t>
      </w:r>
    </w:p>
    <w:p w14:paraId="6A51F630" w14:textId="4793DB5C" w:rsidR="00A311DF" w:rsidRPr="00D654F2" w:rsidRDefault="004E2C32" w:rsidP="00AE533E">
      <w:pPr>
        <w:pStyle w:val="Numberedparagraph"/>
        <w:numPr>
          <w:ilvl w:val="0"/>
          <w:numId w:val="5"/>
        </w:numPr>
        <w:rPr>
          <w:rFonts w:eastAsia="Times New Roman" w:cs="Times New Roman"/>
          <w:color w:val="auto"/>
          <w:szCs w:val="22"/>
          <w:lang w:val="en-US"/>
        </w:rPr>
      </w:pPr>
      <w:r w:rsidRPr="0046473E">
        <w:rPr>
          <w:rFonts w:eastAsia="Times New Roman" w:cs="Times New Roman"/>
          <w:b/>
          <w:bCs/>
        </w:rPr>
        <w:t xml:space="preserve">This </w:t>
      </w:r>
      <w:r w:rsidRPr="009359FF">
        <w:rPr>
          <w:rFonts w:eastAsia="Times New Roman" w:cs="Times New Roman"/>
          <w:b/>
          <w:bCs/>
        </w:rPr>
        <w:t>Bill will come at a high financial cost to Queensland taxpayers</w:t>
      </w:r>
      <w:r w:rsidDel="003A4FBC">
        <w:rPr>
          <w:rFonts w:eastAsia="Times New Roman" w:cs="Times New Roman"/>
          <w:b/>
          <w:bCs/>
        </w:rPr>
        <w:t>.</w:t>
      </w:r>
      <w:r w:rsidRPr="00CC3AEA">
        <w:rPr>
          <w:rFonts w:eastAsia="Times New Roman" w:cs="Times New Roman"/>
        </w:rPr>
        <w:t xml:space="preserve"> </w:t>
      </w:r>
    </w:p>
    <w:p w14:paraId="4B6EF333" w14:textId="3D2FC0DD" w:rsidR="004E2C32" w:rsidRPr="007C50CF" w:rsidRDefault="00A66259">
      <w:pPr>
        <w:pStyle w:val="Numberedparagraph"/>
        <w:numPr>
          <w:ilvl w:val="0"/>
          <w:numId w:val="5"/>
        </w:numPr>
        <w:rPr>
          <w:rFonts w:eastAsia="Times New Roman" w:cs="Times New Roman"/>
          <w:color w:val="auto"/>
          <w:szCs w:val="22"/>
          <w:lang w:val="en-US"/>
        </w:rPr>
      </w:pPr>
      <w:r w:rsidRPr="00AE533E">
        <w:rPr>
          <w:rFonts w:eastAsia="Times New Roman" w:cs="Times New Roman"/>
          <w:color w:val="auto"/>
          <w:szCs w:val="22"/>
          <w:lang w:val="en-US"/>
        </w:rPr>
        <w:t xml:space="preserve">Mandatory or excessively punitive sentencing regimes reduce incentives for </w:t>
      </w:r>
      <w:r w:rsidR="00022823">
        <w:rPr>
          <w:rFonts w:eastAsia="Times New Roman" w:cs="Times New Roman"/>
          <w:color w:val="auto"/>
          <w:szCs w:val="22"/>
          <w:lang w:val="en-US"/>
        </w:rPr>
        <w:t xml:space="preserve">children (and adults) to plead </w:t>
      </w:r>
      <w:r w:rsidRPr="00AE533E">
        <w:rPr>
          <w:rFonts w:eastAsia="Times New Roman" w:cs="Times New Roman"/>
          <w:color w:val="auto"/>
          <w:szCs w:val="22"/>
          <w:lang w:val="en-US"/>
        </w:rPr>
        <w:t>guilty</w:t>
      </w:r>
      <w:r w:rsidR="00022823">
        <w:rPr>
          <w:rFonts w:eastAsia="Times New Roman" w:cs="Times New Roman"/>
          <w:color w:val="auto"/>
          <w:szCs w:val="22"/>
          <w:lang w:val="en-US"/>
        </w:rPr>
        <w:t>. This</w:t>
      </w:r>
      <w:r w:rsidR="00AE533E">
        <w:rPr>
          <w:rFonts w:eastAsia="Times New Roman" w:cs="Times New Roman"/>
          <w:color w:val="auto"/>
          <w:szCs w:val="22"/>
          <w:lang w:val="en-US"/>
        </w:rPr>
        <w:t xml:space="preserve"> </w:t>
      </w:r>
      <w:r w:rsidRPr="00AE533E">
        <w:rPr>
          <w:rFonts w:eastAsia="Times New Roman" w:cs="Times New Roman"/>
          <w:color w:val="auto"/>
          <w:szCs w:val="22"/>
          <w:lang w:val="en-US"/>
        </w:rPr>
        <w:t>lead</w:t>
      </w:r>
      <w:r w:rsidR="00AE533E">
        <w:rPr>
          <w:rFonts w:eastAsia="Times New Roman" w:cs="Times New Roman"/>
          <w:color w:val="auto"/>
          <w:szCs w:val="22"/>
          <w:lang w:val="en-US"/>
        </w:rPr>
        <w:t>s</w:t>
      </w:r>
      <w:r w:rsidRPr="00AE533E">
        <w:rPr>
          <w:rFonts w:eastAsia="Times New Roman" w:cs="Times New Roman"/>
          <w:color w:val="auto"/>
          <w:szCs w:val="22"/>
          <w:lang w:val="en-US"/>
        </w:rPr>
        <w:t xml:space="preserve"> to more </w:t>
      </w:r>
      <w:r w:rsidR="00DA47A5">
        <w:rPr>
          <w:rFonts w:eastAsia="Times New Roman" w:cs="Times New Roman"/>
          <w:color w:val="auto"/>
          <w:szCs w:val="22"/>
          <w:lang w:val="en-US"/>
        </w:rPr>
        <w:t xml:space="preserve">costly </w:t>
      </w:r>
      <w:r w:rsidR="009864DD" w:rsidRPr="00AE533E">
        <w:rPr>
          <w:rFonts w:eastAsia="Times New Roman" w:cs="Times New Roman"/>
          <w:color w:val="auto"/>
          <w:szCs w:val="22"/>
          <w:lang w:val="en-US"/>
        </w:rPr>
        <w:t xml:space="preserve">criminal </w:t>
      </w:r>
      <w:r w:rsidRPr="00AE533E">
        <w:rPr>
          <w:rFonts w:eastAsia="Times New Roman" w:cs="Times New Roman"/>
          <w:color w:val="auto"/>
          <w:szCs w:val="22"/>
          <w:lang w:val="en-US"/>
        </w:rPr>
        <w:t>trials</w:t>
      </w:r>
      <w:r w:rsidR="00BB4C00">
        <w:rPr>
          <w:rFonts w:eastAsia="Times New Roman" w:cs="Times New Roman"/>
          <w:color w:val="auto"/>
          <w:szCs w:val="22"/>
          <w:lang w:val="en-US"/>
        </w:rPr>
        <w:t>.</w:t>
      </w:r>
      <w:r w:rsidR="004E2C32" w:rsidRPr="00AE533E">
        <w:rPr>
          <w:rFonts w:eastAsia="Times New Roman" w:cs="Times New Roman"/>
          <w:color w:val="auto"/>
          <w:szCs w:val="22"/>
          <w:lang w:val="en-US"/>
        </w:rPr>
        <w:t xml:space="preserve"> </w:t>
      </w:r>
      <w:r w:rsidR="004E2C32" w:rsidRPr="007C50CF">
        <w:rPr>
          <w:rFonts w:eastAsia="Times New Roman" w:cs="Times New Roman"/>
        </w:rPr>
        <w:t>The Commission has been unable to identify the average costs of a criminal trial for a child in Queensland but notes the Productivity Commission has indicated the national average net cost per finalisation of a criminal matter is $23,138 in Supreme courts, $13,259 in District courts, and $966 in the Magistrates courts.</w:t>
      </w:r>
      <w:r w:rsidR="004E2C32" w:rsidRPr="00CC3AEA">
        <w:rPr>
          <w:vertAlign w:val="superscript"/>
        </w:rPr>
        <w:footnoteReference w:id="67"/>
      </w:r>
      <w:r w:rsidR="009864DD">
        <w:rPr>
          <w:rFonts w:eastAsia="Times New Roman" w:cs="Times New Roman"/>
        </w:rPr>
        <w:t xml:space="preserve"> </w:t>
      </w:r>
    </w:p>
    <w:p w14:paraId="04229034" w14:textId="30A9AEA6" w:rsidR="006A7186" w:rsidRPr="006A7186" w:rsidRDefault="006A7186" w:rsidP="006A7186">
      <w:pPr>
        <w:pStyle w:val="Numberedparagraph"/>
        <w:numPr>
          <w:ilvl w:val="0"/>
          <w:numId w:val="5"/>
        </w:numPr>
        <w:rPr>
          <w:rFonts w:eastAsia="Times New Roman" w:cs="Times New Roman"/>
          <w:color w:val="auto"/>
          <w:szCs w:val="22"/>
          <w:lang w:val="en-US"/>
        </w:rPr>
      </w:pPr>
      <w:r w:rsidRPr="008F04CE">
        <w:rPr>
          <w:rFonts w:eastAsia="Times New Roman" w:cs="Times New Roman"/>
          <w:color w:val="auto"/>
          <w:szCs w:val="22"/>
          <w:lang w:val="en-US"/>
        </w:rPr>
        <w:t>As children who commit offences are more likely to be impacted by poverty and other forms of inequality,</w:t>
      </w:r>
      <w:r w:rsidRPr="008F04CE">
        <w:rPr>
          <w:vertAlign w:val="superscript"/>
          <w:lang w:val="en-US"/>
        </w:rPr>
        <w:footnoteReference w:id="68"/>
      </w:r>
      <w:r w:rsidRPr="008F04CE">
        <w:rPr>
          <w:rFonts w:eastAsia="Times New Roman" w:cs="Times New Roman"/>
          <w:color w:val="auto"/>
          <w:szCs w:val="22"/>
          <w:lang w:val="en-US"/>
        </w:rPr>
        <w:t xml:space="preserve"> this is also likely to have a significant impact on community legal services, </w:t>
      </w:r>
      <w:r w:rsidR="00F42D8E">
        <w:rPr>
          <w:rFonts w:eastAsia="Times New Roman" w:cs="Times New Roman"/>
          <w:color w:val="auto"/>
          <w:szCs w:val="22"/>
          <w:lang w:val="en-US"/>
        </w:rPr>
        <w:t xml:space="preserve">such as </w:t>
      </w:r>
      <w:r w:rsidRPr="008F04CE">
        <w:rPr>
          <w:rFonts w:eastAsia="Times New Roman" w:cs="Times New Roman"/>
          <w:color w:val="auto"/>
          <w:szCs w:val="22"/>
          <w:lang w:val="en-US"/>
        </w:rPr>
        <w:t>Legal Aid Queensland</w:t>
      </w:r>
      <w:r w:rsidR="0034088F">
        <w:rPr>
          <w:rFonts w:eastAsia="Times New Roman" w:cs="Times New Roman"/>
          <w:color w:val="auto"/>
          <w:szCs w:val="22"/>
          <w:lang w:val="en-US"/>
        </w:rPr>
        <w:t xml:space="preserve"> and </w:t>
      </w:r>
      <w:r w:rsidR="0034088F" w:rsidRPr="008F04CE">
        <w:rPr>
          <w:rFonts w:eastAsia="Times New Roman" w:cs="Times New Roman"/>
          <w:color w:val="auto"/>
          <w:szCs w:val="22"/>
          <w:lang w:val="en-US"/>
        </w:rPr>
        <w:t>the Aboriginal and Torres Strait Islander Legal Service</w:t>
      </w:r>
      <w:r w:rsidRPr="008F04CE">
        <w:rPr>
          <w:rFonts w:eastAsia="Times New Roman" w:cs="Times New Roman"/>
          <w:color w:val="auto"/>
          <w:szCs w:val="22"/>
          <w:lang w:val="en-US"/>
        </w:rPr>
        <w:t xml:space="preserve">. </w:t>
      </w:r>
    </w:p>
    <w:p w14:paraId="26AC560F" w14:textId="1334B550" w:rsidR="00561CFB" w:rsidRDefault="004E2C32" w:rsidP="00561CFB">
      <w:pPr>
        <w:pStyle w:val="Numberedparagraph"/>
        <w:numPr>
          <w:ilvl w:val="0"/>
          <w:numId w:val="5"/>
        </w:numPr>
        <w:rPr>
          <w:rFonts w:eastAsia="Times New Roman" w:cs="Times New Roman"/>
          <w:lang w:val="en-US"/>
        </w:rPr>
      </w:pPr>
      <w:r w:rsidRPr="00CC3AEA">
        <w:rPr>
          <w:rFonts w:eastAsia="Times New Roman" w:cs="Times New Roman"/>
        </w:rPr>
        <w:t xml:space="preserve">In terms of detention, </w:t>
      </w:r>
      <w:proofErr w:type="spellStart"/>
      <w:r w:rsidRPr="00CC3AEA">
        <w:rPr>
          <w:rFonts w:eastAsia="Times New Roman" w:cs="Times New Roman"/>
        </w:rPr>
        <w:t>i</w:t>
      </w:r>
      <w:proofErr w:type="spellEnd"/>
      <w:r w:rsidRPr="00CC3AEA">
        <w:rPr>
          <w:rFonts w:eastAsia="Times New Roman" w:cs="Times New Roman"/>
          <w:lang w:val="en-US"/>
        </w:rPr>
        <w:t>n Queensland, the average cost per day for keeping a young person in detention is $1,833.72.</w:t>
      </w:r>
      <w:r w:rsidRPr="00CC3AEA">
        <w:rPr>
          <w:vertAlign w:val="superscript"/>
          <w:lang w:val="en-US"/>
        </w:rPr>
        <w:footnoteReference w:id="69"/>
      </w:r>
      <w:r w:rsidRPr="00CC3AEA">
        <w:rPr>
          <w:rFonts w:eastAsia="Times New Roman" w:cs="Times New Roman"/>
          <w:lang w:val="en-US"/>
        </w:rPr>
        <w:t xml:space="preserve"> </w:t>
      </w:r>
      <w:r w:rsidRPr="00E97155">
        <w:rPr>
          <w:rFonts w:eastAsia="Times New Roman" w:cs="Times New Roman"/>
          <w:lang w:val="en-US"/>
        </w:rPr>
        <w:t>This is significantly less than any other jurisdiction, and 65</w:t>
      </w:r>
      <w:r w:rsidR="00635D6D" w:rsidRPr="00635D6D">
        <w:t xml:space="preserve"> </w:t>
      </w:r>
      <w:r w:rsidR="00635D6D">
        <w:t>per cent</w:t>
      </w:r>
      <w:r w:rsidR="00635D6D" w:rsidRPr="009908BA">
        <w:t xml:space="preserve"> </w:t>
      </w:r>
      <w:r w:rsidRPr="00E97155">
        <w:rPr>
          <w:rFonts w:eastAsia="Times New Roman" w:cs="Times New Roman"/>
          <w:lang w:val="en-US"/>
        </w:rPr>
        <w:t xml:space="preserve">of the national average, suggesting that Queensland’s spend is </w:t>
      </w:r>
      <w:r w:rsidR="00F37EA4">
        <w:rPr>
          <w:rFonts w:eastAsia="Times New Roman" w:cs="Times New Roman"/>
          <w:lang w:val="en-US"/>
        </w:rPr>
        <w:t xml:space="preserve">already </w:t>
      </w:r>
      <w:r w:rsidRPr="00E97155">
        <w:rPr>
          <w:rFonts w:eastAsia="Times New Roman" w:cs="Times New Roman"/>
          <w:lang w:val="en-US"/>
        </w:rPr>
        <w:t xml:space="preserve">inadequate to meet the rehabilitation and reintegration needs of children and stop reoffending. </w:t>
      </w:r>
      <w:r w:rsidRPr="006A7186">
        <w:rPr>
          <w:rFonts w:eastAsia="Times New Roman" w:cs="Times New Roman"/>
          <w:lang w:val="en-US"/>
        </w:rPr>
        <w:t>In contrast, the average cost per day per child for community-based supervision for 2022-23 was $304.30.</w:t>
      </w:r>
      <w:r w:rsidR="00E505F3">
        <w:rPr>
          <w:rStyle w:val="FootnoteReference"/>
          <w:rFonts w:eastAsia="Times New Roman" w:cs="Times New Roman"/>
          <w:lang w:val="en-US"/>
        </w:rPr>
        <w:footnoteReference w:id="70"/>
      </w:r>
      <w:r w:rsidR="00561CFB">
        <w:rPr>
          <w:rFonts w:eastAsia="Times New Roman" w:cs="Times New Roman"/>
          <w:lang w:val="en-US"/>
        </w:rPr>
        <w:t xml:space="preserve"> </w:t>
      </w:r>
    </w:p>
    <w:p w14:paraId="575B51C9" w14:textId="77777777" w:rsidR="00975901" w:rsidRDefault="004E2C32" w:rsidP="00561CFB">
      <w:pPr>
        <w:pStyle w:val="Numberedparagraph"/>
        <w:numPr>
          <w:ilvl w:val="0"/>
          <w:numId w:val="5"/>
        </w:numPr>
        <w:rPr>
          <w:rFonts w:eastAsia="Times New Roman" w:cs="Times New Roman"/>
          <w:lang w:val="en-US"/>
        </w:rPr>
      </w:pPr>
      <w:r w:rsidRPr="00561CFB">
        <w:rPr>
          <w:rFonts w:eastAsia="Times New Roman" w:cs="Times New Roman"/>
          <w:lang w:val="en-US"/>
        </w:rPr>
        <w:t>Th</w:t>
      </w:r>
      <w:r w:rsidR="00561CFB">
        <w:rPr>
          <w:rFonts w:eastAsia="Times New Roman" w:cs="Times New Roman"/>
          <w:lang w:val="en-US"/>
        </w:rPr>
        <w:t>ese costs are</w:t>
      </w:r>
      <w:r w:rsidRPr="00561CFB">
        <w:rPr>
          <w:rFonts w:eastAsia="Times New Roman" w:cs="Times New Roman"/>
          <w:lang w:val="en-US"/>
        </w:rPr>
        <w:t xml:space="preserve"> likely to be in addition to</w:t>
      </w:r>
      <w:r w:rsidR="006D19F9" w:rsidRPr="00561CFB">
        <w:rPr>
          <w:rFonts w:eastAsia="Times New Roman" w:cs="Times New Roman"/>
          <w:lang w:val="en-US"/>
        </w:rPr>
        <w:t xml:space="preserve"> substantial </w:t>
      </w:r>
      <w:r w:rsidRPr="00561CFB">
        <w:rPr>
          <w:rFonts w:eastAsia="Times New Roman" w:cs="Times New Roman"/>
          <w:lang w:val="en-US"/>
        </w:rPr>
        <w:t>capital costs associated with building additional</w:t>
      </w:r>
      <w:r w:rsidR="00F37EA4">
        <w:rPr>
          <w:rFonts w:eastAsia="Times New Roman" w:cs="Times New Roman"/>
          <w:lang w:val="en-US"/>
        </w:rPr>
        <w:t xml:space="preserve"> youth detention and youth remand</w:t>
      </w:r>
      <w:r w:rsidRPr="00561CFB">
        <w:rPr>
          <w:rFonts w:eastAsia="Times New Roman" w:cs="Times New Roman"/>
          <w:lang w:val="en-US"/>
        </w:rPr>
        <w:t xml:space="preserve"> facilities</w:t>
      </w:r>
      <w:r w:rsidR="006D19F9" w:rsidRPr="00561CFB">
        <w:rPr>
          <w:rFonts w:eastAsia="Times New Roman" w:cs="Times New Roman"/>
          <w:lang w:val="en-US"/>
        </w:rPr>
        <w:t xml:space="preserve"> as</w:t>
      </w:r>
      <w:r w:rsidR="00561CFB" w:rsidRPr="00561CFB">
        <w:rPr>
          <w:rFonts w:eastAsia="Times New Roman" w:cs="Times New Roman"/>
          <w:lang w:val="en-US"/>
        </w:rPr>
        <w:t xml:space="preserve"> facilities become </w:t>
      </w:r>
      <w:r w:rsidR="00D93E40">
        <w:rPr>
          <w:rFonts w:eastAsia="Times New Roman" w:cs="Times New Roman"/>
          <w:lang w:val="en-US"/>
        </w:rPr>
        <w:t>even</w:t>
      </w:r>
      <w:r w:rsidR="00561CFB" w:rsidRPr="00561CFB">
        <w:rPr>
          <w:rFonts w:eastAsia="Times New Roman" w:cs="Times New Roman"/>
          <w:lang w:val="en-US"/>
        </w:rPr>
        <w:t xml:space="preserve"> more overburdened. </w:t>
      </w:r>
    </w:p>
    <w:p w14:paraId="6E76854A" w14:textId="300DC46B" w:rsidR="004E2C32" w:rsidRPr="00561CFB" w:rsidRDefault="00975901" w:rsidP="00561CFB">
      <w:pPr>
        <w:pStyle w:val="Numberedparagraph"/>
        <w:numPr>
          <w:ilvl w:val="0"/>
          <w:numId w:val="5"/>
        </w:numPr>
        <w:rPr>
          <w:rFonts w:eastAsia="Times New Roman" w:cs="Times New Roman"/>
          <w:lang w:val="en-US"/>
        </w:rPr>
      </w:pPr>
      <w:r>
        <w:rPr>
          <w:rFonts w:eastAsia="Times New Roman" w:cs="Times New Roman"/>
          <w:lang w:val="en-US"/>
        </w:rPr>
        <w:t xml:space="preserve">As this Bill and the MQS Act propose to impose long sentences on children, these costs will also spread to the adult prison system, which </w:t>
      </w:r>
      <w:r w:rsidR="003D51A0">
        <w:rPr>
          <w:rFonts w:eastAsia="Times New Roman" w:cs="Times New Roman"/>
          <w:lang w:val="en-US"/>
        </w:rPr>
        <w:t>is</w:t>
      </w:r>
      <w:r w:rsidR="009D698C">
        <w:rPr>
          <w:rFonts w:eastAsia="Times New Roman" w:cs="Times New Roman"/>
          <w:lang w:val="en-US"/>
        </w:rPr>
        <w:t xml:space="preserve"> already </w:t>
      </w:r>
      <w:r w:rsidR="009A5C26">
        <w:rPr>
          <w:rFonts w:eastAsia="Times New Roman" w:cs="Times New Roman"/>
          <w:lang w:val="en-US"/>
        </w:rPr>
        <w:t>operating at over 140 per cent capacity.</w:t>
      </w:r>
      <w:r w:rsidR="003D51A0">
        <w:rPr>
          <w:rStyle w:val="FootnoteReference"/>
          <w:rFonts w:eastAsia="Times New Roman" w:cs="Times New Roman"/>
          <w:lang w:val="en-US"/>
        </w:rPr>
        <w:footnoteReference w:id="71"/>
      </w:r>
      <w:r w:rsidR="009A5C26">
        <w:rPr>
          <w:rFonts w:eastAsia="Times New Roman" w:cs="Times New Roman"/>
          <w:lang w:val="en-US"/>
        </w:rPr>
        <w:t xml:space="preserve"> </w:t>
      </w:r>
      <w:r>
        <w:rPr>
          <w:rFonts w:eastAsia="Times New Roman" w:cs="Times New Roman"/>
          <w:lang w:val="en-US"/>
        </w:rPr>
        <w:t xml:space="preserve"> </w:t>
      </w:r>
    </w:p>
    <w:p w14:paraId="730A0E02" w14:textId="266E8FC6" w:rsidR="006C2075" w:rsidRDefault="00624AB4" w:rsidP="004E2C32">
      <w:pPr>
        <w:pStyle w:val="Numberedparagraph"/>
        <w:numPr>
          <w:ilvl w:val="0"/>
          <w:numId w:val="5"/>
        </w:numPr>
        <w:rPr>
          <w:rFonts w:eastAsia="Times New Roman" w:cs="Times New Roman"/>
          <w:lang w:val="en-US"/>
        </w:rPr>
      </w:pPr>
      <w:r>
        <w:rPr>
          <w:rFonts w:eastAsia="Times New Roman" w:cs="Times New Roman"/>
          <w:lang w:val="en-US"/>
        </w:rPr>
        <w:t xml:space="preserve">Time spent in detention can be </w:t>
      </w:r>
      <w:r w:rsidR="00143F52">
        <w:rPr>
          <w:rFonts w:eastAsia="Times New Roman" w:cs="Times New Roman"/>
          <w:lang w:val="en-US"/>
        </w:rPr>
        <w:t>traumati</w:t>
      </w:r>
      <w:r w:rsidR="00D93E40">
        <w:rPr>
          <w:rFonts w:eastAsia="Times New Roman" w:cs="Times New Roman"/>
          <w:lang w:val="en-US"/>
        </w:rPr>
        <w:t>s</w:t>
      </w:r>
      <w:r w:rsidR="00143F52">
        <w:rPr>
          <w:rFonts w:eastAsia="Times New Roman" w:cs="Times New Roman"/>
          <w:lang w:val="en-US"/>
        </w:rPr>
        <w:t xml:space="preserve">ing for children. The more time a child spends </w:t>
      </w:r>
      <w:proofErr w:type="gramStart"/>
      <w:r w:rsidR="004E2C32" w:rsidRPr="0009645E">
        <w:rPr>
          <w:rFonts w:eastAsia="Times New Roman" w:cs="Times New Roman"/>
          <w:lang w:val="en-US"/>
        </w:rPr>
        <w:t>in</w:t>
      </w:r>
      <w:proofErr w:type="gramEnd"/>
      <w:r w:rsidR="004E2C32" w:rsidRPr="0009645E">
        <w:rPr>
          <w:rFonts w:eastAsia="Times New Roman" w:cs="Times New Roman"/>
          <w:lang w:val="en-US"/>
        </w:rPr>
        <w:t xml:space="preserve"> detention</w:t>
      </w:r>
      <w:r w:rsidR="00143F52">
        <w:rPr>
          <w:rFonts w:eastAsia="Times New Roman" w:cs="Times New Roman"/>
          <w:lang w:val="en-US"/>
        </w:rPr>
        <w:t>, the greater the exposure to</w:t>
      </w:r>
      <w:r w:rsidR="004E2C32" w:rsidRPr="0009645E">
        <w:rPr>
          <w:rFonts w:eastAsia="Times New Roman" w:cs="Times New Roman"/>
          <w:lang w:val="en-US"/>
        </w:rPr>
        <w:t xml:space="preserve"> trauma and harm</w:t>
      </w:r>
      <w:r w:rsidR="00AF40D0">
        <w:rPr>
          <w:rFonts w:eastAsia="Times New Roman" w:cs="Times New Roman"/>
          <w:lang w:val="en-US"/>
        </w:rPr>
        <w:t xml:space="preserve">. This has flow </w:t>
      </w:r>
      <w:r w:rsidR="00AF40D0">
        <w:rPr>
          <w:rFonts w:eastAsia="Times New Roman" w:cs="Times New Roman"/>
          <w:lang w:val="en-US"/>
        </w:rPr>
        <w:lastRenderedPageBreak/>
        <w:t xml:space="preserve">on costs </w:t>
      </w:r>
      <w:r w:rsidR="00E32932">
        <w:rPr>
          <w:rFonts w:eastAsia="Times New Roman" w:cs="Times New Roman"/>
          <w:lang w:val="en-US"/>
        </w:rPr>
        <w:t>for</w:t>
      </w:r>
      <w:r w:rsidR="00AF40D0">
        <w:rPr>
          <w:rFonts w:eastAsia="Times New Roman" w:cs="Times New Roman"/>
          <w:lang w:val="en-US"/>
        </w:rPr>
        <w:t xml:space="preserve"> Queenslander</w:t>
      </w:r>
      <w:r w:rsidR="00E32932">
        <w:rPr>
          <w:rFonts w:eastAsia="Times New Roman" w:cs="Times New Roman"/>
          <w:lang w:val="en-US"/>
        </w:rPr>
        <w:t>s</w:t>
      </w:r>
      <w:r w:rsidR="00AF40D0">
        <w:rPr>
          <w:rFonts w:eastAsia="Times New Roman" w:cs="Times New Roman"/>
          <w:lang w:val="en-US"/>
        </w:rPr>
        <w:t xml:space="preserve"> </w:t>
      </w:r>
      <w:r w:rsidR="00295D73">
        <w:rPr>
          <w:rFonts w:eastAsia="Times New Roman" w:cs="Times New Roman"/>
          <w:lang w:val="en-US"/>
        </w:rPr>
        <w:t>as</w:t>
      </w:r>
      <w:r w:rsidR="004E2C32" w:rsidRPr="0009645E">
        <w:rPr>
          <w:rFonts w:eastAsia="Times New Roman" w:cs="Times New Roman"/>
          <w:lang w:val="en-US"/>
        </w:rPr>
        <w:t xml:space="preserve"> additional</w:t>
      </w:r>
      <w:r w:rsidR="00D902DE">
        <w:rPr>
          <w:rFonts w:eastAsia="Times New Roman" w:cs="Times New Roman"/>
          <w:lang w:val="en-US"/>
        </w:rPr>
        <w:t xml:space="preserve"> funding will be required for </w:t>
      </w:r>
      <w:r w:rsidR="004E2C32" w:rsidRPr="0009645E">
        <w:rPr>
          <w:rFonts w:eastAsia="Times New Roman" w:cs="Times New Roman"/>
          <w:lang w:val="en-US"/>
        </w:rPr>
        <w:t>health</w:t>
      </w:r>
      <w:r w:rsidR="00295D73">
        <w:rPr>
          <w:rFonts w:eastAsia="Times New Roman" w:cs="Times New Roman"/>
          <w:lang w:val="en-US"/>
        </w:rPr>
        <w:t xml:space="preserve"> and</w:t>
      </w:r>
      <w:r w:rsidR="004E2C32" w:rsidRPr="0009645E">
        <w:rPr>
          <w:rFonts w:eastAsia="Times New Roman" w:cs="Times New Roman"/>
          <w:lang w:val="en-US"/>
        </w:rPr>
        <w:t xml:space="preserve"> mental health services once the</w:t>
      </w:r>
      <w:r w:rsidR="00E32932">
        <w:rPr>
          <w:rFonts w:eastAsia="Times New Roman" w:cs="Times New Roman"/>
          <w:lang w:val="en-US"/>
        </w:rPr>
        <w:t xml:space="preserve"> child</w:t>
      </w:r>
      <w:r w:rsidR="004E2C32" w:rsidRPr="0009645E">
        <w:rPr>
          <w:rFonts w:eastAsia="Times New Roman" w:cs="Times New Roman"/>
          <w:lang w:val="en-US"/>
        </w:rPr>
        <w:t xml:space="preserve"> leave</w:t>
      </w:r>
      <w:r w:rsidR="00E32932">
        <w:rPr>
          <w:rFonts w:eastAsia="Times New Roman" w:cs="Times New Roman"/>
          <w:lang w:val="en-US"/>
        </w:rPr>
        <w:t>s</w:t>
      </w:r>
      <w:r w:rsidR="004E2C32" w:rsidRPr="0009645E">
        <w:rPr>
          <w:rFonts w:eastAsia="Times New Roman" w:cs="Times New Roman"/>
          <w:lang w:val="en-US"/>
        </w:rPr>
        <w:t xml:space="preserve"> detention. </w:t>
      </w:r>
    </w:p>
    <w:p w14:paraId="7B26B4FF" w14:textId="76E8B135" w:rsidR="004E2C32" w:rsidRPr="006C2075" w:rsidRDefault="006C2075" w:rsidP="006C2075">
      <w:pPr>
        <w:pStyle w:val="Numberedparagraph"/>
        <w:numPr>
          <w:ilvl w:val="0"/>
          <w:numId w:val="5"/>
        </w:numPr>
        <w:rPr>
          <w:rFonts w:eastAsia="Times New Roman" w:cs="Times New Roman"/>
          <w:color w:val="auto"/>
          <w:szCs w:val="22"/>
          <w:lang w:val="en-US"/>
        </w:rPr>
      </w:pPr>
      <w:r w:rsidRPr="008C57BE">
        <w:rPr>
          <w:rFonts w:eastAsia="Times New Roman" w:cs="Times New Roman"/>
          <w:lang w:val="en-US"/>
        </w:rPr>
        <w:t>Detention of children in crowded detention centers and watchhouses</w:t>
      </w:r>
      <w:r w:rsidR="003D4254">
        <w:rPr>
          <w:rFonts w:eastAsia="Times New Roman" w:cs="Times New Roman"/>
          <w:lang w:val="en-US"/>
        </w:rPr>
        <w:t xml:space="preserve"> also</w:t>
      </w:r>
      <w:r w:rsidRPr="008C57BE">
        <w:rPr>
          <w:rFonts w:eastAsia="Times New Roman" w:cs="Times New Roman"/>
          <w:lang w:val="en-US"/>
        </w:rPr>
        <w:t xml:space="preserve"> creates safety risks for watchhouse staff, police officers</w:t>
      </w:r>
      <w:r w:rsidR="00D93E40">
        <w:rPr>
          <w:rFonts w:eastAsia="Times New Roman" w:cs="Times New Roman"/>
          <w:lang w:val="en-US"/>
        </w:rPr>
        <w:t>,</w:t>
      </w:r>
      <w:r w:rsidRPr="008C57BE">
        <w:rPr>
          <w:rFonts w:eastAsia="Times New Roman" w:cs="Times New Roman"/>
          <w:lang w:val="en-US"/>
        </w:rPr>
        <w:t xml:space="preserve"> and other service</w:t>
      </w:r>
      <w:r w:rsidR="00774A24">
        <w:rPr>
          <w:rFonts w:eastAsia="Times New Roman" w:cs="Times New Roman"/>
          <w:lang w:val="en-US"/>
        </w:rPr>
        <w:t xml:space="preserve"> providers</w:t>
      </w:r>
      <w:r w:rsidRPr="008C57BE">
        <w:rPr>
          <w:rFonts w:eastAsia="Times New Roman" w:cs="Times New Roman"/>
          <w:lang w:val="en-US"/>
        </w:rPr>
        <w:t>.</w:t>
      </w:r>
      <w:r w:rsidR="00F10B0C">
        <w:rPr>
          <w:rFonts w:eastAsia="Times New Roman" w:cs="Times New Roman"/>
          <w:lang w:val="en-US"/>
        </w:rPr>
        <w:t xml:space="preserve"> </w:t>
      </w:r>
      <w:r w:rsidR="00A32861">
        <w:rPr>
          <w:rFonts w:eastAsia="Times New Roman" w:cs="Times New Roman"/>
          <w:lang w:val="en-US"/>
        </w:rPr>
        <w:t xml:space="preserve">Staff and service providers can </w:t>
      </w:r>
      <w:r w:rsidR="008E2A06">
        <w:rPr>
          <w:rFonts w:eastAsia="Times New Roman" w:cs="Times New Roman"/>
          <w:lang w:val="en-US"/>
        </w:rPr>
        <w:t>also</w:t>
      </w:r>
      <w:r w:rsidR="00A32861">
        <w:rPr>
          <w:rFonts w:eastAsia="Times New Roman" w:cs="Times New Roman"/>
          <w:lang w:val="en-US"/>
        </w:rPr>
        <w:t xml:space="preserve"> </w:t>
      </w:r>
      <w:r w:rsidR="00A93ACB">
        <w:rPr>
          <w:rFonts w:eastAsia="Times New Roman" w:cs="Times New Roman"/>
          <w:lang w:val="en-US"/>
        </w:rPr>
        <w:t>suffer</w:t>
      </w:r>
      <w:r w:rsidR="00A32861">
        <w:rPr>
          <w:rFonts w:eastAsia="Times New Roman" w:cs="Times New Roman"/>
          <w:lang w:val="en-US"/>
        </w:rPr>
        <w:t xml:space="preserve"> </w:t>
      </w:r>
      <w:r w:rsidR="00A93ACB" w:rsidRPr="008C57BE">
        <w:rPr>
          <w:rFonts w:eastAsia="Times New Roman" w:cs="Times New Roman"/>
          <w:lang w:val="en-US"/>
        </w:rPr>
        <w:t>vicarious trauma</w:t>
      </w:r>
      <w:r w:rsidR="00A93ACB">
        <w:rPr>
          <w:rFonts w:eastAsia="Times New Roman" w:cs="Times New Roman"/>
          <w:lang w:val="en-US"/>
        </w:rPr>
        <w:t xml:space="preserve"> if they are exposed to children experiencing trauma and inhumane conditions. </w:t>
      </w:r>
      <w:r w:rsidR="00386268">
        <w:rPr>
          <w:rFonts w:eastAsia="Times New Roman" w:cs="Times New Roman"/>
          <w:color w:val="auto"/>
          <w:szCs w:val="22"/>
          <w:lang w:val="en-US"/>
        </w:rPr>
        <w:t>There are</w:t>
      </w:r>
      <w:r w:rsidR="00561CFB">
        <w:rPr>
          <w:rFonts w:eastAsia="Times New Roman" w:cs="Times New Roman"/>
          <w:lang w:val="en-US"/>
        </w:rPr>
        <w:t xml:space="preserve"> </w:t>
      </w:r>
      <w:r w:rsidR="004E2C32" w:rsidRPr="006C2075">
        <w:rPr>
          <w:rFonts w:eastAsia="Times New Roman" w:cs="Times New Roman"/>
          <w:lang w:val="en-US"/>
        </w:rPr>
        <w:t xml:space="preserve">costs </w:t>
      </w:r>
      <w:r w:rsidR="003D4254">
        <w:rPr>
          <w:rFonts w:eastAsia="Times New Roman" w:cs="Times New Roman"/>
          <w:lang w:val="en-US"/>
        </w:rPr>
        <w:t>associated with this harm</w:t>
      </w:r>
      <w:r w:rsidR="004E2C32" w:rsidRPr="006C2075">
        <w:rPr>
          <w:rFonts w:eastAsia="Times New Roman" w:cs="Times New Roman"/>
          <w:lang w:val="en-US"/>
        </w:rPr>
        <w:t xml:space="preserve">, including </w:t>
      </w:r>
      <w:proofErr w:type="spellStart"/>
      <w:r w:rsidR="004E2C32" w:rsidRPr="006C2075">
        <w:rPr>
          <w:rFonts w:eastAsia="Times New Roman" w:cs="Times New Roman"/>
          <w:lang w:val="en-US"/>
        </w:rPr>
        <w:t>WorkCover</w:t>
      </w:r>
      <w:proofErr w:type="spellEnd"/>
      <w:r w:rsidR="004E2C32" w:rsidRPr="006C2075">
        <w:rPr>
          <w:rFonts w:eastAsia="Times New Roman" w:cs="Times New Roman"/>
          <w:lang w:val="en-US"/>
        </w:rPr>
        <w:t xml:space="preserve"> claims. </w:t>
      </w:r>
    </w:p>
    <w:p w14:paraId="2A2132EC" w14:textId="0FFD89CD" w:rsidR="004E2C32" w:rsidRPr="006C2075" w:rsidRDefault="00812A4D" w:rsidP="004E2C32">
      <w:pPr>
        <w:pStyle w:val="Numberedparagraph"/>
        <w:numPr>
          <w:ilvl w:val="0"/>
          <w:numId w:val="5"/>
        </w:numPr>
        <w:rPr>
          <w:rFonts w:eastAsia="Times New Roman" w:cs="Times New Roman"/>
          <w:color w:val="auto"/>
          <w:szCs w:val="22"/>
          <w:lang w:val="en-US"/>
        </w:rPr>
      </w:pPr>
      <w:r>
        <w:rPr>
          <w:rFonts w:eastAsia="Times New Roman" w:cs="Times New Roman"/>
          <w:b/>
          <w:bCs/>
          <w:lang w:val="en-US"/>
        </w:rPr>
        <w:t>T</w:t>
      </w:r>
      <w:r w:rsidR="00C47FFD" w:rsidRPr="00C60E59">
        <w:rPr>
          <w:rFonts w:eastAsia="Times New Roman" w:cs="Times New Roman"/>
          <w:b/>
          <w:bCs/>
          <w:lang w:val="en-US"/>
        </w:rPr>
        <w:t>he</w:t>
      </w:r>
      <w:r>
        <w:rPr>
          <w:rFonts w:eastAsia="Times New Roman" w:cs="Times New Roman"/>
          <w:b/>
          <w:bCs/>
          <w:lang w:val="en-US"/>
        </w:rPr>
        <w:t xml:space="preserve"> high </w:t>
      </w:r>
      <w:r w:rsidR="00AE70DF">
        <w:rPr>
          <w:rFonts w:eastAsia="Times New Roman" w:cs="Times New Roman"/>
          <w:b/>
          <w:bCs/>
          <w:lang w:val="en-US"/>
        </w:rPr>
        <w:t xml:space="preserve">flow-on </w:t>
      </w:r>
      <w:r>
        <w:rPr>
          <w:rFonts w:eastAsia="Times New Roman" w:cs="Times New Roman"/>
          <w:b/>
          <w:bCs/>
          <w:lang w:val="en-US"/>
        </w:rPr>
        <w:t>cost</w:t>
      </w:r>
      <w:r w:rsidR="00AE70DF">
        <w:rPr>
          <w:rFonts w:eastAsia="Times New Roman" w:cs="Times New Roman"/>
          <w:b/>
          <w:bCs/>
          <w:lang w:val="en-US"/>
        </w:rPr>
        <w:t>s</w:t>
      </w:r>
      <w:r>
        <w:rPr>
          <w:rFonts w:eastAsia="Times New Roman" w:cs="Times New Roman"/>
          <w:b/>
          <w:bCs/>
          <w:lang w:val="en-US"/>
        </w:rPr>
        <w:t xml:space="preserve"> of this </w:t>
      </w:r>
      <w:r w:rsidR="00AE70DF">
        <w:rPr>
          <w:rFonts w:eastAsia="Times New Roman" w:cs="Times New Roman"/>
          <w:b/>
          <w:bCs/>
          <w:lang w:val="en-US"/>
        </w:rPr>
        <w:t>B</w:t>
      </w:r>
      <w:r>
        <w:rPr>
          <w:rFonts w:eastAsia="Times New Roman" w:cs="Times New Roman"/>
          <w:b/>
          <w:bCs/>
          <w:lang w:val="en-US"/>
        </w:rPr>
        <w:t>ill</w:t>
      </w:r>
      <w:r w:rsidR="00C47FFD" w:rsidRPr="00C60E59">
        <w:rPr>
          <w:rFonts w:eastAsia="Times New Roman" w:cs="Times New Roman"/>
          <w:b/>
          <w:bCs/>
          <w:lang w:val="en-US"/>
        </w:rPr>
        <w:t xml:space="preserve"> </w:t>
      </w:r>
      <w:r w:rsidR="009E2BE0">
        <w:rPr>
          <w:rFonts w:eastAsia="Times New Roman" w:cs="Times New Roman"/>
          <w:b/>
          <w:bCs/>
          <w:lang w:val="en-US"/>
        </w:rPr>
        <w:t>will</w:t>
      </w:r>
      <w:r w:rsidR="00C47FFD" w:rsidRPr="00C60E59">
        <w:rPr>
          <w:rFonts w:eastAsia="Times New Roman" w:cs="Times New Roman"/>
          <w:b/>
          <w:bCs/>
          <w:lang w:val="en-US"/>
        </w:rPr>
        <w:t xml:space="preserve"> </w:t>
      </w:r>
      <w:r w:rsidR="004E2C32" w:rsidRPr="00C60E59">
        <w:rPr>
          <w:rFonts w:eastAsia="Times New Roman" w:cs="Times New Roman"/>
          <w:b/>
          <w:bCs/>
          <w:lang w:val="en-US"/>
        </w:rPr>
        <w:t>divert resources from strategies that are proven to enhance public safety</w:t>
      </w:r>
      <w:r w:rsidR="004E2C32" w:rsidRPr="00CC3AEA">
        <w:rPr>
          <w:rFonts w:eastAsia="Times New Roman" w:cs="Times New Roman"/>
          <w:lang w:val="en-US"/>
        </w:rPr>
        <w:t xml:space="preserve">, like early intervention and diversion from the </w:t>
      </w:r>
      <w:r w:rsidR="00847C39">
        <w:rPr>
          <w:rFonts w:eastAsia="Times New Roman" w:cs="Times New Roman"/>
          <w:lang w:val="en-US"/>
        </w:rPr>
        <w:t>criminal justice system</w:t>
      </w:r>
      <w:r w:rsidR="004E2C32" w:rsidRPr="00CC3AEA">
        <w:rPr>
          <w:rFonts w:eastAsia="Times New Roman" w:cs="Times New Roman"/>
          <w:lang w:val="en-US"/>
        </w:rPr>
        <w:t>.</w:t>
      </w:r>
    </w:p>
    <w:p w14:paraId="3F926686" w14:textId="322D4042" w:rsidR="00934F9B" w:rsidRDefault="000209DB" w:rsidP="0081421C">
      <w:pPr>
        <w:pStyle w:val="Heading1"/>
        <w:rPr>
          <w:lang w:val="en-US"/>
        </w:rPr>
      </w:pPr>
      <w:bookmarkStart w:id="19" w:name="_Toc195687400"/>
      <w:r>
        <w:rPr>
          <w:lang w:val="en-US"/>
        </w:rPr>
        <w:t xml:space="preserve">The Bill </w:t>
      </w:r>
      <w:r w:rsidR="00B604EC">
        <w:rPr>
          <w:lang w:val="en-US"/>
        </w:rPr>
        <w:t xml:space="preserve">will have a disproportionate </w:t>
      </w:r>
      <w:r w:rsidR="00A5374C">
        <w:rPr>
          <w:lang w:val="en-US"/>
        </w:rPr>
        <w:t xml:space="preserve">and discriminatory </w:t>
      </w:r>
      <w:r w:rsidR="00B604EC">
        <w:rPr>
          <w:lang w:val="en-US"/>
        </w:rPr>
        <w:t>impact on the most vulnerable members of</w:t>
      </w:r>
      <w:r w:rsidR="00D42F53">
        <w:rPr>
          <w:lang w:val="en-US"/>
        </w:rPr>
        <w:t xml:space="preserve"> our community</w:t>
      </w:r>
      <w:bookmarkEnd w:id="19"/>
      <w:r w:rsidR="005C6661">
        <w:rPr>
          <w:lang w:val="en-US"/>
        </w:rPr>
        <w:t xml:space="preserve"> </w:t>
      </w:r>
      <w:r w:rsidR="002F1636">
        <w:rPr>
          <w:lang w:val="en-US"/>
        </w:rPr>
        <w:t xml:space="preserve"> </w:t>
      </w:r>
      <w:bookmarkEnd w:id="12"/>
    </w:p>
    <w:p w14:paraId="740D87CB" w14:textId="6BEA5C07" w:rsidR="00C1469B" w:rsidRPr="00C1469B" w:rsidRDefault="00C1469B" w:rsidP="00CE3FAE">
      <w:pPr>
        <w:pStyle w:val="Heading3"/>
        <w:rPr>
          <w:lang w:val="en-US"/>
        </w:rPr>
      </w:pPr>
      <w:bookmarkStart w:id="20" w:name="_Toc195687401"/>
      <w:r>
        <w:rPr>
          <w:lang w:val="en-US"/>
        </w:rPr>
        <w:t>Children</w:t>
      </w:r>
      <w:bookmarkEnd w:id="20"/>
      <w:r>
        <w:rPr>
          <w:lang w:val="en-US"/>
        </w:rPr>
        <w:t xml:space="preserve"> </w:t>
      </w:r>
    </w:p>
    <w:p w14:paraId="169BA430" w14:textId="4C4C5BF7" w:rsidR="002B6E49" w:rsidRPr="00275E85" w:rsidRDefault="00275E85" w:rsidP="00275E85">
      <w:pPr>
        <w:pStyle w:val="Numberedparagraph"/>
        <w:numPr>
          <w:ilvl w:val="0"/>
          <w:numId w:val="5"/>
        </w:numPr>
        <w:rPr>
          <w:lang w:val="en-US"/>
        </w:rPr>
      </w:pPr>
      <w:r>
        <w:rPr>
          <w:lang w:val="en-US"/>
        </w:rPr>
        <w:t>T</w:t>
      </w:r>
      <w:r w:rsidR="002B6E49">
        <w:rPr>
          <w:lang w:val="en-US"/>
        </w:rPr>
        <w:t xml:space="preserve">reating children like adults is discriminatory. </w:t>
      </w:r>
      <w:r w:rsidR="002B6E49" w:rsidRPr="00275E85">
        <w:rPr>
          <w:lang w:val="en-US"/>
        </w:rPr>
        <w:t>The right to equality under the Human Rights Act, like protections under the Anti-Discrimination Act, requires both formal and substantive equality before the law. Effective protection against discrimination may necessitate differential treatment.</w:t>
      </w:r>
    </w:p>
    <w:p w14:paraId="2B515271" w14:textId="14A4F843" w:rsidR="008129E2" w:rsidRDefault="00B81E6D" w:rsidP="002B6E49">
      <w:pPr>
        <w:pStyle w:val="Numberedparagraph"/>
        <w:numPr>
          <w:ilvl w:val="0"/>
          <w:numId w:val="5"/>
        </w:numPr>
        <w:rPr>
          <w:lang w:val="en-US"/>
        </w:rPr>
      </w:pPr>
      <w:r>
        <w:rPr>
          <w:lang w:val="en-US"/>
        </w:rPr>
        <w:t>C</w:t>
      </w:r>
      <w:r w:rsidR="002B6E49" w:rsidRPr="002B6E49">
        <w:rPr>
          <w:lang w:val="en-US"/>
        </w:rPr>
        <w:t>hildren differ from adults physically, psychologically, cognitively and emotionally. This affects their ability to make rational decisions, understand the impact of criminal proceedings, and withstand the effects of detention</w:t>
      </w:r>
      <w:r w:rsidR="005469EE">
        <w:rPr>
          <w:lang w:val="en-US"/>
        </w:rPr>
        <w:t>. These significant</w:t>
      </w:r>
      <w:r w:rsidR="002B6E49" w:rsidRPr="002B6E49" w:rsidDel="005469EE">
        <w:rPr>
          <w:lang w:val="en-US"/>
        </w:rPr>
        <w:t xml:space="preserve"> </w:t>
      </w:r>
      <w:r w:rsidR="005469EE">
        <w:rPr>
          <w:lang w:val="en-US"/>
        </w:rPr>
        <w:t>differences are</w:t>
      </w:r>
      <w:r w:rsidR="002B6E49" w:rsidRPr="002B6E49">
        <w:rPr>
          <w:lang w:val="en-US"/>
        </w:rPr>
        <w:t xml:space="preserve"> the basis for having a separate youth justice system with a differentiated, individualised approach.</w:t>
      </w:r>
      <w:r w:rsidR="002B6E49" w:rsidRPr="002B6E49">
        <w:rPr>
          <w:vertAlign w:val="superscript"/>
          <w:lang w:val="en-US"/>
        </w:rPr>
        <w:footnoteReference w:id="72"/>
      </w:r>
      <w:r w:rsidR="002B6E49" w:rsidRPr="002B6E49">
        <w:rPr>
          <w:lang w:val="en-US"/>
        </w:rPr>
        <w:t xml:space="preserve"> </w:t>
      </w:r>
    </w:p>
    <w:p w14:paraId="47FFFF63" w14:textId="0B893F62" w:rsidR="002B6E49" w:rsidRDefault="002B6E49" w:rsidP="002B6E49">
      <w:pPr>
        <w:pStyle w:val="Numberedparagraph"/>
        <w:numPr>
          <w:ilvl w:val="0"/>
          <w:numId w:val="5"/>
        </w:numPr>
        <w:rPr>
          <w:lang w:val="en-US"/>
        </w:rPr>
      </w:pPr>
      <w:r w:rsidRPr="002B6E49">
        <w:rPr>
          <w:lang w:val="en-US"/>
        </w:rPr>
        <w:t xml:space="preserve">Children are also in a position of dependance and disempowerment in relation to adults, which is why Article 3 of the </w:t>
      </w:r>
      <w:r w:rsidRPr="002B6E49">
        <w:rPr>
          <w:i/>
          <w:lang w:val="en-US"/>
        </w:rPr>
        <w:t>Convention on the Rights of the Child</w:t>
      </w:r>
      <w:r w:rsidRPr="002B6E49">
        <w:rPr>
          <w:lang w:val="en-US"/>
        </w:rPr>
        <w:t xml:space="preserve"> requires all actions concerning children to have the best interests of the child as the primary consideration.</w:t>
      </w:r>
    </w:p>
    <w:p w14:paraId="370677FC" w14:textId="7E03FEBF" w:rsidR="002B6E49" w:rsidRDefault="000A3AD8" w:rsidP="002B6E49">
      <w:pPr>
        <w:pStyle w:val="Numberedparagraph"/>
        <w:numPr>
          <w:ilvl w:val="0"/>
          <w:numId w:val="5"/>
        </w:numPr>
        <w:rPr>
          <w:lang w:val="en-US"/>
        </w:rPr>
      </w:pPr>
      <w:r>
        <w:rPr>
          <w:lang w:val="en-US"/>
        </w:rPr>
        <w:t>Best practice in youth justice works</w:t>
      </w:r>
      <w:r w:rsidR="002B6E49" w:rsidRPr="002B6E49">
        <w:rPr>
          <w:lang w:val="en-US"/>
        </w:rPr>
        <w:t xml:space="preserve"> to accommodate the difference</w:t>
      </w:r>
      <w:r>
        <w:rPr>
          <w:lang w:val="en-US"/>
        </w:rPr>
        <w:t>s</w:t>
      </w:r>
      <w:r w:rsidR="002B6E49" w:rsidRPr="002B6E49">
        <w:rPr>
          <w:lang w:val="en-US"/>
        </w:rPr>
        <w:t xml:space="preserve"> between children and adults who offend</w:t>
      </w:r>
      <w:r w:rsidR="008441E9">
        <w:rPr>
          <w:lang w:val="en-US"/>
        </w:rPr>
        <w:t>, for example</w:t>
      </w:r>
      <w:r w:rsidR="002B6E49" w:rsidRPr="002B6E49">
        <w:rPr>
          <w:lang w:val="en-US"/>
        </w:rPr>
        <w:t xml:space="preserve"> </w:t>
      </w:r>
      <w:r w:rsidR="004C100E">
        <w:rPr>
          <w:lang w:val="en-US"/>
        </w:rPr>
        <w:t>by</w:t>
      </w:r>
      <w:r w:rsidR="002B6E49" w:rsidRPr="002B6E49">
        <w:rPr>
          <w:lang w:val="en-US"/>
        </w:rPr>
        <w:t>:</w:t>
      </w:r>
    </w:p>
    <w:p w14:paraId="5734F4D7" w14:textId="1144F929" w:rsidR="004C100E" w:rsidRDefault="004C100E" w:rsidP="004C100E">
      <w:pPr>
        <w:pStyle w:val="Numberedparagraph"/>
        <w:numPr>
          <w:ilvl w:val="1"/>
          <w:numId w:val="5"/>
        </w:numPr>
        <w:rPr>
          <w:lang w:val="en-US"/>
        </w:rPr>
      </w:pPr>
      <w:r>
        <w:rPr>
          <w:lang w:val="en-US"/>
        </w:rPr>
        <w:t>including a presumption</w:t>
      </w:r>
      <w:r w:rsidR="002B6E49" w:rsidRPr="002B6E49">
        <w:rPr>
          <w:lang w:val="en-US"/>
        </w:rPr>
        <w:t xml:space="preserve"> </w:t>
      </w:r>
      <w:r w:rsidR="002B6E49" w:rsidRPr="002B6E49">
        <w:t xml:space="preserve">that a child between the age of 10 and 14 years is </w:t>
      </w:r>
      <w:r w:rsidR="002B6E49" w:rsidRPr="002B6E49">
        <w:rPr>
          <w:i/>
        </w:rPr>
        <w:t>incapable</w:t>
      </w:r>
      <w:r w:rsidR="002B6E49" w:rsidRPr="002B6E49">
        <w:t xml:space="preserve"> of committing a crime because they have not developed sufficient understanding of the difference between right and wrong (</w:t>
      </w:r>
      <w:r w:rsidR="002B6E49" w:rsidRPr="002B6E49">
        <w:rPr>
          <w:i/>
        </w:rPr>
        <w:t>doli incapax</w:t>
      </w:r>
      <w:r w:rsidR="002B6E49" w:rsidRPr="002B6E49">
        <w:t>)</w:t>
      </w:r>
      <w:r w:rsidR="002B6E49" w:rsidRPr="002B6E49">
        <w:rPr>
          <w:vertAlign w:val="superscript"/>
        </w:rPr>
        <w:footnoteReference w:id="73"/>
      </w:r>
    </w:p>
    <w:p w14:paraId="0FE9339D" w14:textId="00A289E1" w:rsidR="00410968" w:rsidRDefault="00410968" w:rsidP="00410968">
      <w:pPr>
        <w:pStyle w:val="Numberedparagraph"/>
        <w:numPr>
          <w:ilvl w:val="1"/>
          <w:numId w:val="5"/>
        </w:numPr>
        <w:rPr>
          <w:lang w:val="en-US"/>
        </w:rPr>
      </w:pPr>
      <w:r>
        <w:rPr>
          <w:lang w:val="en-US"/>
        </w:rPr>
        <w:lastRenderedPageBreak/>
        <w:t xml:space="preserve">providing for </w:t>
      </w:r>
      <w:r w:rsidR="004C100E">
        <w:rPr>
          <w:lang w:val="en-US"/>
        </w:rPr>
        <w:t>d</w:t>
      </w:r>
      <w:r w:rsidR="002B6E49" w:rsidRPr="004C100E">
        <w:rPr>
          <w:lang w:val="en-US"/>
        </w:rPr>
        <w:t>ifferent maximum penalties</w:t>
      </w:r>
    </w:p>
    <w:p w14:paraId="7CBC0985" w14:textId="3FC08593" w:rsidR="002B6E49" w:rsidRPr="00410968" w:rsidRDefault="00410968" w:rsidP="00410968">
      <w:pPr>
        <w:pStyle w:val="Numberedparagraph"/>
        <w:numPr>
          <w:ilvl w:val="1"/>
          <w:numId w:val="5"/>
        </w:numPr>
        <w:rPr>
          <w:lang w:val="en-US"/>
        </w:rPr>
      </w:pPr>
      <w:r>
        <w:rPr>
          <w:lang w:val="en-US"/>
        </w:rPr>
        <w:t xml:space="preserve">providing </w:t>
      </w:r>
      <w:r w:rsidR="002B6E49" w:rsidRPr="00410968">
        <w:rPr>
          <w:lang w:val="en-US"/>
        </w:rPr>
        <w:t xml:space="preserve">sentencing principles for children that acknowledge that children should only be detained as a last resort and for the shortest </w:t>
      </w:r>
      <w:proofErr w:type="gramStart"/>
      <w:r w:rsidR="002B6E49" w:rsidRPr="00410968">
        <w:rPr>
          <w:lang w:val="en-US"/>
        </w:rPr>
        <w:t>period of time</w:t>
      </w:r>
      <w:proofErr w:type="gramEnd"/>
      <w:r w:rsidR="002B6E49" w:rsidRPr="00410968">
        <w:rPr>
          <w:lang w:val="en-US"/>
        </w:rPr>
        <w:t>.</w:t>
      </w:r>
      <w:r w:rsidR="00ED0BD3">
        <w:rPr>
          <w:rStyle w:val="FootnoteReference"/>
          <w:lang w:val="en-US"/>
        </w:rPr>
        <w:footnoteReference w:id="74"/>
      </w:r>
    </w:p>
    <w:p w14:paraId="54C6311F" w14:textId="57940FB2" w:rsidR="002B6E49" w:rsidRPr="002B6E49" w:rsidRDefault="00193034" w:rsidP="002B6E49">
      <w:pPr>
        <w:pStyle w:val="Numberedparagraph"/>
        <w:numPr>
          <w:ilvl w:val="0"/>
          <w:numId w:val="5"/>
        </w:numPr>
        <w:rPr>
          <w:lang w:val="en-US"/>
        </w:rPr>
      </w:pPr>
      <w:r>
        <w:rPr>
          <w:lang w:val="en-US"/>
        </w:rPr>
        <w:t xml:space="preserve">The </w:t>
      </w:r>
      <w:r w:rsidR="002B6E49" w:rsidRPr="002B6E49">
        <w:rPr>
          <w:lang w:val="en-US"/>
        </w:rPr>
        <w:t xml:space="preserve">Bill </w:t>
      </w:r>
      <w:r w:rsidR="00DF05E9">
        <w:rPr>
          <w:lang w:val="en-US"/>
        </w:rPr>
        <w:t>(and MQS Act)</w:t>
      </w:r>
      <w:r w:rsidR="002B6E49" w:rsidRPr="002B6E49">
        <w:rPr>
          <w:lang w:val="en-US"/>
        </w:rPr>
        <w:t xml:space="preserve"> overrides these standards, </w:t>
      </w:r>
      <w:r w:rsidR="00C54F66">
        <w:rPr>
          <w:lang w:val="en-US"/>
        </w:rPr>
        <w:t xml:space="preserve">likely </w:t>
      </w:r>
      <w:r w:rsidR="002B6E49" w:rsidRPr="002B6E49">
        <w:rPr>
          <w:lang w:val="en-US"/>
        </w:rPr>
        <w:t xml:space="preserve">amounting to substantive discrimination of children </w:t>
      </w:r>
      <w:proofErr w:type="gramStart"/>
      <w:r w:rsidR="002B6E49" w:rsidRPr="002B6E49">
        <w:rPr>
          <w:lang w:val="en-US"/>
        </w:rPr>
        <w:t>on the basis of</w:t>
      </w:r>
      <w:proofErr w:type="gramEnd"/>
      <w:r w:rsidR="002B6E49" w:rsidRPr="002B6E49">
        <w:rPr>
          <w:lang w:val="en-US"/>
        </w:rPr>
        <w:t xml:space="preserve"> their age. </w:t>
      </w:r>
      <w:r>
        <w:rPr>
          <w:lang w:val="en-US"/>
        </w:rPr>
        <w:t>T</w:t>
      </w:r>
      <w:r w:rsidR="002B6E49" w:rsidRPr="002B6E49">
        <w:rPr>
          <w:lang w:val="en-US"/>
        </w:rPr>
        <w:t>he Bill directly discriminates against children by treating them less favourably than adults who, for non-violent offences, have the benefit of the sentencing principles that:</w:t>
      </w:r>
    </w:p>
    <w:p w14:paraId="10200732" w14:textId="77777777" w:rsidR="002B6E49" w:rsidRDefault="002B6E49" w:rsidP="002B6E49">
      <w:pPr>
        <w:pStyle w:val="Numberedparagraph"/>
        <w:numPr>
          <w:ilvl w:val="1"/>
          <w:numId w:val="17"/>
        </w:numPr>
        <w:rPr>
          <w:lang w:val="en-US"/>
        </w:rPr>
      </w:pPr>
      <w:r w:rsidRPr="002B6E49">
        <w:rPr>
          <w:lang w:val="en-US"/>
        </w:rPr>
        <w:t>a sentence of imprisonment should only be imposed as a last resort; and</w:t>
      </w:r>
    </w:p>
    <w:p w14:paraId="5A380A8F" w14:textId="1601E883" w:rsidR="002B6E49" w:rsidRDefault="002B6E49" w:rsidP="002B6E49">
      <w:pPr>
        <w:pStyle w:val="Numberedparagraph"/>
        <w:numPr>
          <w:ilvl w:val="1"/>
          <w:numId w:val="17"/>
        </w:numPr>
        <w:rPr>
          <w:lang w:val="en-US"/>
        </w:rPr>
      </w:pPr>
      <w:r w:rsidRPr="002B6E49">
        <w:rPr>
          <w:lang w:val="en-US"/>
        </w:rPr>
        <w:t>a sentence that allows the offender to stay in the community is preferable.</w:t>
      </w:r>
      <w:r w:rsidRPr="002B6E49">
        <w:rPr>
          <w:vertAlign w:val="superscript"/>
          <w:lang w:val="en-US"/>
        </w:rPr>
        <w:footnoteReference w:id="75"/>
      </w:r>
      <w:r w:rsidRPr="002B6E49">
        <w:rPr>
          <w:lang w:val="en-US"/>
        </w:rPr>
        <w:t xml:space="preserve"> </w:t>
      </w:r>
    </w:p>
    <w:p w14:paraId="6A856711" w14:textId="16DBC3A7" w:rsidR="00744357" w:rsidRPr="00744357" w:rsidRDefault="009E25BA" w:rsidP="00744357">
      <w:pPr>
        <w:pStyle w:val="Numberedparagraph"/>
        <w:numPr>
          <w:ilvl w:val="1"/>
          <w:numId w:val="23"/>
        </w:numPr>
      </w:pPr>
      <w:r>
        <w:t xml:space="preserve">To align </w:t>
      </w:r>
      <w:r w:rsidR="005C6ABF">
        <w:t>more closely to</w:t>
      </w:r>
      <w:r>
        <w:t xml:space="preserve"> global best practice in relation to </w:t>
      </w:r>
      <w:r w:rsidR="005C6ABF">
        <w:t>the age of criminal responsibility and the principle of doli incapax, a</w:t>
      </w:r>
      <w:r w:rsidR="00744357" w:rsidRPr="00744357">
        <w:t xml:space="preserve">t a minimum, the Bill </w:t>
      </w:r>
      <w:r w:rsidR="00FB5AE5">
        <w:t xml:space="preserve">should </w:t>
      </w:r>
      <w:r w:rsidR="00744357" w:rsidRPr="00744357">
        <w:t>be amended so that the increased maximum and mandatory penalties apply only to children aged 14 years and above</w:t>
      </w:r>
      <w:r w:rsidR="00744357">
        <w:t xml:space="preserve"> (</w:t>
      </w:r>
      <w:r w:rsidR="00744357" w:rsidRPr="00744357">
        <w:rPr>
          <w:b/>
          <w:bCs/>
        </w:rPr>
        <w:t xml:space="preserve">RECOMMENDATION </w:t>
      </w:r>
      <w:r w:rsidR="002970AA">
        <w:rPr>
          <w:b/>
          <w:bCs/>
        </w:rPr>
        <w:t>4</w:t>
      </w:r>
      <w:r w:rsidR="00744357">
        <w:t>).</w:t>
      </w:r>
    </w:p>
    <w:p w14:paraId="64815727" w14:textId="7C17324B" w:rsidR="001C207E" w:rsidRDefault="0043028A" w:rsidP="001C207E">
      <w:pPr>
        <w:pStyle w:val="Heading3"/>
        <w:rPr>
          <w:lang w:val="en-US"/>
        </w:rPr>
      </w:pPr>
      <w:bookmarkStart w:id="21" w:name="_Toc195687402"/>
      <w:bookmarkStart w:id="22" w:name="_Toc184118314"/>
      <w:r>
        <w:rPr>
          <w:lang w:val="en-US"/>
        </w:rPr>
        <w:t>Aboriginal and Torres Strait Islander</w:t>
      </w:r>
      <w:r w:rsidR="000209DB">
        <w:rPr>
          <w:lang w:val="en-US"/>
        </w:rPr>
        <w:t xml:space="preserve"> children</w:t>
      </w:r>
      <w:bookmarkEnd w:id="21"/>
      <w:r w:rsidR="000209DB">
        <w:rPr>
          <w:lang w:val="en-US"/>
        </w:rPr>
        <w:t xml:space="preserve"> </w:t>
      </w:r>
      <w:bookmarkEnd w:id="22"/>
    </w:p>
    <w:p w14:paraId="7E64200C" w14:textId="37C5C929" w:rsidR="00153E70" w:rsidRDefault="009C5D9D" w:rsidP="00521A41">
      <w:pPr>
        <w:pStyle w:val="Numberedparagraph"/>
        <w:numPr>
          <w:ilvl w:val="0"/>
          <w:numId w:val="5"/>
        </w:numPr>
      </w:pPr>
      <w:r w:rsidRPr="009C5D9D">
        <w:t xml:space="preserve">Aboriginal and Torres Strait Islander children – who are already disproportionately impacted by the youth justice system – will bear the brunt of this </w:t>
      </w:r>
      <w:r w:rsidR="00521A41">
        <w:t>Bill</w:t>
      </w:r>
      <w:r w:rsidR="00312B4C">
        <w:t>.</w:t>
      </w:r>
    </w:p>
    <w:p w14:paraId="3352393D" w14:textId="403A2E16" w:rsidR="006C74D4" w:rsidRDefault="00B23B34" w:rsidP="006C74D4">
      <w:pPr>
        <w:pStyle w:val="Numberedparagraph"/>
        <w:numPr>
          <w:ilvl w:val="0"/>
          <w:numId w:val="5"/>
        </w:numPr>
      </w:pPr>
      <w:r>
        <w:t xml:space="preserve">The overrepresentation of Aboriginal and Torres Strait Islander </w:t>
      </w:r>
      <w:r w:rsidR="006C74D4">
        <w:t>children in youth detention is represented by the following statistics:</w:t>
      </w:r>
    </w:p>
    <w:p w14:paraId="41F83A26" w14:textId="142BD159" w:rsidR="00B23B34" w:rsidRDefault="00243ACA" w:rsidP="00975DBE">
      <w:pPr>
        <w:pStyle w:val="Numberedparagraph"/>
        <w:numPr>
          <w:ilvl w:val="1"/>
          <w:numId w:val="5"/>
        </w:numPr>
      </w:pPr>
      <w:r>
        <w:t>O</w:t>
      </w:r>
      <w:r w:rsidRPr="00B23B34">
        <w:t>n an average day over the last four years</w:t>
      </w:r>
      <w:r>
        <w:t xml:space="preserve"> (prior to</w:t>
      </w:r>
      <w:r w:rsidR="00871615">
        <w:t xml:space="preserve"> 2023-24)</w:t>
      </w:r>
      <w:r w:rsidR="00192001">
        <w:t>,</w:t>
      </w:r>
      <w:r w:rsidRPr="00B23B34">
        <w:t xml:space="preserve"> </w:t>
      </w:r>
      <w:r w:rsidR="00B23B34" w:rsidRPr="00B23B34">
        <w:t>Aboriginal and Torres Strait Islander</w:t>
      </w:r>
      <w:r w:rsidR="00975DBE">
        <w:t xml:space="preserve"> children</w:t>
      </w:r>
      <w:r w:rsidR="00B23B34" w:rsidRPr="00B23B34">
        <w:t xml:space="preserve"> accounted for between 65 and 71</w:t>
      </w:r>
      <w:r w:rsidR="00975DBE">
        <w:t xml:space="preserve"> per cent</w:t>
      </w:r>
      <w:r w:rsidR="00B23B34" w:rsidRPr="00B23B34">
        <w:t xml:space="preserve"> of young people in youth detention. This translates to Aboriginal and Torres Strait Islander young people being 29.1 times more likely than other young people to have been held in detention in 2023-2024 and this is the highest rate in the last four years.</w:t>
      </w:r>
      <w:r>
        <w:rPr>
          <w:rStyle w:val="FootnoteReference"/>
        </w:rPr>
        <w:footnoteReference w:id="76"/>
      </w:r>
    </w:p>
    <w:p w14:paraId="68068E5C" w14:textId="13E2DB45" w:rsidR="008E631D" w:rsidRDefault="008E631D" w:rsidP="008E631D">
      <w:pPr>
        <w:pStyle w:val="Numberedparagraph"/>
        <w:numPr>
          <w:ilvl w:val="1"/>
          <w:numId w:val="5"/>
        </w:numPr>
      </w:pPr>
      <w:r>
        <w:t>O</w:t>
      </w:r>
      <w:r w:rsidRPr="00B23B34">
        <w:t xml:space="preserve">n an average night in the June quarter </w:t>
      </w:r>
      <w:r>
        <w:t xml:space="preserve">of </w:t>
      </w:r>
      <w:r w:rsidRPr="00B23B34">
        <w:t>2024</w:t>
      </w:r>
      <w:r>
        <w:t xml:space="preserve">, </w:t>
      </w:r>
      <w:r w:rsidRPr="00B23B34">
        <w:t>Queensland had the second highest rate of First Nations young people aged 10-17 in detention at 42 per 10,000 – a substantial increase from 29 per 10,000 in the June quarter 2024 2020.</w:t>
      </w:r>
      <w:r>
        <w:rPr>
          <w:rStyle w:val="FootnoteReference"/>
        </w:rPr>
        <w:footnoteReference w:id="77"/>
      </w:r>
    </w:p>
    <w:p w14:paraId="04A502B1" w14:textId="73301C3C" w:rsidR="005B0E26" w:rsidRDefault="006D3B99" w:rsidP="00200E4D">
      <w:pPr>
        <w:pStyle w:val="Numberedparagraph"/>
        <w:numPr>
          <w:ilvl w:val="0"/>
          <w:numId w:val="5"/>
        </w:numPr>
        <w:rPr>
          <w:lang w:val="en-US"/>
        </w:rPr>
      </w:pPr>
      <w:r>
        <w:rPr>
          <w:lang w:val="en-US"/>
        </w:rPr>
        <w:lastRenderedPageBreak/>
        <w:t>T</w:t>
      </w:r>
      <w:r w:rsidR="00761CA5">
        <w:rPr>
          <w:lang w:val="en-US"/>
        </w:rPr>
        <w:t>he reasons for</w:t>
      </w:r>
      <w:r w:rsidR="0077672B">
        <w:rPr>
          <w:lang w:val="en-US"/>
        </w:rPr>
        <w:t xml:space="preserve"> </w:t>
      </w:r>
      <w:r w:rsidR="00975DBE">
        <w:rPr>
          <w:lang w:val="en-US"/>
        </w:rPr>
        <w:t>Aboriginal and Torres Strait Islander young</w:t>
      </w:r>
      <w:r w:rsidR="0077672B">
        <w:rPr>
          <w:lang w:val="en-US"/>
        </w:rPr>
        <w:t xml:space="preserve"> people’s contact with the justice system are inextricably linked with dispossession, colonisation, discrimination</w:t>
      </w:r>
      <w:r w:rsidR="00312B4C">
        <w:rPr>
          <w:lang w:val="en-US"/>
        </w:rPr>
        <w:t>,</w:t>
      </w:r>
      <w:r w:rsidR="0077672B">
        <w:rPr>
          <w:lang w:val="en-US"/>
        </w:rPr>
        <w:t xml:space="preserve"> and experiences of </w:t>
      </w:r>
      <w:r w:rsidR="002C05FE">
        <w:rPr>
          <w:lang w:val="en-US"/>
        </w:rPr>
        <w:t>system</w:t>
      </w:r>
      <w:r w:rsidR="00312B4C">
        <w:rPr>
          <w:lang w:val="en-US"/>
        </w:rPr>
        <w:t>ic</w:t>
      </w:r>
      <w:r w:rsidR="002C05FE">
        <w:rPr>
          <w:lang w:val="en-US"/>
        </w:rPr>
        <w:t xml:space="preserve"> and </w:t>
      </w:r>
      <w:r w:rsidR="0077672B">
        <w:rPr>
          <w:lang w:val="en-US"/>
        </w:rPr>
        <w:t xml:space="preserve">institutional </w:t>
      </w:r>
      <w:r w:rsidR="00F26ACF">
        <w:rPr>
          <w:lang w:val="en-US"/>
        </w:rPr>
        <w:t>racism</w:t>
      </w:r>
      <w:r w:rsidR="0077672B">
        <w:rPr>
          <w:lang w:val="en-US"/>
        </w:rPr>
        <w:t>.</w:t>
      </w:r>
      <w:r w:rsidR="0077672B">
        <w:rPr>
          <w:rStyle w:val="FootnoteReference"/>
          <w:lang w:val="en-US"/>
        </w:rPr>
        <w:footnoteReference w:id="78"/>
      </w:r>
      <w:r w:rsidR="0077672B">
        <w:rPr>
          <w:lang w:val="en-US"/>
        </w:rPr>
        <w:t xml:space="preserve"> </w:t>
      </w:r>
    </w:p>
    <w:p w14:paraId="4B709602" w14:textId="625BC093" w:rsidR="00875EDF" w:rsidRDefault="00875EDF" w:rsidP="005B0E26">
      <w:pPr>
        <w:pStyle w:val="Numberedparagraph"/>
        <w:numPr>
          <w:ilvl w:val="0"/>
          <w:numId w:val="5"/>
        </w:numPr>
        <w:rPr>
          <w:lang w:val="en-US"/>
        </w:rPr>
      </w:pPr>
      <w:r>
        <w:t>Colonisation and dispossession</w:t>
      </w:r>
      <w:r w:rsidR="000B6455">
        <w:t>,</w:t>
      </w:r>
      <w:r>
        <w:t xml:space="preserve"> which</w:t>
      </w:r>
      <w:r w:rsidRPr="00875EDF">
        <w:t xml:space="preserve"> involved the forced removal of Aboriginal and Torres Strait Islander peoples from their lands, the </w:t>
      </w:r>
      <w:r w:rsidR="000B6455">
        <w:t xml:space="preserve">attempted </w:t>
      </w:r>
      <w:r w:rsidRPr="00875EDF">
        <w:t>destruction of their cultures, and the introduction of discriminatory laws and policies</w:t>
      </w:r>
      <w:r w:rsidR="00C43834">
        <w:t>,</w:t>
      </w:r>
      <w:r>
        <w:t xml:space="preserve"> has </w:t>
      </w:r>
      <w:r w:rsidRPr="00875EDF">
        <w:t>led to profound and lasting inequalities that persist today</w:t>
      </w:r>
      <w:r w:rsidR="000B6455">
        <w:t>.</w:t>
      </w:r>
      <w:r w:rsidRPr="00875EDF">
        <w:t xml:space="preserve"> Practices such as the Stolen Generation, and exclusion from education, employment, entrenched systemic inequalities</w:t>
      </w:r>
      <w:r>
        <w:t xml:space="preserve"> across generations of First Nations families</w:t>
      </w:r>
      <w:r w:rsidRPr="00875EDF">
        <w:t xml:space="preserve">. Today, these historical injustices are reflected in </w:t>
      </w:r>
      <w:r w:rsidR="00AE74A9">
        <w:t xml:space="preserve">significant </w:t>
      </w:r>
      <w:r w:rsidRPr="00875EDF">
        <w:t>disparities in health, education</w:t>
      </w:r>
      <w:r w:rsidR="00CE2E67">
        <w:t xml:space="preserve"> and</w:t>
      </w:r>
      <w:r w:rsidRPr="00875EDF">
        <w:t xml:space="preserve"> housing</w:t>
      </w:r>
      <w:r w:rsidR="0087488E">
        <w:t xml:space="preserve"> </w:t>
      </w:r>
      <w:r w:rsidR="00A44E20">
        <w:t xml:space="preserve">- </w:t>
      </w:r>
      <w:r w:rsidR="0087488E">
        <w:t>which</w:t>
      </w:r>
      <w:r w:rsidR="00F05D8B">
        <w:t xml:space="preserve"> </w:t>
      </w:r>
      <w:r w:rsidR="007D6CAF">
        <w:t xml:space="preserve">create the </w:t>
      </w:r>
      <w:r w:rsidR="007E250A">
        <w:t>conditions conducive to youth offending</w:t>
      </w:r>
      <w:r w:rsidRPr="00875EDF">
        <w:t>.</w:t>
      </w:r>
      <w:r w:rsidRPr="00875EDF">
        <w:rPr>
          <w:lang w:val="en-US"/>
        </w:rPr>
        <w:t xml:space="preserve"> </w:t>
      </w:r>
    </w:p>
    <w:p w14:paraId="15F604D6" w14:textId="6F8543B3" w:rsidR="0077672B" w:rsidRPr="005B0E26" w:rsidRDefault="00215F34" w:rsidP="005B0E26">
      <w:pPr>
        <w:pStyle w:val="Numberedparagraph"/>
        <w:numPr>
          <w:ilvl w:val="0"/>
          <w:numId w:val="5"/>
        </w:numPr>
        <w:rPr>
          <w:lang w:val="en-US"/>
        </w:rPr>
      </w:pPr>
      <w:r>
        <w:rPr>
          <w:lang w:val="en-US"/>
        </w:rPr>
        <w:t>Additionally, t</w:t>
      </w:r>
      <w:r w:rsidR="00975DBE">
        <w:rPr>
          <w:lang w:val="en-US"/>
        </w:rPr>
        <w:t xml:space="preserve">here is </w:t>
      </w:r>
      <w:r w:rsidR="0077672B">
        <w:rPr>
          <w:lang w:val="en-US"/>
        </w:rPr>
        <w:t>clear evidence of institutional racism within Australian criminal justice systems.</w:t>
      </w:r>
      <w:r w:rsidR="0077672B">
        <w:rPr>
          <w:rStyle w:val="FootnoteReference"/>
          <w:lang w:val="en-US"/>
        </w:rPr>
        <w:footnoteReference w:id="79"/>
      </w:r>
      <w:r w:rsidR="0077672B">
        <w:rPr>
          <w:lang w:val="en-US"/>
        </w:rPr>
        <w:t xml:space="preserve"> </w:t>
      </w:r>
      <w:r w:rsidR="005B0E26">
        <w:rPr>
          <w:lang w:val="en-US"/>
        </w:rPr>
        <w:t>T</w:t>
      </w:r>
      <w:r w:rsidR="0077672B" w:rsidRPr="005B0E26">
        <w:rPr>
          <w:lang w:val="en-US"/>
        </w:rPr>
        <w:t xml:space="preserve">he Australian Law Reform Commission found that </w:t>
      </w:r>
      <w:r w:rsidR="009A1845">
        <w:rPr>
          <w:lang w:val="en-US"/>
        </w:rPr>
        <w:t>Indigenous</w:t>
      </w:r>
      <w:r w:rsidR="0077672B" w:rsidRPr="005B0E26">
        <w:rPr>
          <w:lang w:val="en-US"/>
        </w:rPr>
        <w:t xml:space="preserve"> children are more likely to be arrested than non-Indigenous children, ‘even after factors such as the offence, offending history and background factors are taken into account’.</w:t>
      </w:r>
      <w:r w:rsidR="0077672B">
        <w:rPr>
          <w:rStyle w:val="FootnoteReference"/>
          <w:lang w:val="en-US"/>
        </w:rPr>
        <w:footnoteReference w:id="80"/>
      </w:r>
      <w:r w:rsidR="0077672B" w:rsidRPr="005B0E26">
        <w:rPr>
          <w:lang w:val="en-US"/>
        </w:rPr>
        <w:t xml:space="preserve"> This is consistent with data reported by the Queensland Family and Child Commission in 2023, showing that First Nations children in Queensland ‘are less likely to receive a diversion decision, and less likely to be granted bail’, as well as being disproportionately exposed to the watchhouse system.</w:t>
      </w:r>
      <w:r w:rsidR="0077672B">
        <w:rPr>
          <w:rStyle w:val="FootnoteReference"/>
          <w:lang w:val="en-US"/>
        </w:rPr>
        <w:footnoteReference w:id="81"/>
      </w:r>
    </w:p>
    <w:p w14:paraId="53F9DF06" w14:textId="5C904BC8" w:rsidR="00E90816" w:rsidRPr="00F75467" w:rsidRDefault="001C207E" w:rsidP="00BF1DBA">
      <w:pPr>
        <w:pStyle w:val="Numberedparagraph"/>
        <w:numPr>
          <w:ilvl w:val="0"/>
          <w:numId w:val="5"/>
        </w:numPr>
        <w:rPr>
          <w:lang w:val="en-US"/>
        </w:rPr>
      </w:pPr>
      <w:r>
        <w:rPr>
          <w:lang w:val="en-US"/>
        </w:rPr>
        <w:t xml:space="preserve">While the </w:t>
      </w:r>
      <w:r w:rsidR="00B6033D">
        <w:rPr>
          <w:lang w:val="en-US"/>
        </w:rPr>
        <w:t xml:space="preserve">Bill </w:t>
      </w:r>
      <w:r w:rsidR="00EB4616">
        <w:rPr>
          <w:lang w:val="en-US"/>
        </w:rPr>
        <w:t>applies equally to all children</w:t>
      </w:r>
      <w:r w:rsidR="0068061F">
        <w:rPr>
          <w:lang w:val="en-US"/>
        </w:rPr>
        <w:t>, it will nevertheless</w:t>
      </w:r>
      <w:r w:rsidR="000550C4">
        <w:rPr>
          <w:lang w:val="en-US"/>
        </w:rPr>
        <w:t xml:space="preserve"> have a disproportionate </w:t>
      </w:r>
      <w:r w:rsidR="00E82902">
        <w:rPr>
          <w:lang w:val="en-US"/>
        </w:rPr>
        <w:t>and negative</w:t>
      </w:r>
      <w:r w:rsidR="000550C4">
        <w:rPr>
          <w:lang w:val="en-US"/>
        </w:rPr>
        <w:t xml:space="preserve"> impact on First Nations children</w:t>
      </w:r>
      <w:r w:rsidR="00EE2C7D">
        <w:rPr>
          <w:lang w:val="en-US"/>
        </w:rPr>
        <w:t xml:space="preserve"> amounting to indirect discrimination</w:t>
      </w:r>
      <w:r w:rsidR="000550C4" w:rsidRPr="00C46219">
        <w:rPr>
          <w:lang w:val="en-US"/>
        </w:rPr>
        <w:t>.</w:t>
      </w:r>
      <w:r w:rsidR="00BF1DBA">
        <w:rPr>
          <w:lang w:val="en-US"/>
        </w:rPr>
        <w:t xml:space="preserve"> </w:t>
      </w:r>
      <w:r w:rsidR="00200E4D" w:rsidRPr="0043028A">
        <w:rPr>
          <w:b/>
          <w:bCs/>
        </w:rPr>
        <w:t xml:space="preserve">In the context of existing concerns and commitments by the </w:t>
      </w:r>
      <w:r w:rsidR="00736B92">
        <w:rPr>
          <w:b/>
          <w:bCs/>
        </w:rPr>
        <w:t>g</w:t>
      </w:r>
      <w:r w:rsidR="00200E4D" w:rsidRPr="0043028A">
        <w:rPr>
          <w:b/>
          <w:bCs/>
        </w:rPr>
        <w:t xml:space="preserve">overnment to Close the Gap and reduce over-representation, this </w:t>
      </w:r>
      <w:r w:rsidR="00BF1DBA" w:rsidRPr="0043028A">
        <w:rPr>
          <w:b/>
          <w:bCs/>
        </w:rPr>
        <w:t xml:space="preserve">Bill </w:t>
      </w:r>
      <w:r w:rsidR="00200E4D" w:rsidRPr="0043028A">
        <w:rPr>
          <w:b/>
          <w:bCs/>
        </w:rPr>
        <w:t>constitutes a substantial regression</w:t>
      </w:r>
      <w:r w:rsidR="00200E4D" w:rsidRPr="009C5D9D">
        <w:t>.</w:t>
      </w:r>
    </w:p>
    <w:p w14:paraId="4BDCF5A9" w14:textId="25411238" w:rsidR="00E90816" w:rsidRPr="00E90816" w:rsidRDefault="00E90816" w:rsidP="00AD118D">
      <w:pPr>
        <w:pStyle w:val="Numberedparagraph"/>
        <w:numPr>
          <w:ilvl w:val="0"/>
          <w:numId w:val="5"/>
        </w:numPr>
        <w:rPr>
          <w:rFonts w:eastAsia="Times New Roman" w:cs="Times New Roman"/>
          <w:color w:val="auto"/>
          <w:szCs w:val="22"/>
          <w:lang w:val="en-US"/>
        </w:rPr>
      </w:pPr>
      <w:r>
        <w:rPr>
          <w:rFonts w:eastAsia="Times New Roman" w:cs="Times New Roman"/>
          <w:color w:val="auto"/>
          <w:szCs w:val="22"/>
        </w:rPr>
        <w:t xml:space="preserve">The </w:t>
      </w:r>
      <w:r w:rsidR="00736B92">
        <w:rPr>
          <w:rFonts w:eastAsia="Times New Roman" w:cs="Times New Roman"/>
          <w:color w:val="auto"/>
          <w:szCs w:val="22"/>
        </w:rPr>
        <w:t>g</w:t>
      </w:r>
      <w:r w:rsidRPr="00E90816">
        <w:rPr>
          <w:rFonts w:eastAsia="Times New Roman" w:cs="Times New Roman"/>
          <w:color w:val="auto"/>
          <w:szCs w:val="22"/>
        </w:rPr>
        <w:t xml:space="preserve">overnment should engage </w:t>
      </w:r>
      <w:proofErr w:type="gramStart"/>
      <w:r w:rsidRPr="00AD118D">
        <w:rPr>
          <w:rFonts w:eastAsia="Times New Roman" w:cs="Times New Roman"/>
          <w:color w:val="auto"/>
          <w:szCs w:val="22"/>
        </w:rPr>
        <w:t>QATSICPP</w:t>
      </w:r>
      <w:proofErr w:type="gramEnd"/>
      <w:r w:rsidRPr="00E90816">
        <w:rPr>
          <w:rFonts w:eastAsia="Times New Roman" w:cs="Times New Roman"/>
          <w:color w:val="auto"/>
          <w:szCs w:val="22"/>
        </w:rPr>
        <w:t xml:space="preserve"> and relevant community led organisation</w:t>
      </w:r>
      <w:r w:rsidR="00A87C7A">
        <w:rPr>
          <w:rFonts w:eastAsia="Times New Roman" w:cs="Times New Roman"/>
          <w:color w:val="auto"/>
          <w:szCs w:val="22"/>
        </w:rPr>
        <w:t>s</w:t>
      </w:r>
      <w:r w:rsidRPr="00E90816">
        <w:rPr>
          <w:rFonts w:eastAsia="Times New Roman" w:cs="Times New Roman"/>
          <w:color w:val="auto"/>
          <w:szCs w:val="22"/>
        </w:rPr>
        <w:t xml:space="preserve"> and peak bodies to assist to conduct the independent review of the MQS Act (</w:t>
      </w:r>
      <w:r w:rsidRPr="00E90816">
        <w:rPr>
          <w:rFonts w:eastAsia="Times New Roman" w:cs="Times New Roman"/>
          <w:b/>
          <w:bCs/>
          <w:color w:val="auto"/>
          <w:szCs w:val="22"/>
        </w:rPr>
        <w:t xml:space="preserve">RECOMMENDATION </w:t>
      </w:r>
      <w:r w:rsidR="00043129">
        <w:rPr>
          <w:rFonts w:eastAsia="Times New Roman" w:cs="Times New Roman"/>
          <w:b/>
          <w:bCs/>
          <w:color w:val="auto"/>
          <w:szCs w:val="22"/>
        </w:rPr>
        <w:t>2C</w:t>
      </w:r>
      <w:r w:rsidRPr="00E90816">
        <w:rPr>
          <w:rFonts w:eastAsia="Times New Roman" w:cs="Times New Roman"/>
          <w:color w:val="auto"/>
          <w:szCs w:val="22"/>
        </w:rPr>
        <w:t>).</w:t>
      </w:r>
    </w:p>
    <w:p w14:paraId="0BC32B92" w14:textId="59A2E8E2" w:rsidR="00A95588" w:rsidRDefault="00A56162" w:rsidP="00A95588">
      <w:pPr>
        <w:pStyle w:val="Heading3"/>
        <w:rPr>
          <w:lang w:val="en-US"/>
        </w:rPr>
      </w:pPr>
      <w:bookmarkStart w:id="23" w:name="_Toc195687403"/>
      <w:r>
        <w:rPr>
          <w:lang w:val="en-US"/>
        </w:rPr>
        <w:t>C</w:t>
      </w:r>
      <w:r w:rsidR="00A95588">
        <w:rPr>
          <w:lang w:val="en-US"/>
        </w:rPr>
        <w:t>hildren with disabilities</w:t>
      </w:r>
      <w:bookmarkEnd w:id="23"/>
      <w:r w:rsidR="00A95588">
        <w:rPr>
          <w:lang w:val="en-US"/>
        </w:rPr>
        <w:t xml:space="preserve">  </w:t>
      </w:r>
    </w:p>
    <w:p w14:paraId="1AE02BD4" w14:textId="2E5C5126" w:rsidR="00100AE7" w:rsidRPr="00100AE7" w:rsidRDefault="00100AE7" w:rsidP="00A95588">
      <w:pPr>
        <w:pStyle w:val="Numberedparagraph"/>
        <w:numPr>
          <w:ilvl w:val="0"/>
          <w:numId w:val="5"/>
        </w:numPr>
        <w:rPr>
          <w:lang w:val="en-GB"/>
        </w:rPr>
      </w:pPr>
      <w:r w:rsidRPr="00A95588">
        <w:rPr>
          <w:lang w:val="en-US"/>
        </w:rPr>
        <w:t>Children</w:t>
      </w:r>
      <w:r w:rsidRPr="00100AE7">
        <w:rPr>
          <w:lang w:val="en-GB"/>
        </w:rPr>
        <w:t xml:space="preserve"> with cognitive or intellectual disabilities are also overrepresented in youth detention in Queensland. </w:t>
      </w:r>
      <w:r w:rsidR="002E4553">
        <w:rPr>
          <w:lang w:val="en-GB"/>
        </w:rPr>
        <w:t>In 2023</w:t>
      </w:r>
      <w:r w:rsidR="00F0483E">
        <w:rPr>
          <w:lang w:val="en-GB"/>
        </w:rPr>
        <w:t>,</w:t>
      </w:r>
      <w:r w:rsidR="002E4553">
        <w:rPr>
          <w:lang w:val="en-GB"/>
        </w:rPr>
        <w:t xml:space="preserve"> the Department of Youth Justice </w:t>
      </w:r>
      <w:r w:rsidR="002E4553">
        <w:rPr>
          <w:lang w:val="en-GB"/>
        </w:rPr>
        <w:lastRenderedPageBreak/>
        <w:t>reported tha</w:t>
      </w:r>
      <w:r w:rsidR="00256F00">
        <w:rPr>
          <w:lang w:val="en-GB"/>
        </w:rPr>
        <w:t>t 44 per cent of young offenders had an assessed or suspected disability.</w:t>
      </w:r>
      <w:r w:rsidR="008A01CD">
        <w:rPr>
          <w:rStyle w:val="FootnoteReference"/>
          <w:lang w:val="en-GB"/>
        </w:rPr>
        <w:footnoteReference w:id="82"/>
      </w:r>
    </w:p>
    <w:p w14:paraId="13E8DF2F" w14:textId="13E37F74" w:rsidR="00A95588" w:rsidRDefault="00F73E04" w:rsidP="00995CE6">
      <w:pPr>
        <w:pStyle w:val="Numberedparagraph"/>
        <w:numPr>
          <w:ilvl w:val="0"/>
          <w:numId w:val="5"/>
        </w:numPr>
        <w:rPr>
          <w:lang w:val="en-US"/>
        </w:rPr>
      </w:pPr>
      <w:r>
        <w:rPr>
          <w:lang w:val="en-US"/>
        </w:rPr>
        <w:t xml:space="preserve">It is likely that the numbers of children in detention in Queensland are even higher than these statistics indicate. </w:t>
      </w:r>
      <w:r>
        <w:rPr>
          <w:lang w:val="en-GB"/>
        </w:rPr>
        <w:t>The Disability Royal Commission found that, collection of data across Australia is inadequate, ‘</w:t>
      </w:r>
      <w:r w:rsidR="0002328F">
        <w:rPr>
          <w:lang w:val="en-GB"/>
        </w:rPr>
        <w:t>…</w:t>
      </w:r>
      <w:r>
        <w:rPr>
          <w:lang w:val="en-GB"/>
        </w:rPr>
        <w:t>a significant majority of children in youth detention have at least one or more disability’.</w:t>
      </w:r>
      <w:r>
        <w:rPr>
          <w:rStyle w:val="FootnoteReference"/>
          <w:lang w:val="en-GB"/>
        </w:rPr>
        <w:footnoteReference w:id="83"/>
      </w:r>
      <w:r>
        <w:rPr>
          <w:lang w:val="en-GB"/>
        </w:rPr>
        <w:t xml:space="preserve"> </w:t>
      </w:r>
    </w:p>
    <w:p w14:paraId="098C7F2B" w14:textId="651967D9" w:rsidR="00A95588" w:rsidRDefault="00995CE6" w:rsidP="19E544FF">
      <w:pPr>
        <w:pStyle w:val="Numberedparagraph"/>
        <w:numPr>
          <w:ilvl w:val="0"/>
          <w:numId w:val="5"/>
        </w:numPr>
        <w:rPr>
          <w:lang w:val="en-US"/>
        </w:rPr>
      </w:pPr>
      <w:r w:rsidRPr="00A95588">
        <w:rPr>
          <w:lang w:val="en-GB"/>
        </w:rPr>
        <w:t>According to the</w:t>
      </w:r>
      <w:r w:rsidR="00172CCA" w:rsidRPr="00A95588">
        <w:rPr>
          <w:lang w:val="en-GB"/>
        </w:rPr>
        <w:t xml:space="preserve"> </w:t>
      </w:r>
      <w:r w:rsidR="00172CCA" w:rsidRPr="00A95588">
        <w:rPr>
          <w:i/>
          <w:lang w:val="en-GB"/>
        </w:rPr>
        <w:t>Committee on the Rights of the Child</w:t>
      </w:r>
      <w:r w:rsidRPr="00A95588">
        <w:rPr>
          <w:lang w:val="en-GB"/>
        </w:rPr>
        <w:t xml:space="preserve">, </w:t>
      </w:r>
      <w:r w:rsidRPr="00A95588">
        <w:rPr>
          <w:lang w:val="en-US"/>
        </w:rPr>
        <w:t>c</w:t>
      </w:r>
      <w:r w:rsidR="00172CCA" w:rsidRPr="00A95588">
        <w:rPr>
          <w:lang w:val="en-US"/>
        </w:rPr>
        <w:t>hildren with developmental delays or neurodevelopmental disorders or disabilities should not be in the child justice system at all</w:t>
      </w:r>
      <w:r w:rsidR="007E5024" w:rsidRPr="00A95588">
        <w:rPr>
          <w:lang w:val="en-US"/>
        </w:rPr>
        <w:t xml:space="preserve"> or, i</w:t>
      </w:r>
      <w:r w:rsidR="00172CCA" w:rsidRPr="00A95588">
        <w:rPr>
          <w:lang w:val="en-US"/>
        </w:rPr>
        <w:t>f not automatically excluded, should be individually assessed.</w:t>
      </w:r>
      <w:r w:rsidR="00172CCA">
        <w:rPr>
          <w:rStyle w:val="FootnoteReference"/>
          <w:lang w:val="en-US"/>
        </w:rPr>
        <w:footnoteReference w:id="84"/>
      </w:r>
      <w:r w:rsidR="0031186B" w:rsidRPr="00A95588">
        <w:rPr>
          <w:lang w:val="en-US"/>
        </w:rPr>
        <w:t xml:space="preserve"> </w:t>
      </w:r>
      <w:r w:rsidR="00506D85">
        <w:rPr>
          <w:lang w:val="en-US"/>
        </w:rPr>
        <w:t>This is because</w:t>
      </w:r>
      <w:r w:rsidR="00A27187" w:rsidRPr="00A95588">
        <w:rPr>
          <w:lang w:val="en-US"/>
        </w:rPr>
        <w:t xml:space="preserve">: </w:t>
      </w:r>
      <w:r w:rsidR="00C81640" w:rsidRPr="00A95588">
        <w:rPr>
          <w:lang w:val="en-US"/>
        </w:rPr>
        <w:t xml:space="preserve"> </w:t>
      </w:r>
      <w:r w:rsidR="00010BD0" w:rsidRPr="00A95588">
        <w:rPr>
          <w:lang w:val="en-US"/>
        </w:rPr>
        <w:t xml:space="preserve"> </w:t>
      </w:r>
      <w:r w:rsidR="007C3641" w:rsidRPr="00A95588">
        <w:rPr>
          <w:lang w:val="en-US"/>
        </w:rPr>
        <w:t xml:space="preserve"> </w:t>
      </w:r>
    </w:p>
    <w:p w14:paraId="7EE08B07" w14:textId="0A4130C0" w:rsidR="00A95588" w:rsidRDefault="00A15AB4" w:rsidP="007F6279">
      <w:pPr>
        <w:pStyle w:val="Numberedparagraph"/>
        <w:numPr>
          <w:ilvl w:val="1"/>
          <w:numId w:val="5"/>
        </w:numPr>
        <w:rPr>
          <w:lang w:val="en-US"/>
        </w:rPr>
      </w:pPr>
      <w:r w:rsidRPr="00A95588">
        <w:rPr>
          <w:lang w:val="en-US"/>
        </w:rPr>
        <w:t xml:space="preserve">Children </w:t>
      </w:r>
      <w:r w:rsidR="00506D85">
        <w:rPr>
          <w:lang w:val="en-US"/>
        </w:rPr>
        <w:t>with disabilities may be</w:t>
      </w:r>
      <w:r w:rsidR="008D3EB4">
        <w:rPr>
          <w:lang w:val="en-US"/>
        </w:rPr>
        <w:t xml:space="preserve"> </w:t>
      </w:r>
      <w:r w:rsidRPr="00A95588">
        <w:rPr>
          <w:lang w:val="en-US"/>
        </w:rPr>
        <w:t xml:space="preserve">incapable of </w:t>
      </w:r>
      <w:r w:rsidR="00B449C7" w:rsidRPr="00A95588">
        <w:rPr>
          <w:lang w:val="en-US"/>
        </w:rPr>
        <w:t xml:space="preserve">having criminal responsibility </w:t>
      </w:r>
      <w:r w:rsidR="009A4BFF" w:rsidRPr="00A95588">
        <w:rPr>
          <w:lang w:val="en-US"/>
        </w:rPr>
        <w:t>or being fit for trial;</w:t>
      </w:r>
      <w:r w:rsidR="00DF4786" w:rsidRPr="00A95588">
        <w:rPr>
          <w:vertAlign w:val="superscript"/>
          <w:lang w:val="en-US"/>
        </w:rPr>
        <w:t xml:space="preserve"> </w:t>
      </w:r>
      <w:r w:rsidR="00DF4786" w:rsidRPr="00DF4786">
        <w:rPr>
          <w:vertAlign w:val="superscript"/>
          <w:lang w:val="en-US"/>
        </w:rPr>
        <w:footnoteReference w:id="85"/>
      </w:r>
      <w:r w:rsidR="00DF4786" w:rsidRPr="00DF4786">
        <w:t xml:space="preserve"> </w:t>
      </w:r>
    </w:p>
    <w:p w14:paraId="44BAE5F0" w14:textId="6DA0D892" w:rsidR="00A95588" w:rsidRDefault="009F0814" w:rsidP="007F6279">
      <w:pPr>
        <w:pStyle w:val="Numberedparagraph"/>
        <w:numPr>
          <w:ilvl w:val="1"/>
          <w:numId w:val="5"/>
        </w:numPr>
        <w:rPr>
          <w:lang w:val="en-US"/>
        </w:rPr>
      </w:pPr>
      <w:r w:rsidRPr="00552B22">
        <w:t xml:space="preserve">Children with disability </w:t>
      </w:r>
      <w:r w:rsidR="00C46DF8">
        <w:t>could</w:t>
      </w:r>
      <w:r w:rsidRPr="00552B22">
        <w:t xml:space="preserve"> be arrested for offences arising from behavio</w:t>
      </w:r>
      <w:r w:rsidR="00C55683" w:rsidRPr="00552B22">
        <w:t>ur</w:t>
      </w:r>
      <w:r w:rsidRPr="00552B22">
        <w:t xml:space="preserve">s associated with their disability – for example, they become </w:t>
      </w:r>
      <w:r w:rsidRPr="00862FD4">
        <w:t>agitated</w:t>
      </w:r>
      <w:r w:rsidR="00C55683" w:rsidRPr="00862FD4">
        <w:t xml:space="preserve"> or frightened when approached by police and react physically or run away – or take responsibility for offences they did not commit;</w:t>
      </w:r>
      <w:r w:rsidR="008E751F" w:rsidRPr="00862FD4">
        <w:rPr>
          <w:vertAlign w:val="superscript"/>
        </w:rPr>
        <w:footnoteReference w:id="86"/>
      </w:r>
      <w:r w:rsidR="008E751F" w:rsidRPr="008E751F">
        <w:t xml:space="preserve"> </w:t>
      </w:r>
    </w:p>
    <w:p w14:paraId="2ADCFD75" w14:textId="176FFF02" w:rsidR="00A95588" w:rsidRDefault="007157EE" w:rsidP="007F6279">
      <w:pPr>
        <w:pStyle w:val="Numberedparagraph"/>
        <w:numPr>
          <w:ilvl w:val="1"/>
          <w:numId w:val="5"/>
        </w:numPr>
        <w:rPr>
          <w:lang w:val="en-US"/>
        </w:rPr>
      </w:pPr>
      <w:r w:rsidRPr="000F74FD">
        <w:t>‘</w:t>
      </w:r>
      <w:r w:rsidR="00341826">
        <w:t>T</w:t>
      </w:r>
      <w:r w:rsidRPr="000F74FD">
        <w:t>he experience of custody can be significantly more severe for people with disability than for those without disability’,</w:t>
      </w:r>
      <w:r w:rsidRPr="00F77085">
        <w:rPr>
          <w:rStyle w:val="FootnoteReference"/>
        </w:rPr>
        <w:footnoteReference w:id="87"/>
      </w:r>
      <w:r w:rsidRPr="000F74FD">
        <w:t xml:space="preserve"> and while in youth detention ‘they are exposed to substantial risks of violence, abuse and neglect’.</w:t>
      </w:r>
      <w:r w:rsidRPr="00862FD4">
        <w:rPr>
          <w:rStyle w:val="FootnoteReference"/>
        </w:rPr>
        <w:footnoteReference w:id="88"/>
      </w:r>
      <w:r w:rsidRPr="00A95588">
        <w:rPr>
          <w:vertAlign w:val="superscript"/>
        </w:rPr>
        <w:t xml:space="preserve"> </w:t>
      </w:r>
    </w:p>
    <w:p w14:paraId="6B209715" w14:textId="4642425F" w:rsidR="00AF464D" w:rsidRPr="006A44C4" w:rsidRDefault="00EA7238" w:rsidP="00AF464D">
      <w:pPr>
        <w:pStyle w:val="Numberedparagraph"/>
        <w:numPr>
          <w:ilvl w:val="0"/>
          <w:numId w:val="5"/>
        </w:numPr>
        <w:rPr>
          <w:lang w:val="en-US"/>
        </w:rPr>
      </w:pPr>
      <w:r w:rsidRPr="00EA7238">
        <w:rPr>
          <w:lang w:eastAsia="en-AU"/>
        </w:rPr>
        <w:t>While</w:t>
      </w:r>
      <w:r w:rsidR="005E2D71" w:rsidRPr="00EA7238">
        <w:rPr>
          <w:lang w:eastAsia="en-AU"/>
        </w:rPr>
        <w:t xml:space="preserve"> the Bill does not propose to apply differently to children with </w:t>
      </w:r>
      <w:r w:rsidRPr="00EA7238">
        <w:rPr>
          <w:lang w:eastAsia="en-AU"/>
        </w:rPr>
        <w:t>disabilities</w:t>
      </w:r>
      <w:r w:rsidR="005E2D71" w:rsidRPr="00EA7238">
        <w:rPr>
          <w:lang w:eastAsia="en-AU"/>
        </w:rPr>
        <w:t xml:space="preserve">, it </w:t>
      </w:r>
      <w:r w:rsidR="008A00A3" w:rsidRPr="00EA7238">
        <w:rPr>
          <w:lang w:eastAsia="en-AU"/>
        </w:rPr>
        <w:t xml:space="preserve">indirectly </w:t>
      </w:r>
      <w:r w:rsidRPr="00EA7238">
        <w:rPr>
          <w:lang w:eastAsia="en-AU"/>
        </w:rPr>
        <w:t xml:space="preserve">discriminates </w:t>
      </w:r>
      <w:r w:rsidR="0083114C">
        <w:rPr>
          <w:lang w:eastAsia="en-AU"/>
        </w:rPr>
        <w:t xml:space="preserve">against them </w:t>
      </w:r>
      <w:r w:rsidR="008A00A3" w:rsidRPr="00EA7238">
        <w:rPr>
          <w:lang w:eastAsia="en-AU"/>
        </w:rPr>
        <w:t xml:space="preserve">by </w:t>
      </w:r>
      <w:r w:rsidR="0083114C">
        <w:rPr>
          <w:lang w:eastAsia="en-AU"/>
        </w:rPr>
        <w:t>subjecting them to</w:t>
      </w:r>
      <w:r w:rsidR="00801F56" w:rsidRPr="00EA7238">
        <w:rPr>
          <w:lang w:eastAsia="en-AU"/>
        </w:rPr>
        <w:t xml:space="preserve"> a system </w:t>
      </w:r>
      <w:r w:rsidRPr="00EA7238">
        <w:rPr>
          <w:lang w:eastAsia="en-AU"/>
        </w:rPr>
        <w:t>that</w:t>
      </w:r>
      <w:r w:rsidR="00801F56" w:rsidRPr="00EA7238">
        <w:rPr>
          <w:lang w:eastAsia="en-AU"/>
        </w:rPr>
        <w:t xml:space="preserve"> unfairly </w:t>
      </w:r>
      <w:bookmarkStart w:id="24" w:name="_Toc184118316"/>
      <w:r w:rsidRPr="00EA7238">
        <w:rPr>
          <w:lang w:eastAsia="en-AU"/>
        </w:rPr>
        <w:t>disadvantages them.</w:t>
      </w:r>
    </w:p>
    <w:p w14:paraId="2F236517" w14:textId="4041533C" w:rsidR="00E90816" w:rsidRPr="00E90816" w:rsidRDefault="00E90816" w:rsidP="00E90816">
      <w:pPr>
        <w:pStyle w:val="Numberedparagraph"/>
        <w:numPr>
          <w:ilvl w:val="0"/>
          <w:numId w:val="5"/>
        </w:numPr>
        <w:rPr>
          <w:rFonts w:eastAsia="Times New Roman" w:cs="Times New Roman"/>
          <w:color w:val="auto"/>
          <w:szCs w:val="22"/>
          <w:lang w:val="en-US"/>
        </w:rPr>
      </w:pPr>
      <w:r>
        <w:rPr>
          <w:rFonts w:eastAsia="Times New Roman" w:cs="Times New Roman"/>
          <w:color w:val="auto"/>
          <w:szCs w:val="22"/>
        </w:rPr>
        <w:t xml:space="preserve">The </w:t>
      </w:r>
      <w:r w:rsidR="00736B92">
        <w:rPr>
          <w:rFonts w:eastAsia="Times New Roman" w:cs="Times New Roman"/>
          <w:color w:val="auto"/>
          <w:szCs w:val="22"/>
        </w:rPr>
        <w:t>g</w:t>
      </w:r>
      <w:r w:rsidRPr="00E90816">
        <w:rPr>
          <w:rFonts w:eastAsia="Times New Roman" w:cs="Times New Roman"/>
          <w:color w:val="auto"/>
          <w:szCs w:val="22"/>
        </w:rPr>
        <w:t>overnment should engage relevant community led organisation</w:t>
      </w:r>
      <w:r w:rsidR="00663946">
        <w:rPr>
          <w:rFonts w:eastAsia="Times New Roman" w:cs="Times New Roman"/>
          <w:color w:val="auto"/>
          <w:szCs w:val="22"/>
        </w:rPr>
        <w:t>s</w:t>
      </w:r>
      <w:r w:rsidRPr="00E90816">
        <w:rPr>
          <w:rFonts w:eastAsia="Times New Roman" w:cs="Times New Roman"/>
          <w:color w:val="auto"/>
          <w:szCs w:val="22"/>
        </w:rPr>
        <w:t xml:space="preserve"> and peak bodies for disability services to assist to conduct the independent review of the MQS Act (</w:t>
      </w:r>
      <w:r w:rsidRPr="00E90816">
        <w:rPr>
          <w:rFonts w:eastAsia="Times New Roman" w:cs="Times New Roman"/>
          <w:b/>
          <w:bCs/>
          <w:color w:val="auto"/>
          <w:szCs w:val="22"/>
        </w:rPr>
        <w:t xml:space="preserve">RECOMMENDATION </w:t>
      </w:r>
      <w:r w:rsidR="00043129">
        <w:rPr>
          <w:rFonts w:eastAsia="Times New Roman" w:cs="Times New Roman"/>
          <w:b/>
          <w:bCs/>
          <w:color w:val="auto"/>
          <w:szCs w:val="22"/>
        </w:rPr>
        <w:t>2C</w:t>
      </w:r>
      <w:r w:rsidRPr="00E90816">
        <w:rPr>
          <w:rFonts w:eastAsia="Times New Roman" w:cs="Times New Roman"/>
          <w:color w:val="auto"/>
          <w:szCs w:val="22"/>
        </w:rPr>
        <w:t>).</w:t>
      </w:r>
    </w:p>
    <w:p w14:paraId="4D6D8489" w14:textId="1D2D9F9E" w:rsidR="00EF650C" w:rsidRPr="006704C3" w:rsidRDefault="004766FC" w:rsidP="00C82550">
      <w:pPr>
        <w:pStyle w:val="Heading1"/>
        <w:rPr>
          <w:lang w:val="en-US"/>
        </w:rPr>
      </w:pPr>
      <w:bookmarkStart w:id="25" w:name="_Toc195687404"/>
      <w:r>
        <w:rPr>
          <w:lang w:val="en-US"/>
        </w:rPr>
        <w:lastRenderedPageBreak/>
        <w:t xml:space="preserve">The Bill will </w:t>
      </w:r>
      <w:r w:rsidR="00C4074E">
        <w:rPr>
          <w:lang w:val="en-US"/>
        </w:rPr>
        <w:t>have adverse impacts on</w:t>
      </w:r>
      <w:r>
        <w:rPr>
          <w:lang w:val="en-US"/>
        </w:rPr>
        <w:t xml:space="preserve"> victims of crime</w:t>
      </w:r>
      <w:bookmarkEnd w:id="25"/>
    </w:p>
    <w:p w14:paraId="1C2286A0" w14:textId="0E405031" w:rsidR="00B45E44" w:rsidRDefault="00823210" w:rsidP="00B45E44">
      <w:pPr>
        <w:pStyle w:val="Numberedparagraph"/>
        <w:numPr>
          <w:ilvl w:val="0"/>
          <w:numId w:val="5"/>
        </w:numPr>
      </w:pPr>
      <w:r>
        <w:t>Contrary to the government’s commitments to support victims of crime, t</w:t>
      </w:r>
      <w:r w:rsidR="009117DB">
        <w:t xml:space="preserve">his Bill is likely to have </w:t>
      </w:r>
      <w:r w:rsidR="00EF650C" w:rsidRPr="00054668">
        <w:t xml:space="preserve">adverse consequences for victims of crime. </w:t>
      </w:r>
      <w:r w:rsidR="009117DB">
        <w:t>In addition to causing more offending</w:t>
      </w:r>
      <w:r w:rsidR="00D95640">
        <w:t xml:space="preserve"> and making our community less safe</w:t>
      </w:r>
      <w:r w:rsidR="009117DB">
        <w:t xml:space="preserve">, </w:t>
      </w:r>
      <w:r w:rsidR="00973DAB">
        <w:t>t</w:t>
      </w:r>
      <w:r w:rsidR="00EF650C" w:rsidRPr="004C333B">
        <w:rPr>
          <w:rFonts w:eastAsia="Times New Roman" w:cs="Times New Roman"/>
          <w:color w:val="auto"/>
          <w:szCs w:val="22"/>
          <w:lang w:val="en-US"/>
        </w:rPr>
        <w:t xml:space="preserve">he imposition of mandatory or excessively punitive sentences </w:t>
      </w:r>
      <w:r w:rsidR="00973DAB">
        <w:rPr>
          <w:rFonts w:eastAsia="Times New Roman" w:cs="Times New Roman"/>
          <w:color w:val="auto"/>
          <w:szCs w:val="22"/>
          <w:lang w:val="en-US"/>
        </w:rPr>
        <w:t xml:space="preserve">on children </w:t>
      </w:r>
      <w:r w:rsidR="00485233">
        <w:rPr>
          <w:rFonts w:eastAsia="Times New Roman" w:cs="Times New Roman"/>
          <w:color w:val="auto"/>
          <w:szCs w:val="22"/>
          <w:lang w:val="en-US"/>
        </w:rPr>
        <w:t>is likely to</w:t>
      </w:r>
      <w:r w:rsidR="00EF650C" w:rsidRPr="004C333B">
        <w:rPr>
          <w:rFonts w:eastAsia="Times New Roman" w:cs="Times New Roman"/>
          <w:color w:val="auto"/>
          <w:szCs w:val="22"/>
          <w:lang w:val="en-US"/>
        </w:rPr>
        <w:t xml:space="preserve"> result in fewer guilty pleas and </w:t>
      </w:r>
      <w:r w:rsidR="00973DAB">
        <w:rPr>
          <w:rFonts w:eastAsia="Times New Roman" w:cs="Times New Roman"/>
          <w:color w:val="auto"/>
          <w:szCs w:val="22"/>
          <w:lang w:val="en-US"/>
        </w:rPr>
        <w:t xml:space="preserve">therefore </w:t>
      </w:r>
      <w:r w:rsidR="00EF650C" w:rsidRPr="004C333B">
        <w:rPr>
          <w:rFonts w:eastAsia="Times New Roman" w:cs="Times New Roman"/>
          <w:color w:val="auto"/>
          <w:szCs w:val="22"/>
          <w:lang w:val="en-US"/>
        </w:rPr>
        <w:t>additional</w:t>
      </w:r>
      <w:r w:rsidR="00973DAB">
        <w:rPr>
          <w:rFonts w:eastAsia="Times New Roman" w:cs="Times New Roman"/>
          <w:color w:val="auto"/>
          <w:szCs w:val="22"/>
          <w:lang w:val="en-US"/>
        </w:rPr>
        <w:t xml:space="preserve"> criminal</w:t>
      </w:r>
      <w:r w:rsidR="00EF650C" w:rsidRPr="004C333B">
        <w:rPr>
          <w:rFonts w:eastAsia="Times New Roman" w:cs="Times New Roman"/>
          <w:color w:val="auto"/>
          <w:szCs w:val="22"/>
          <w:lang w:val="en-US"/>
        </w:rPr>
        <w:t xml:space="preserve"> trials</w:t>
      </w:r>
      <w:r w:rsidR="00E6233D">
        <w:rPr>
          <w:rFonts w:eastAsia="Times New Roman" w:cs="Times New Roman"/>
          <w:color w:val="auto"/>
          <w:szCs w:val="22"/>
          <w:lang w:val="en-US"/>
        </w:rPr>
        <w:t xml:space="preserve"> </w:t>
      </w:r>
      <w:r w:rsidR="00E6233D" w:rsidRPr="00E6233D">
        <w:rPr>
          <w:rFonts w:eastAsia="Times New Roman" w:cs="Times New Roman"/>
          <w:color w:val="auto"/>
          <w:szCs w:val="22"/>
          <w:lang w:val="en-US"/>
        </w:rPr>
        <w:t xml:space="preserve">and increased burdens on the justice system resulting in delays to the resolution of criminal </w:t>
      </w:r>
      <w:r w:rsidR="00485233">
        <w:rPr>
          <w:rFonts w:eastAsia="Times New Roman" w:cs="Times New Roman"/>
          <w:color w:val="auto"/>
          <w:szCs w:val="22"/>
          <w:lang w:val="en-US"/>
        </w:rPr>
        <w:t>(</w:t>
      </w:r>
      <w:r w:rsidR="00E6233D" w:rsidRPr="00E6233D">
        <w:rPr>
          <w:rFonts w:eastAsia="Times New Roman" w:cs="Times New Roman"/>
          <w:color w:val="auto"/>
          <w:szCs w:val="22"/>
          <w:lang w:val="en-US"/>
        </w:rPr>
        <w:t>and civil</w:t>
      </w:r>
      <w:r w:rsidR="00485233">
        <w:rPr>
          <w:rFonts w:eastAsia="Times New Roman" w:cs="Times New Roman"/>
          <w:color w:val="auto"/>
          <w:szCs w:val="22"/>
          <w:lang w:val="en-US"/>
        </w:rPr>
        <w:t>)</w:t>
      </w:r>
      <w:r w:rsidR="00E6233D" w:rsidRPr="00E6233D">
        <w:rPr>
          <w:rFonts w:eastAsia="Times New Roman" w:cs="Times New Roman"/>
          <w:color w:val="auto"/>
          <w:szCs w:val="22"/>
          <w:lang w:val="en-US"/>
        </w:rPr>
        <w:t xml:space="preserve"> matters.</w:t>
      </w:r>
      <w:r w:rsidR="00E6233D" w:rsidRPr="00E6233D">
        <w:rPr>
          <w:rFonts w:eastAsia="Times New Roman" w:cs="Times New Roman"/>
          <w:color w:val="auto"/>
          <w:szCs w:val="22"/>
          <w:vertAlign w:val="superscript"/>
          <w:lang w:val="en-US"/>
        </w:rPr>
        <w:footnoteReference w:id="89"/>
      </w:r>
      <w:r w:rsidR="00E6233D" w:rsidRPr="00E6233D">
        <w:rPr>
          <w:rFonts w:eastAsia="Times New Roman" w:cs="Times New Roman"/>
          <w:color w:val="auto"/>
          <w:szCs w:val="22"/>
          <w:vertAlign w:val="superscript"/>
          <w:lang w:val="en-US"/>
        </w:rPr>
        <w:t xml:space="preserve"> </w:t>
      </w:r>
    </w:p>
    <w:p w14:paraId="7D825CE0" w14:textId="4224E2ED" w:rsidR="00EF650C" w:rsidRPr="004C333B" w:rsidRDefault="00B45E44" w:rsidP="00EF650C">
      <w:pPr>
        <w:pStyle w:val="Numberedparagraph"/>
        <w:numPr>
          <w:ilvl w:val="0"/>
          <w:numId w:val="5"/>
        </w:numPr>
      </w:pPr>
      <w:r w:rsidRPr="00B45E44">
        <w:rPr>
          <w:rFonts w:eastAsia="Times New Roman" w:cs="Times New Roman"/>
          <w:color w:val="auto"/>
          <w:szCs w:val="22"/>
          <w:lang w:val="en-US"/>
        </w:rPr>
        <w:t>As a result, v</w:t>
      </w:r>
      <w:r w:rsidR="00EF650C" w:rsidRPr="00B45E44">
        <w:rPr>
          <w:rFonts w:eastAsia="Times New Roman" w:cs="Times New Roman"/>
          <w:color w:val="auto"/>
          <w:szCs w:val="22"/>
          <w:lang w:val="en-US"/>
        </w:rPr>
        <w:t xml:space="preserve">ictims may experience lengthy delays before achieving an outcome. </w:t>
      </w:r>
      <w:r w:rsidR="00EF650C" w:rsidRPr="004C333B">
        <w:rPr>
          <w:rFonts w:eastAsia="Times New Roman" w:cs="Times New Roman"/>
          <w:color w:val="auto"/>
          <w:szCs w:val="22"/>
          <w:lang w:val="en-US"/>
        </w:rPr>
        <w:t xml:space="preserve">Victims and witnesses will also be more commonly subject to examination and cross examination which </w:t>
      </w:r>
      <w:r w:rsidR="00176BBC" w:rsidRPr="00B45E44">
        <w:rPr>
          <w:rFonts w:eastAsia="Times New Roman" w:cs="Times New Roman"/>
          <w:color w:val="auto"/>
          <w:szCs w:val="22"/>
          <w:lang w:val="en-US"/>
        </w:rPr>
        <w:t>can</w:t>
      </w:r>
      <w:r w:rsidR="00EF650C" w:rsidRPr="004C333B">
        <w:rPr>
          <w:rFonts w:eastAsia="Times New Roman" w:cs="Times New Roman"/>
          <w:color w:val="auto"/>
          <w:szCs w:val="22"/>
          <w:lang w:val="en-US"/>
        </w:rPr>
        <w:t xml:space="preserve"> be re-traumatising for victims, witnesses, and victims’ families. </w:t>
      </w:r>
    </w:p>
    <w:p w14:paraId="5C53F2F7" w14:textId="2F70C0AE" w:rsidR="00750746" w:rsidRDefault="00646EA7" w:rsidP="00921EF1">
      <w:pPr>
        <w:pStyle w:val="Heading1"/>
      </w:pPr>
      <w:bookmarkStart w:id="26" w:name="_Toc184118320"/>
      <w:bookmarkStart w:id="27" w:name="_Toc195687405"/>
      <w:bookmarkEnd w:id="24"/>
      <w:r>
        <w:t xml:space="preserve">Evidence-based solutions </w:t>
      </w:r>
      <w:r w:rsidR="006D6C30">
        <w:t xml:space="preserve">will </w:t>
      </w:r>
      <w:r>
        <w:t xml:space="preserve">promote </w:t>
      </w:r>
      <w:r w:rsidR="006D6C30">
        <w:t xml:space="preserve">community </w:t>
      </w:r>
      <w:r>
        <w:t>safety</w:t>
      </w:r>
      <w:bookmarkEnd w:id="26"/>
      <w:r w:rsidR="002E6F31">
        <w:t xml:space="preserve"> and victims’ rights</w:t>
      </w:r>
      <w:bookmarkEnd w:id="27"/>
    </w:p>
    <w:p w14:paraId="2ED60F74" w14:textId="0FE8FE0A" w:rsidR="001B47AE" w:rsidRDefault="00270CAC" w:rsidP="00CD43CA">
      <w:pPr>
        <w:pStyle w:val="Numberedparagraph"/>
        <w:numPr>
          <w:ilvl w:val="0"/>
          <w:numId w:val="5"/>
        </w:numPr>
      </w:pPr>
      <w:r w:rsidRPr="00270CAC">
        <w:t xml:space="preserve">The Bill </w:t>
      </w:r>
      <w:r w:rsidR="00EF2030">
        <w:t>is contrary</w:t>
      </w:r>
      <w:r w:rsidRPr="00270CAC">
        <w:t xml:space="preserve"> to evidence-based approaches that effectively enhance community safety. </w:t>
      </w:r>
      <w:r w:rsidR="001B47AE" w:rsidRPr="005B54A0">
        <w:t xml:space="preserve">Queensland already detains more children than any other state, yet </w:t>
      </w:r>
      <w:r w:rsidR="001B47AE">
        <w:t>violent</w:t>
      </w:r>
      <w:r w:rsidR="001B47AE" w:rsidRPr="005B54A0">
        <w:t xml:space="preserve"> youth crime persists. Instead of perpetuating a cycle of harm, </w:t>
      </w:r>
      <w:r w:rsidR="001B47AE">
        <w:t>the government</w:t>
      </w:r>
      <w:r w:rsidR="001B47AE" w:rsidRPr="005B54A0">
        <w:t xml:space="preserve"> </w:t>
      </w:r>
      <w:r w:rsidR="001B47AE">
        <w:t>must</w:t>
      </w:r>
      <w:r w:rsidR="001B47AE" w:rsidRPr="005B54A0">
        <w:t xml:space="preserve"> prioriti</w:t>
      </w:r>
      <w:r w:rsidR="001B47AE">
        <w:t>s</w:t>
      </w:r>
      <w:r w:rsidR="001B47AE" w:rsidRPr="005B54A0">
        <w:t>e sustainable</w:t>
      </w:r>
      <w:r w:rsidR="001B47AE">
        <w:t>, community-led</w:t>
      </w:r>
      <w:r w:rsidR="001B47AE" w:rsidRPr="005B54A0">
        <w:t xml:space="preserve"> solutions</w:t>
      </w:r>
      <w:r w:rsidR="007E3837">
        <w:t xml:space="preserve"> </w:t>
      </w:r>
      <w:r w:rsidR="001B47AE" w:rsidRPr="005B54A0">
        <w:t>that align with human rights and deliver better outcomes for individuals and the broader community</w:t>
      </w:r>
      <w:r w:rsidR="001B47AE">
        <w:t>.</w:t>
      </w:r>
    </w:p>
    <w:p w14:paraId="449A23CD" w14:textId="76ECF030" w:rsidR="00861A50" w:rsidRDefault="00861A50" w:rsidP="00861A50">
      <w:pPr>
        <w:pStyle w:val="Numberedparagraph"/>
        <w:numPr>
          <w:ilvl w:val="0"/>
          <w:numId w:val="5"/>
        </w:numPr>
      </w:pPr>
      <w:r>
        <w:t xml:space="preserve">While criminal laws should generally align with community expectations, it is incumbent on the government to enact policies and legislation which are evidence-based and therefore likely to achieve their objectives. </w:t>
      </w:r>
      <w:r w:rsidR="00974C41">
        <w:t>The g</w:t>
      </w:r>
      <w:r>
        <w:t xml:space="preserve">overnment </w:t>
      </w:r>
      <w:r w:rsidR="00092FC4">
        <w:t xml:space="preserve">has </w:t>
      </w:r>
      <w:r w:rsidR="00E2480D">
        <w:t>an</w:t>
      </w:r>
      <w:r w:rsidR="00092FC4">
        <w:t xml:space="preserve"> opportunity to </w:t>
      </w:r>
      <w:r>
        <w:t xml:space="preserve">show strength </w:t>
      </w:r>
      <w:r w:rsidR="0040702F">
        <w:t>by</w:t>
      </w:r>
      <w:r w:rsidR="00B10168">
        <w:t xml:space="preserve"> bring</w:t>
      </w:r>
      <w:r w:rsidR="0040702F">
        <w:t>ing</w:t>
      </w:r>
      <w:r>
        <w:t xml:space="preserve"> the community on a journey to understand what the effective solutions to youth crime </w:t>
      </w:r>
      <w:r w:rsidR="000B319F">
        <w:t>are</w:t>
      </w:r>
      <w:r w:rsidR="00995DFD">
        <w:t xml:space="preserve"> and invest in solutions that work.</w:t>
      </w:r>
    </w:p>
    <w:p w14:paraId="74423BEF" w14:textId="19D3B126" w:rsidR="007A126E" w:rsidRDefault="007A126E" w:rsidP="00861A50">
      <w:pPr>
        <w:pStyle w:val="Numberedparagraph"/>
        <w:numPr>
          <w:ilvl w:val="0"/>
          <w:numId w:val="5"/>
        </w:numPr>
      </w:pPr>
      <w:r>
        <w:t>T</w:t>
      </w:r>
      <w:r w:rsidRPr="00270CAC">
        <w:t xml:space="preserve">he Commission </w:t>
      </w:r>
      <w:r>
        <w:t xml:space="preserve">acknowledges </w:t>
      </w:r>
      <w:r w:rsidRPr="00270CAC">
        <w:t xml:space="preserve">the government’s intention </w:t>
      </w:r>
      <w:r w:rsidR="00995DFD">
        <w:t>is</w:t>
      </w:r>
      <w:r w:rsidRPr="00270CAC">
        <w:t xml:space="preserve"> to </w:t>
      </w:r>
      <w:r>
        <w:t xml:space="preserve">concurrently </w:t>
      </w:r>
      <w:r w:rsidRPr="00270CAC">
        <w:t>implement non-legislative measures, including early intervention and rehabilitation programs</w:t>
      </w:r>
      <w:r w:rsidR="0002689C">
        <w:t>. However</w:t>
      </w:r>
      <w:r>
        <w:t xml:space="preserve">, the harm that will be caused by this Bill </w:t>
      </w:r>
      <w:r w:rsidR="001F0FB3">
        <w:t xml:space="preserve">(and the MQS Act) </w:t>
      </w:r>
      <w:r w:rsidR="00995DFD">
        <w:t>is likely to</w:t>
      </w:r>
      <w:r>
        <w:t xml:space="preserve"> outweigh these efforts and undermine their intended outcomes.</w:t>
      </w:r>
    </w:p>
    <w:p w14:paraId="441CC1F4" w14:textId="73303031" w:rsidR="00D40B1F" w:rsidRDefault="00040A3B" w:rsidP="00180EB4">
      <w:pPr>
        <w:pStyle w:val="Numberedparagraph"/>
        <w:numPr>
          <w:ilvl w:val="0"/>
          <w:numId w:val="5"/>
        </w:numPr>
        <w:rPr>
          <w:lang w:val="en-US"/>
        </w:rPr>
      </w:pPr>
      <w:r>
        <w:rPr>
          <w:lang w:val="en-US"/>
        </w:rPr>
        <w:t xml:space="preserve">The </w:t>
      </w:r>
      <w:r w:rsidR="0005654E">
        <w:rPr>
          <w:lang w:val="en-US"/>
        </w:rPr>
        <w:t xml:space="preserve">Statement of Compatibility states that </w:t>
      </w:r>
      <w:r w:rsidR="003C24FD">
        <w:rPr>
          <w:lang w:val="en-US"/>
        </w:rPr>
        <w:t xml:space="preserve">the </w:t>
      </w:r>
      <w:r w:rsidR="0005654E" w:rsidRPr="0005654E">
        <w:rPr>
          <w:lang w:val="en-US"/>
        </w:rPr>
        <w:t>amendments will increase community confidence in the justice system</w:t>
      </w:r>
      <w:r w:rsidR="0005654E">
        <w:rPr>
          <w:lang w:val="en-US"/>
        </w:rPr>
        <w:t xml:space="preserve"> by </w:t>
      </w:r>
      <w:r w:rsidR="0005654E" w:rsidRPr="0005654E">
        <w:rPr>
          <w:lang w:val="en-US"/>
        </w:rPr>
        <w:t>demonstrat</w:t>
      </w:r>
      <w:r w:rsidR="0005654E">
        <w:rPr>
          <w:lang w:val="en-US"/>
        </w:rPr>
        <w:t>ing</w:t>
      </w:r>
      <w:r w:rsidR="0005654E" w:rsidRPr="0005654E">
        <w:rPr>
          <w:lang w:val="en-US"/>
        </w:rPr>
        <w:t xml:space="preserve"> to the community that youth offending is treated seriously by</w:t>
      </w:r>
      <w:r w:rsidR="0005654E">
        <w:rPr>
          <w:lang w:val="en-US"/>
        </w:rPr>
        <w:t xml:space="preserve"> </w:t>
      </w:r>
      <w:r w:rsidR="0005654E" w:rsidRPr="0005654E">
        <w:rPr>
          <w:lang w:val="en-US"/>
        </w:rPr>
        <w:t>the courts</w:t>
      </w:r>
      <w:r w:rsidR="008E1D8F">
        <w:rPr>
          <w:lang w:val="en-US"/>
        </w:rPr>
        <w:t>.</w:t>
      </w:r>
      <w:r w:rsidR="0005654E" w:rsidRPr="0005654E">
        <w:rPr>
          <w:lang w:val="en-US"/>
        </w:rPr>
        <w:t xml:space="preserve"> </w:t>
      </w:r>
      <w:r w:rsidR="003C24FD">
        <w:rPr>
          <w:lang w:val="en-US"/>
        </w:rPr>
        <w:t>However</w:t>
      </w:r>
      <w:r w:rsidR="009F4D2D">
        <w:rPr>
          <w:lang w:val="en-US"/>
        </w:rPr>
        <w:t xml:space="preserve">, </w:t>
      </w:r>
      <w:r w:rsidR="00180EB4">
        <w:rPr>
          <w:lang w:val="en-US"/>
        </w:rPr>
        <w:t xml:space="preserve">confidence in the </w:t>
      </w:r>
      <w:r w:rsidR="00180EB4">
        <w:rPr>
          <w:lang w:val="en-US"/>
        </w:rPr>
        <w:lastRenderedPageBreak/>
        <w:t>criminal justice system</w:t>
      </w:r>
      <w:r w:rsidR="009F4D2D">
        <w:rPr>
          <w:lang w:val="en-US"/>
        </w:rPr>
        <w:t xml:space="preserve"> could be increased by alternative, more effective</w:t>
      </w:r>
      <w:r w:rsidR="00897C33">
        <w:rPr>
          <w:lang w:val="en-US"/>
        </w:rPr>
        <w:t>,</w:t>
      </w:r>
      <w:r w:rsidR="009F4D2D">
        <w:rPr>
          <w:lang w:val="en-US"/>
        </w:rPr>
        <w:t xml:space="preserve"> and less harmful means. </w:t>
      </w:r>
    </w:p>
    <w:p w14:paraId="2A26F825" w14:textId="26A898D0" w:rsidR="00180EB4" w:rsidRDefault="00DD6AFF" w:rsidP="00180EB4">
      <w:pPr>
        <w:pStyle w:val="Numberedparagraph"/>
        <w:numPr>
          <w:ilvl w:val="0"/>
          <w:numId w:val="5"/>
        </w:numPr>
        <w:rPr>
          <w:lang w:val="en-US"/>
        </w:rPr>
      </w:pPr>
      <w:r>
        <w:rPr>
          <w:lang w:val="en-US"/>
        </w:rPr>
        <w:t xml:space="preserve">To improve confidence in the criminal justice system and sentencing, </w:t>
      </w:r>
      <w:r w:rsidR="002F5A80">
        <w:rPr>
          <w:lang w:val="en-US"/>
        </w:rPr>
        <w:t xml:space="preserve">as recommended by QSAC, </w:t>
      </w:r>
      <w:r w:rsidR="00013F00" w:rsidRPr="00013F00">
        <w:rPr>
          <w:lang w:val="en-US"/>
        </w:rPr>
        <w:t>the Government should support community confidence in the criminal justice system by undertaking targeted education and awareness strategies tailored to address knowledge gaps, developing products that translate complex legal sentencing terms into plain English, and publishing sentencing statistics in a clear transparent manner</w:t>
      </w:r>
      <w:r w:rsidR="00013F00">
        <w:rPr>
          <w:lang w:val="en-US"/>
        </w:rPr>
        <w:t>.</w:t>
      </w:r>
      <w:r w:rsidR="00180EB4">
        <w:rPr>
          <w:rStyle w:val="FootnoteReference"/>
          <w:lang w:val="en-US"/>
        </w:rPr>
        <w:footnoteReference w:id="90"/>
      </w:r>
      <w:r w:rsidR="00180EB4">
        <w:rPr>
          <w:lang w:val="en-US"/>
        </w:rPr>
        <w:t xml:space="preserve"> (</w:t>
      </w:r>
      <w:r w:rsidR="00180EB4" w:rsidRPr="002C04D1">
        <w:rPr>
          <w:b/>
          <w:bCs/>
          <w:lang w:val="en-US"/>
        </w:rPr>
        <w:t xml:space="preserve">RECOMMENDATION </w:t>
      </w:r>
      <w:r w:rsidR="00454E18">
        <w:rPr>
          <w:b/>
          <w:bCs/>
          <w:lang w:val="en-US"/>
        </w:rPr>
        <w:t>5</w:t>
      </w:r>
      <w:r w:rsidR="00180EB4">
        <w:rPr>
          <w:lang w:val="en-US"/>
        </w:rPr>
        <w:t xml:space="preserve">). QSAC should be resourced to do </w:t>
      </w:r>
      <w:r w:rsidR="00013F00">
        <w:rPr>
          <w:lang w:val="en-US"/>
        </w:rPr>
        <w:t>this work</w:t>
      </w:r>
      <w:r w:rsidR="00180EB4">
        <w:rPr>
          <w:lang w:val="en-US"/>
        </w:rPr>
        <w:t xml:space="preserve"> (</w:t>
      </w:r>
      <w:r w:rsidR="00180EB4" w:rsidRPr="009A6BB8">
        <w:rPr>
          <w:b/>
          <w:bCs/>
          <w:lang w:val="en-US"/>
        </w:rPr>
        <w:t xml:space="preserve">RECOMMENDATION </w:t>
      </w:r>
      <w:r w:rsidR="00454E18">
        <w:rPr>
          <w:b/>
          <w:bCs/>
          <w:lang w:val="en-US"/>
        </w:rPr>
        <w:t>5</w:t>
      </w:r>
      <w:r w:rsidR="00180EB4" w:rsidRPr="009A6BB8">
        <w:rPr>
          <w:b/>
          <w:bCs/>
          <w:lang w:val="en-US"/>
        </w:rPr>
        <w:t>A</w:t>
      </w:r>
      <w:r w:rsidR="00180EB4">
        <w:rPr>
          <w:lang w:val="en-US"/>
        </w:rPr>
        <w:t xml:space="preserve">). </w:t>
      </w:r>
    </w:p>
    <w:p w14:paraId="340A5AD1" w14:textId="345F8CD5" w:rsidR="00180EB4" w:rsidRDefault="00180EB4" w:rsidP="00180EB4">
      <w:pPr>
        <w:pStyle w:val="Numberedparagraph"/>
        <w:numPr>
          <w:ilvl w:val="0"/>
          <w:numId w:val="5"/>
        </w:numPr>
        <w:rPr>
          <w:lang w:val="en-US"/>
        </w:rPr>
      </w:pPr>
      <w:r>
        <w:rPr>
          <w:lang w:val="en-US"/>
        </w:rPr>
        <w:t xml:space="preserve">A further way in which the </w:t>
      </w:r>
      <w:r w:rsidR="00736B92">
        <w:rPr>
          <w:lang w:val="en-US"/>
        </w:rPr>
        <w:t>g</w:t>
      </w:r>
      <w:r>
        <w:rPr>
          <w:lang w:val="en-US"/>
        </w:rPr>
        <w:t xml:space="preserve">overnment could realistically improve confidence in the criminal justice system is to address the way youth crime is reported in traditional and social media and by the </w:t>
      </w:r>
      <w:r w:rsidR="00736B92">
        <w:rPr>
          <w:lang w:val="en-US"/>
        </w:rPr>
        <w:t>g</w:t>
      </w:r>
      <w:r>
        <w:rPr>
          <w:lang w:val="en-US"/>
        </w:rPr>
        <w:t>overnment. In Queensland, reporting on youth crime is disproportionate to the actual incidence of youth crime.</w:t>
      </w:r>
      <w:r>
        <w:rPr>
          <w:rStyle w:val="FootnoteReference"/>
          <w:lang w:val="en-US"/>
        </w:rPr>
        <w:footnoteReference w:id="91"/>
      </w:r>
      <w:r>
        <w:rPr>
          <w:lang w:val="en-US"/>
        </w:rPr>
        <w:t xml:space="preserve"> A</w:t>
      </w:r>
      <w:r w:rsidRPr="0099632F">
        <w:rPr>
          <w:lang w:val="en-US"/>
        </w:rPr>
        <w:t xml:space="preserve"> recent analysis of </w:t>
      </w:r>
      <w:r>
        <w:rPr>
          <w:lang w:val="en-US"/>
        </w:rPr>
        <w:t>reporting on</w:t>
      </w:r>
      <w:r w:rsidRPr="0099632F">
        <w:rPr>
          <w:lang w:val="en-US"/>
        </w:rPr>
        <w:t xml:space="preserve"> youth crime in Queensland identified </w:t>
      </w:r>
      <w:r>
        <w:rPr>
          <w:lang w:val="en-US"/>
        </w:rPr>
        <w:t>that</w:t>
      </w:r>
      <w:r w:rsidRPr="0099632F">
        <w:rPr>
          <w:lang w:val="en-US"/>
        </w:rPr>
        <w:t xml:space="preserve"> widespread concern and panic </w:t>
      </w:r>
      <w:r>
        <w:rPr>
          <w:lang w:val="en-US"/>
        </w:rPr>
        <w:t xml:space="preserve">is being created </w:t>
      </w:r>
      <w:r w:rsidRPr="0099632F">
        <w:rPr>
          <w:lang w:val="en-US"/>
        </w:rPr>
        <w:t>through the media, with sensationalis</w:t>
      </w:r>
      <w:r>
        <w:rPr>
          <w:lang w:val="en-US"/>
        </w:rPr>
        <w:t xml:space="preserve">t headlines </w:t>
      </w:r>
      <w:r w:rsidRPr="0099632F">
        <w:rPr>
          <w:lang w:val="en-US"/>
        </w:rPr>
        <w:t>portraying youth crime as rapidly increasing both in incidence and severity</w:t>
      </w:r>
      <w:r>
        <w:rPr>
          <w:lang w:val="en-US"/>
        </w:rPr>
        <w:t xml:space="preserve"> - despite the absence of evidence that this is occurring.</w:t>
      </w:r>
      <w:r>
        <w:rPr>
          <w:rStyle w:val="FootnoteReference"/>
          <w:lang w:val="en-US"/>
        </w:rPr>
        <w:footnoteReference w:id="92"/>
      </w:r>
      <w:r w:rsidRPr="0099632F">
        <w:rPr>
          <w:lang w:val="en-US"/>
        </w:rPr>
        <w:t xml:space="preserve"> </w:t>
      </w:r>
      <w:r>
        <w:rPr>
          <w:lang w:val="en-US"/>
        </w:rPr>
        <w:t xml:space="preserve">This has created </w:t>
      </w:r>
      <w:r w:rsidR="00F96ED4">
        <w:rPr>
          <w:lang w:val="en-US"/>
        </w:rPr>
        <w:t>unnecessary</w:t>
      </w:r>
      <w:r>
        <w:rPr>
          <w:lang w:val="en-US"/>
        </w:rPr>
        <w:t xml:space="preserve"> fear and anxiety amongst community members. </w:t>
      </w:r>
    </w:p>
    <w:p w14:paraId="0C4AC052" w14:textId="3F1B3CB5" w:rsidR="00180EB4" w:rsidRPr="00EF7EC3" w:rsidRDefault="00180EB4" w:rsidP="00180EB4">
      <w:pPr>
        <w:pStyle w:val="Numberedparagraph"/>
        <w:numPr>
          <w:ilvl w:val="0"/>
          <w:numId w:val="5"/>
        </w:numPr>
        <w:rPr>
          <w:lang w:val="en-US"/>
        </w:rPr>
      </w:pPr>
      <w:r>
        <w:rPr>
          <w:lang w:val="en-US"/>
        </w:rPr>
        <w:t>The</w:t>
      </w:r>
      <w:r w:rsidR="00436D31">
        <w:rPr>
          <w:lang w:val="en-US"/>
        </w:rPr>
        <w:t xml:space="preserve"> government should additionally implement the recommendation </w:t>
      </w:r>
      <w:r w:rsidR="00632791">
        <w:rPr>
          <w:lang w:val="en-US"/>
        </w:rPr>
        <w:t>made by the</w:t>
      </w:r>
      <w:r>
        <w:rPr>
          <w:lang w:val="en-US"/>
        </w:rPr>
        <w:t xml:space="preserve"> interim report of the </w:t>
      </w:r>
      <w:r w:rsidRPr="00204ABC">
        <w:rPr>
          <w:i/>
          <w:iCs/>
        </w:rPr>
        <w:t>Inquiry into ongoing reforms to the youth justice system and support for victims of crime</w:t>
      </w:r>
      <w:r>
        <w:rPr>
          <w:lang w:val="en-US"/>
        </w:rPr>
        <w:t xml:space="preserve"> </w:t>
      </w:r>
      <w:r w:rsidR="00436D31">
        <w:rPr>
          <w:lang w:val="en-US"/>
        </w:rPr>
        <w:t xml:space="preserve">to </w:t>
      </w:r>
      <w:r w:rsidRPr="00600C12">
        <w:t xml:space="preserve">expand the role and resourcing of the </w:t>
      </w:r>
      <w:r>
        <w:t>QGSO</w:t>
      </w:r>
      <w:r w:rsidRPr="00600C12">
        <w:t xml:space="preserve"> to allow the </w:t>
      </w:r>
      <w:r>
        <w:t xml:space="preserve">office </w:t>
      </w:r>
      <w:r w:rsidRPr="00600C12">
        <w:t>to undertake public communication and education</w:t>
      </w:r>
      <w:r>
        <w:t xml:space="preserve"> activities to improve the community’s understanding of the rates and incidence of youth crime. (</w:t>
      </w:r>
      <w:r w:rsidRPr="00575064">
        <w:rPr>
          <w:b/>
          <w:bCs/>
        </w:rPr>
        <w:t xml:space="preserve">RECOMMENDATION </w:t>
      </w:r>
      <w:r w:rsidR="001E1F3D">
        <w:rPr>
          <w:b/>
          <w:bCs/>
        </w:rPr>
        <w:t>6</w:t>
      </w:r>
      <w:r>
        <w:t>).</w:t>
      </w:r>
      <w:r>
        <w:rPr>
          <w:rStyle w:val="FootnoteReference"/>
        </w:rPr>
        <w:footnoteReference w:id="93"/>
      </w:r>
    </w:p>
    <w:p w14:paraId="67CBC0CF" w14:textId="50B527C4" w:rsidR="00180EB4" w:rsidRPr="00D654F2" w:rsidRDefault="001E1F3D" w:rsidP="00180EB4">
      <w:pPr>
        <w:pStyle w:val="Numberedparagraph"/>
        <w:numPr>
          <w:ilvl w:val="0"/>
          <w:numId w:val="5"/>
        </w:numPr>
        <w:rPr>
          <w:lang w:val="en-US"/>
        </w:rPr>
      </w:pPr>
      <w:r>
        <w:t>Additionally, t</w:t>
      </w:r>
      <w:r w:rsidR="00180EB4">
        <w:t xml:space="preserve">he </w:t>
      </w:r>
      <w:r w:rsidR="00736B92">
        <w:t>g</w:t>
      </w:r>
      <w:r w:rsidR="00180EB4">
        <w:t>overnment should take a leadership role in educating the community about the rate and incidence of youth crime, why it happens, and what works to reduce youth crime (</w:t>
      </w:r>
      <w:r w:rsidR="00180EB4" w:rsidRPr="00201120">
        <w:rPr>
          <w:b/>
          <w:bCs/>
        </w:rPr>
        <w:t xml:space="preserve">RECOMMENDATION </w:t>
      </w:r>
      <w:r>
        <w:rPr>
          <w:b/>
          <w:bCs/>
        </w:rPr>
        <w:t>7</w:t>
      </w:r>
      <w:r w:rsidR="00180EB4">
        <w:t xml:space="preserve">). </w:t>
      </w:r>
    </w:p>
    <w:p w14:paraId="069CC854" w14:textId="5045F906" w:rsidR="00F775D6" w:rsidRDefault="00F329FC" w:rsidP="00F775D6">
      <w:pPr>
        <w:pStyle w:val="Numberedparagraph"/>
        <w:numPr>
          <w:ilvl w:val="0"/>
          <w:numId w:val="5"/>
        </w:numPr>
      </w:pPr>
      <w:r>
        <w:t>Finally, t</w:t>
      </w:r>
      <w:r w:rsidR="00F775D6">
        <w:t>o ensure an effective approach to</w:t>
      </w:r>
      <w:r w:rsidR="003E02C2">
        <w:t xml:space="preserve"> responding to youth crime, the </w:t>
      </w:r>
      <w:r w:rsidR="00736B92">
        <w:t>g</w:t>
      </w:r>
      <w:r w:rsidR="00F775D6">
        <w:t xml:space="preserve">overnment should develop a youth justice strategy </w:t>
      </w:r>
      <w:r w:rsidR="003D7BB6">
        <w:t>based on</w:t>
      </w:r>
      <w:r w:rsidR="00F775D6">
        <w:t xml:space="preserve"> the wealth of </w:t>
      </w:r>
      <w:r w:rsidR="00F775D6">
        <w:lastRenderedPageBreak/>
        <w:t xml:space="preserve">available evidence for reducing youth crime and rehabilitating children who offend, including by: </w:t>
      </w:r>
    </w:p>
    <w:p w14:paraId="47BDE2A2" w14:textId="77777777" w:rsidR="00F775D6" w:rsidRDefault="00F775D6" w:rsidP="00F775D6">
      <w:pPr>
        <w:pStyle w:val="Numberedparagraph"/>
        <w:numPr>
          <w:ilvl w:val="1"/>
          <w:numId w:val="5"/>
        </w:numPr>
      </w:pPr>
      <w:r>
        <w:t>investing in equitable access to services such as early childhood education, health services and educations</w:t>
      </w:r>
    </w:p>
    <w:p w14:paraId="5AAC2975" w14:textId="77777777" w:rsidR="00F775D6" w:rsidRDefault="00F775D6" w:rsidP="00F775D6">
      <w:pPr>
        <w:pStyle w:val="Numberedparagraph"/>
        <w:numPr>
          <w:ilvl w:val="1"/>
          <w:numId w:val="5"/>
        </w:numPr>
      </w:pPr>
      <w:r>
        <w:t xml:space="preserve">prioritising early assessment and intervention, and diversion from the criminal justice system </w:t>
      </w:r>
    </w:p>
    <w:p w14:paraId="19BF47B8" w14:textId="2CE7D821" w:rsidR="00F775D6" w:rsidRDefault="00F775D6" w:rsidP="00F775D6">
      <w:pPr>
        <w:pStyle w:val="Numberedparagraph"/>
        <w:numPr>
          <w:ilvl w:val="1"/>
          <w:numId w:val="5"/>
        </w:numPr>
      </w:pPr>
      <w:r>
        <w:t>be</w:t>
      </w:r>
      <w:r w:rsidR="003D7BB6">
        <w:t>ing</w:t>
      </w:r>
      <w:r>
        <w:t xml:space="preserve"> guided by First Nations leaders and communities and fulfill</w:t>
      </w:r>
      <w:r w:rsidR="00EA52DF">
        <w:t>ing</w:t>
      </w:r>
      <w:r>
        <w:t xml:space="preserve"> Queensland’s obligations under the Closing the Gap National Agreement</w:t>
      </w:r>
      <w:r w:rsidR="003A7547">
        <w:t xml:space="preserve"> including the establishment of an Independent Accountability Mechanism</w:t>
      </w:r>
      <w:r w:rsidRPr="00A4635A">
        <w:rPr>
          <w:rStyle w:val="FootnoteReference"/>
        </w:rPr>
        <w:footnoteReference w:id="94"/>
      </w:r>
    </w:p>
    <w:p w14:paraId="2FE066CA" w14:textId="71278E12" w:rsidR="003F5382" w:rsidRDefault="00F775D6" w:rsidP="00F329FC">
      <w:pPr>
        <w:pStyle w:val="Numberedparagraph"/>
        <w:numPr>
          <w:ilvl w:val="1"/>
          <w:numId w:val="5"/>
        </w:numPr>
      </w:pPr>
      <w:r>
        <w:t>be</w:t>
      </w:r>
      <w:r w:rsidR="00EA52DF">
        <w:t>ing</w:t>
      </w:r>
      <w:r>
        <w:t xml:space="preserve"> guided by international human rights law commentary on children’s rights </w:t>
      </w:r>
    </w:p>
    <w:p w14:paraId="540300C9" w14:textId="2F4CF07E" w:rsidR="003F5382" w:rsidRDefault="004233AF" w:rsidP="00F329FC">
      <w:pPr>
        <w:pStyle w:val="Numberedparagraph"/>
        <w:numPr>
          <w:ilvl w:val="1"/>
          <w:numId w:val="5"/>
        </w:numPr>
      </w:pPr>
      <w:r>
        <w:t>establishing a co-ordinating agency within government with clear authority to hold agencies to account for implementation of identified strategies.</w:t>
      </w:r>
      <w:r w:rsidR="001B1E84">
        <w:t xml:space="preserve"> (</w:t>
      </w:r>
      <w:r w:rsidR="001B1E84" w:rsidRPr="00CA4C56">
        <w:rPr>
          <w:b/>
          <w:bCs/>
        </w:rPr>
        <w:t xml:space="preserve">RECOMMENDATION </w:t>
      </w:r>
      <w:r w:rsidR="001B1E84">
        <w:rPr>
          <w:b/>
          <w:bCs/>
        </w:rPr>
        <w:t>8</w:t>
      </w:r>
      <w:r w:rsidR="001B1E84">
        <w:t>)</w:t>
      </w:r>
    </w:p>
    <w:sectPr w:rsidR="003F5382" w:rsidSect="00CA5724">
      <w:headerReference w:type="default" r:id="rId19"/>
      <w:headerReference w:type="first" r:id="rId20"/>
      <w:footerReference w:type="first" r:id="rId21"/>
      <w:pgSz w:w="11900" w:h="16840" w:code="9"/>
      <w:pgMar w:top="1304" w:right="1701" w:bottom="1361"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EF2A3" w14:textId="77777777" w:rsidR="00AD0452" w:rsidRDefault="00AD0452" w:rsidP="0034134D">
      <w:r>
        <w:separator/>
      </w:r>
    </w:p>
  </w:endnote>
  <w:endnote w:type="continuationSeparator" w:id="0">
    <w:p w14:paraId="6FF35647" w14:textId="77777777" w:rsidR="00AD0452" w:rsidRDefault="00AD0452" w:rsidP="0034134D">
      <w:r>
        <w:continuationSeparator/>
      </w:r>
    </w:p>
  </w:endnote>
  <w:endnote w:type="continuationNotice" w:id="1">
    <w:p w14:paraId="27BC3119" w14:textId="77777777" w:rsidR="00AD0452" w:rsidRDefault="00AD04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F UI">
    <w:altName w:val="Cambria"/>
    <w:charset w:val="00"/>
    <w:family w:val="roman"/>
    <w:pitch w:val="default"/>
  </w:font>
  <w:font w:name=".SFUI-Regular">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3D727" w14:textId="77777777" w:rsidR="006D0CD6" w:rsidRPr="00260847" w:rsidRDefault="00260847" w:rsidP="006D0CD6">
    <w:pPr>
      <w:pStyle w:val="Footer"/>
      <w:jc w:val="right"/>
      <w:rPr>
        <w:rFonts w:cs="Arial"/>
        <w:color w:val="404040" w:themeColor="text1" w:themeTint="BF"/>
        <w:sz w:val="16"/>
        <w:szCs w:val="20"/>
      </w:rPr>
    </w:pPr>
    <w:r w:rsidRPr="00260847">
      <w:rPr>
        <w:rFonts w:cs="Arial"/>
        <w:noProof/>
        <w:sz w:val="20"/>
        <w:szCs w:val="20"/>
        <w:vertAlign w:val="subscript"/>
        <w:lang w:eastAsia="en-AU"/>
      </w:rPr>
      <w:drawing>
        <wp:inline distT="0" distB="0" distL="0" distR="0" wp14:anchorId="42B16B3C" wp14:editId="2B6BAEEB">
          <wp:extent cx="5463606" cy="4802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17558567" cy="154346"/>
                  </a:xfrm>
                  <a:prstGeom prst="rect">
                    <a:avLst/>
                  </a:prstGeom>
                </pic:spPr>
              </pic:pic>
            </a:graphicData>
          </a:graphic>
        </wp:inline>
      </w:drawing>
    </w:r>
    <w:r w:rsidRPr="00260847">
      <w:rPr>
        <w:rFonts w:cs="Arial"/>
        <w:color w:val="404040" w:themeColor="text1" w:themeTint="BF"/>
        <w:sz w:val="16"/>
        <w:szCs w:val="20"/>
      </w:rPr>
      <w:t>Queensland Human Rights Commission | www.qhrc.qld.gov.au</w:t>
    </w:r>
    <w:r>
      <w:rPr>
        <w:rFonts w:cs="Arial"/>
        <w:color w:val="404040" w:themeColor="text1" w:themeTint="BF"/>
        <w:sz w:val="16"/>
        <w:szCs w:val="20"/>
      </w:rPr>
      <w:tab/>
    </w:r>
    <w:r w:rsidRPr="00260847">
      <w:rPr>
        <w:rFonts w:cs="Arial"/>
        <w:color w:val="404040" w:themeColor="text1" w:themeTint="BF"/>
        <w:sz w:val="16"/>
        <w:szCs w:val="20"/>
      </w:rPr>
      <w:tab/>
    </w:r>
    <w:r w:rsidR="006D0CD6" w:rsidRPr="00260847">
      <w:rPr>
        <w:rFonts w:cs="Arial"/>
        <w:color w:val="404040" w:themeColor="text1" w:themeTint="BF"/>
        <w:sz w:val="16"/>
        <w:szCs w:val="20"/>
      </w:rPr>
      <w:fldChar w:fldCharType="begin"/>
    </w:r>
    <w:r w:rsidR="006D0CD6" w:rsidRPr="00260847">
      <w:rPr>
        <w:rFonts w:cs="Arial"/>
        <w:color w:val="404040" w:themeColor="text1" w:themeTint="BF"/>
        <w:sz w:val="16"/>
        <w:szCs w:val="20"/>
      </w:rPr>
      <w:instrText xml:space="preserve"> PAGE   \* MERGEFORMAT </w:instrText>
    </w:r>
    <w:r w:rsidR="006D0CD6" w:rsidRPr="00260847">
      <w:rPr>
        <w:rFonts w:cs="Arial"/>
        <w:color w:val="404040" w:themeColor="text1" w:themeTint="BF"/>
        <w:sz w:val="16"/>
        <w:szCs w:val="20"/>
      </w:rPr>
      <w:fldChar w:fldCharType="separate"/>
    </w:r>
    <w:r w:rsidR="0035517B">
      <w:rPr>
        <w:rFonts w:cs="Arial"/>
        <w:noProof/>
        <w:color w:val="404040" w:themeColor="text1" w:themeTint="BF"/>
        <w:sz w:val="16"/>
        <w:szCs w:val="20"/>
      </w:rPr>
      <w:t>3</w:t>
    </w:r>
    <w:r w:rsidR="006D0CD6" w:rsidRPr="00260847">
      <w:rPr>
        <w:rFonts w:cs="Arial"/>
        <w:noProof/>
        <w:color w:val="404040" w:themeColor="text1" w:themeTint="BF"/>
        <w:sz w:val="16"/>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03658" w14:textId="77777777" w:rsidR="007C510E" w:rsidRDefault="007C510E" w:rsidP="000731D3">
    <w:pPr>
      <w:pStyle w:val="Footer"/>
      <w:pBdr>
        <w:top w:val="single" w:sz="4" w:space="1" w:color="auto"/>
      </w:pBdr>
      <w:jc w:val="right"/>
      <w:rPr>
        <w:rFonts w:cs="Arial"/>
        <w:sz w:val="20"/>
        <w:szCs w:val="20"/>
      </w:rPr>
    </w:pPr>
  </w:p>
  <w:p w14:paraId="22218A70" w14:textId="77777777" w:rsidR="007C510E" w:rsidRPr="004A2375" w:rsidRDefault="007C510E" w:rsidP="00E7746A">
    <w:pPr>
      <w:pStyle w:val="Footer"/>
      <w:tabs>
        <w:tab w:val="left" w:pos="1905"/>
        <w:tab w:val="right" w:pos="8498"/>
      </w:tabs>
      <w:rPr>
        <w:rFonts w:cs="Arial"/>
        <w:sz w:val="20"/>
        <w:szCs w:val="20"/>
      </w:rPr>
    </w:pPr>
    <w:r>
      <w:rPr>
        <w:rFonts w:cs="Arial"/>
        <w:sz w:val="20"/>
        <w:szCs w:val="20"/>
      </w:rPr>
      <w:tab/>
    </w:r>
    <w:r>
      <w:rPr>
        <w:rFonts w:cs="Arial"/>
        <w:sz w:val="20"/>
        <w:szCs w:val="20"/>
      </w:rPr>
      <w:tab/>
    </w:r>
    <w:r>
      <w:rPr>
        <w:rFonts w:cs="Arial"/>
        <w:sz w:val="20"/>
        <w:szCs w:val="20"/>
      </w:rPr>
      <w:tab/>
    </w:r>
    <w:r w:rsidRPr="004A2375">
      <w:rPr>
        <w:rFonts w:cs="Arial"/>
        <w:sz w:val="20"/>
        <w:szCs w:val="20"/>
      </w:rPr>
      <w:t xml:space="preserve">Page | </w:t>
    </w:r>
    <w:r w:rsidRPr="004A2375">
      <w:rPr>
        <w:rFonts w:cs="Arial"/>
        <w:sz w:val="20"/>
        <w:szCs w:val="20"/>
      </w:rPr>
      <w:fldChar w:fldCharType="begin"/>
    </w:r>
    <w:r w:rsidRPr="004A2375">
      <w:rPr>
        <w:rFonts w:cs="Arial"/>
        <w:sz w:val="20"/>
        <w:szCs w:val="20"/>
      </w:rPr>
      <w:instrText xml:space="preserve"> PAGE   \* MERGEFORMAT </w:instrText>
    </w:r>
    <w:r w:rsidRPr="004A2375">
      <w:rPr>
        <w:rFonts w:cs="Arial"/>
        <w:sz w:val="20"/>
        <w:szCs w:val="20"/>
      </w:rPr>
      <w:fldChar w:fldCharType="separate"/>
    </w:r>
    <w:r w:rsidR="00CB0BBF">
      <w:rPr>
        <w:rFonts w:cs="Arial"/>
        <w:noProof/>
        <w:sz w:val="20"/>
        <w:szCs w:val="20"/>
      </w:rPr>
      <w:t>3</w:t>
    </w:r>
    <w:r w:rsidRPr="004A2375">
      <w:rPr>
        <w:rFonts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8D12F" w14:textId="77777777" w:rsidR="00AD0452" w:rsidRDefault="00AD0452" w:rsidP="0034134D">
      <w:r>
        <w:separator/>
      </w:r>
    </w:p>
  </w:footnote>
  <w:footnote w:type="continuationSeparator" w:id="0">
    <w:p w14:paraId="18FAEEE4" w14:textId="77777777" w:rsidR="00AD0452" w:rsidRDefault="00AD0452" w:rsidP="0034134D">
      <w:r>
        <w:continuationSeparator/>
      </w:r>
    </w:p>
  </w:footnote>
  <w:footnote w:type="continuationNotice" w:id="1">
    <w:p w14:paraId="61C81AC1" w14:textId="77777777" w:rsidR="00AD0452" w:rsidRDefault="00AD0452">
      <w:pPr>
        <w:spacing w:after="0"/>
      </w:pPr>
    </w:p>
  </w:footnote>
  <w:footnote w:id="2">
    <w:p w14:paraId="1EEABA4C" w14:textId="32484C87" w:rsidR="00BB2EE1" w:rsidRPr="0000132A" w:rsidRDefault="00BB2EE1">
      <w:pPr>
        <w:pStyle w:val="FootnoteText"/>
        <w:rPr>
          <w:lang w:val="en-GB"/>
        </w:rPr>
      </w:pPr>
      <w:r>
        <w:rPr>
          <w:rStyle w:val="FootnoteReference"/>
        </w:rPr>
        <w:footnoteRef/>
      </w:r>
      <w:r>
        <w:t xml:space="preserve"> </w:t>
      </w:r>
      <w:r w:rsidRPr="0000132A">
        <w:rPr>
          <w:i/>
          <w:iCs/>
          <w:lang w:val="en-GB"/>
        </w:rPr>
        <w:t>Human Rights Act 2019 (Qld)</w:t>
      </w:r>
      <w:r>
        <w:rPr>
          <w:lang w:val="en-GB"/>
        </w:rPr>
        <w:t xml:space="preserve"> s13.</w:t>
      </w:r>
    </w:p>
  </w:footnote>
  <w:footnote w:id="3">
    <w:p w14:paraId="2F87B14B" w14:textId="6DE64FE2" w:rsidR="00A03176" w:rsidRPr="00CC3351" w:rsidRDefault="00A03176" w:rsidP="00A03176">
      <w:pPr>
        <w:pStyle w:val="FootnoteText"/>
        <w:rPr>
          <w:lang w:val="en-GB"/>
        </w:rPr>
      </w:pPr>
      <w:r>
        <w:rPr>
          <w:rStyle w:val="FootnoteReference"/>
        </w:rPr>
        <w:footnoteRef/>
      </w:r>
      <w:r>
        <w:t xml:space="preserve"> </w:t>
      </w:r>
      <w:r w:rsidR="008D5621">
        <w:rPr>
          <w:lang w:val="en-GB"/>
        </w:rPr>
        <w:t>Statement of Compatibility</w:t>
      </w:r>
      <w:r>
        <w:rPr>
          <w:lang w:val="en-GB"/>
        </w:rPr>
        <w:t xml:space="preserve">, </w:t>
      </w:r>
      <w:r w:rsidR="003E686E" w:rsidRPr="003E686E">
        <w:rPr>
          <w:lang w:val="en-GB"/>
        </w:rPr>
        <w:t>Making Queensland Safer (Adult Crime, Adult Time) Amendment Bill 2025</w:t>
      </w:r>
      <w:r w:rsidR="00370567">
        <w:rPr>
          <w:lang w:val="en-GB"/>
        </w:rPr>
        <w:t>,</w:t>
      </w:r>
      <w:r w:rsidR="003E686E">
        <w:rPr>
          <w:lang w:val="en-GB"/>
        </w:rPr>
        <w:t>4</w:t>
      </w:r>
      <w:r>
        <w:rPr>
          <w:lang w:val="en-GB"/>
        </w:rPr>
        <w:t>.</w:t>
      </w:r>
    </w:p>
  </w:footnote>
  <w:footnote w:id="4">
    <w:p w14:paraId="7E741A09" w14:textId="0B41ADC2" w:rsidR="00986E4F" w:rsidRPr="00986E4F" w:rsidRDefault="00986E4F">
      <w:pPr>
        <w:pStyle w:val="FootnoteText"/>
        <w:rPr>
          <w:lang w:val="en-GB"/>
        </w:rPr>
      </w:pPr>
      <w:r>
        <w:rPr>
          <w:rStyle w:val="FootnoteReference"/>
        </w:rPr>
        <w:footnoteRef/>
      </w:r>
      <w:r>
        <w:t xml:space="preserve"> </w:t>
      </w:r>
      <w:r w:rsidR="00401EF6">
        <w:rPr>
          <w:lang w:val="en-GB"/>
        </w:rPr>
        <w:t xml:space="preserve">Statement of Compatibility, </w:t>
      </w:r>
      <w:r w:rsidR="00401EF6" w:rsidRPr="003E686E">
        <w:rPr>
          <w:lang w:val="en-GB"/>
        </w:rPr>
        <w:t>Making Queensland Safer (Adult Crime, Adult Time) Amendment Bill 2025</w:t>
      </w:r>
      <w:r w:rsidR="00401EF6">
        <w:rPr>
          <w:lang w:val="en-GB"/>
        </w:rPr>
        <w:t>,4.</w:t>
      </w:r>
    </w:p>
  </w:footnote>
  <w:footnote w:id="5">
    <w:p w14:paraId="3C5FD232" w14:textId="4D189B05" w:rsidR="00DD71E0" w:rsidRPr="00DD71E0" w:rsidRDefault="00DD71E0">
      <w:pPr>
        <w:pStyle w:val="FootnoteText"/>
        <w:rPr>
          <w:lang w:val="en-GB"/>
        </w:rPr>
      </w:pPr>
      <w:r>
        <w:rPr>
          <w:rStyle w:val="FootnoteReference"/>
        </w:rPr>
        <w:footnoteRef/>
      </w:r>
      <w:r>
        <w:t xml:space="preserve"> Australian Bureau of Statistics, </w:t>
      </w:r>
      <w:proofErr w:type="gramStart"/>
      <w:r>
        <w:rPr>
          <w:i/>
          <w:iCs/>
        </w:rPr>
        <w:t>Recorded</w:t>
      </w:r>
      <w:proofErr w:type="gramEnd"/>
      <w:r>
        <w:rPr>
          <w:i/>
          <w:iCs/>
        </w:rPr>
        <w:t xml:space="preserve"> crime – offenders 2023-24 financial year </w:t>
      </w:r>
      <w:r>
        <w:t>(Catalogue</w:t>
      </w:r>
      <w:r w:rsidRPr="00756010">
        <w:t xml:space="preserve"> 4519.0</w:t>
      </w:r>
      <w:r>
        <w:t>, 6 March 2025).</w:t>
      </w:r>
    </w:p>
  </w:footnote>
  <w:footnote w:id="6">
    <w:p w14:paraId="03904FE9" w14:textId="561A8F5F" w:rsidR="001D0B37" w:rsidRPr="001D0B37" w:rsidRDefault="001D0B37">
      <w:pPr>
        <w:pStyle w:val="FootnoteText"/>
        <w:rPr>
          <w:lang w:val="en-GB"/>
        </w:rPr>
      </w:pPr>
      <w:r>
        <w:rPr>
          <w:rStyle w:val="FootnoteReference"/>
        </w:rPr>
        <w:footnoteRef/>
      </w:r>
      <w:r>
        <w:t xml:space="preserve"> </w:t>
      </w:r>
      <w:r w:rsidR="00E80854">
        <w:t xml:space="preserve">Australian Bureau of Statistics, </w:t>
      </w:r>
      <w:proofErr w:type="gramStart"/>
      <w:r w:rsidR="000B11BC">
        <w:rPr>
          <w:i/>
          <w:iCs/>
        </w:rPr>
        <w:t>Recorded</w:t>
      </w:r>
      <w:proofErr w:type="gramEnd"/>
      <w:r w:rsidR="000B11BC">
        <w:rPr>
          <w:i/>
          <w:iCs/>
        </w:rPr>
        <w:t xml:space="preserve"> crime – offenders</w:t>
      </w:r>
      <w:r w:rsidR="00751473">
        <w:rPr>
          <w:i/>
          <w:iCs/>
        </w:rPr>
        <w:t xml:space="preserve"> 2023-24 financial year</w:t>
      </w:r>
      <w:r w:rsidR="000B11BC">
        <w:rPr>
          <w:i/>
          <w:iCs/>
        </w:rPr>
        <w:t xml:space="preserve"> </w:t>
      </w:r>
      <w:r w:rsidR="00751473">
        <w:t>(Catalogue</w:t>
      </w:r>
      <w:r w:rsidR="00756010" w:rsidRPr="00756010">
        <w:t xml:space="preserve"> 4519.0</w:t>
      </w:r>
      <w:r w:rsidR="00C71FDF">
        <w:t>, 6 March 2025).</w:t>
      </w:r>
    </w:p>
  </w:footnote>
  <w:footnote w:id="7">
    <w:p w14:paraId="30098647" w14:textId="387C7B06" w:rsidR="00AD547D" w:rsidRPr="00B86C19" w:rsidRDefault="00AD547D">
      <w:pPr>
        <w:pStyle w:val="FootnoteText"/>
        <w:rPr>
          <w:lang w:val="en-GB"/>
        </w:rPr>
      </w:pPr>
      <w:r>
        <w:rPr>
          <w:rStyle w:val="FootnoteReference"/>
        </w:rPr>
        <w:footnoteRef/>
      </w:r>
      <w:r>
        <w:t xml:space="preserve"> See for example: Victoria Sentencing Advisory Council, ‘Does imprisonment deter? A review of the evidence’ (Web report, 2011) &lt;</w:t>
      </w:r>
      <w:r w:rsidRPr="007D2D00">
        <w:t>https://www8.austlii.edu.au/cgi-bin/viewdoc/au/other/vic/VicSAC/2011/2.html#</w:t>
      </w:r>
      <w:r>
        <w:t>&gt;.</w:t>
      </w:r>
    </w:p>
  </w:footnote>
  <w:footnote w:id="8">
    <w:p w14:paraId="71888F86" w14:textId="74917C14" w:rsidR="006224B6" w:rsidRPr="006224B6" w:rsidRDefault="006224B6">
      <w:pPr>
        <w:pStyle w:val="FootnoteText"/>
        <w:rPr>
          <w:lang w:val="en-GB"/>
        </w:rPr>
      </w:pPr>
      <w:r>
        <w:rPr>
          <w:rStyle w:val="FootnoteReference"/>
        </w:rPr>
        <w:footnoteRef/>
      </w:r>
      <w:r>
        <w:t xml:space="preserve"> </w:t>
      </w:r>
      <w:r w:rsidR="004B73A5" w:rsidRPr="0089780C">
        <w:t xml:space="preserve">Lynne D Roberts and David </w:t>
      </w:r>
      <w:proofErr w:type="spellStart"/>
      <w:r w:rsidR="004B73A5" w:rsidRPr="0089780C">
        <w:t>Indermaur</w:t>
      </w:r>
      <w:proofErr w:type="spellEnd"/>
      <w:r w:rsidR="004B73A5" w:rsidRPr="0089780C">
        <w:t xml:space="preserve">, 'Predicting punitive attitudes in Australia' (2007) 14(1) </w:t>
      </w:r>
      <w:r w:rsidR="004B73A5" w:rsidRPr="00411AE8">
        <w:rPr>
          <w:i/>
        </w:rPr>
        <w:t>Psychiatry, Psychology and Law</w:t>
      </w:r>
      <w:r w:rsidR="004B73A5" w:rsidRPr="0089780C">
        <w:t xml:space="preserve"> 56, 61</w:t>
      </w:r>
      <w:r w:rsidR="00197973">
        <w:t xml:space="preserve">; </w:t>
      </w:r>
      <w:r w:rsidR="00197973" w:rsidRPr="00197973">
        <w:t xml:space="preserve">Samuel Jeffs et al, ‘Understanding of sentencing: Community knowledge of sentencing terms and outcomes’ (Research brief No.3, Queensland Sentencing Advisory Council, April 2023, </w:t>
      </w:r>
      <w:r w:rsidR="00197973">
        <w:t>3</w:t>
      </w:r>
      <w:r w:rsidR="004B73A5">
        <w:t xml:space="preserve">; </w:t>
      </w:r>
      <w:r w:rsidR="00ED3945" w:rsidRPr="00053C9F">
        <w:t>Kate Warner et al, 'Public judgement on sentencing: Final results from the Tasmanian Jury Sentencing Study' (</w:t>
      </w:r>
      <w:r w:rsidR="00ED3945" w:rsidRPr="00862327">
        <w:rPr>
          <w:i/>
        </w:rPr>
        <w:t>Trends and Issues in Crime and Criminal Justice</w:t>
      </w:r>
      <w:r w:rsidR="00ED3945" w:rsidRPr="00053C9F">
        <w:t xml:space="preserve"> No 407, Australian Institute of Criminology, 2011)</w:t>
      </w:r>
      <w:r w:rsidR="004B73A5">
        <w:t>.</w:t>
      </w:r>
    </w:p>
  </w:footnote>
  <w:footnote w:id="9">
    <w:p w14:paraId="59C891A0" w14:textId="77777777" w:rsidR="008C480A" w:rsidRPr="00615B9C" w:rsidRDefault="008C480A" w:rsidP="008C480A">
      <w:pPr>
        <w:pStyle w:val="FootnoteText"/>
        <w:rPr>
          <w:lang w:val="en-GB"/>
        </w:rPr>
      </w:pPr>
      <w:r>
        <w:rPr>
          <w:rStyle w:val="FootnoteReference"/>
        </w:rPr>
        <w:footnoteRef/>
      </w:r>
      <w:r>
        <w:t xml:space="preserve"> Samuel Jeffs et al, ‘Understanding of sentencing: Community knowledge of sentencing terms and outcomes’ (Research brief No.3, Queensland Sentencing Advisory Council, April 2023, 2.</w:t>
      </w:r>
    </w:p>
  </w:footnote>
  <w:footnote w:id="10">
    <w:p w14:paraId="56D81832" w14:textId="77777777" w:rsidR="00863B82" w:rsidRPr="00B96B78" w:rsidRDefault="00863B82" w:rsidP="00863B82">
      <w:pPr>
        <w:pStyle w:val="FootnoteText"/>
        <w:rPr>
          <w:lang w:val="en-GB"/>
        </w:rPr>
      </w:pPr>
      <w:r>
        <w:rPr>
          <w:rStyle w:val="FootnoteReference"/>
        </w:rPr>
        <w:footnoteRef/>
      </w:r>
      <w:r>
        <w:t xml:space="preserve"> </w:t>
      </w:r>
      <w:r w:rsidRPr="00E2250C">
        <w:t xml:space="preserve">Youth Justice Reform Select Committee, Queensland Parliament, </w:t>
      </w:r>
      <w:r w:rsidRPr="00E2250C">
        <w:rPr>
          <w:i/>
          <w:iCs/>
        </w:rPr>
        <w:t xml:space="preserve">Interim Report: Inquiry into ongoing reforms to the youth justice system and support for victims of crime </w:t>
      </w:r>
      <w:r w:rsidRPr="00E2250C">
        <w:t>(Interim report, April 2024) 99.</w:t>
      </w:r>
    </w:p>
  </w:footnote>
  <w:footnote w:id="11">
    <w:p w14:paraId="5FA2726A" w14:textId="77777777" w:rsidR="00F21B3F" w:rsidRPr="00B06AFF" w:rsidRDefault="00F21B3F" w:rsidP="00F21B3F">
      <w:pPr>
        <w:pStyle w:val="FootnoteText"/>
        <w:rPr>
          <w:lang w:val="en-GB"/>
        </w:rPr>
      </w:pPr>
      <w:r w:rsidRPr="00B06AFF">
        <w:rPr>
          <w:rStyle w:val="FootnoteReference"/>
        </w:rPr>
        <w:footnoteRef/>
      </w:r>
      <w:r w:rsidRPr="00B06AFF">
        <w:t xml:space="preserve"> </w:t>
      </w:r>
      <w:r w:rsidRPr="00F45DB9">
        <w:rPr>
          <w:i/>
          <w:iCs/>
        </w:rPr>
        <w:t xml:space="preserve">National Agreement on Closing the Gap: </w:t>
      </w:r>
      <w:proofErr w:type="gramStart"/>
      <w:r w:rsidRPr="00F45DB9">
        <w:rPr>
          <w:i/>
          <w:iCs/>
        </w:rPr>
        <w:t>an</w:t>
      </w:r>
      <w:proofErr w:type="gramEnd"/>
      <w:r w:rsidRPr="00F45DB9">
        <w:rPr>
          <w:i/>
          <w:iCs/>
        </w:rPr>
        <w:t xml:space="preserve"> Agreement Between the Coalition of Aboriginal and Torres Strait Islander Peak Organisations and All Australian Governments </w:t>
      </w:r>
      <w:r w:rsidRPr="00A6423B">
        <w:t>(July 2020)</w:t>
      </w:r>
      <w:r w:rsidRPr="00F45DB9">
        <w:rPr>
          <w:i/>
          <w:iCs/>
        </w:rPr>
        <w:t xml:space="preserve"> </w:t>
      </w:r>
      <w:r w:rsidRPr="00B06AFF">
        <w:t>cl 67.</w:t>
      </w:r>
    </w:p>
  </w:footnote>
  <w:footnote w:id="12">
    <w:p w14:paraId="2C4CA5D7" w14:textId="7F96BBA0" w:rsidR="00CA40FF" w:rsidRPr="00D41A94" w:rsidRDefault="00CA40FF" w:rsidP="00CA40FF">
      <w:pPr>
        <w:pStyle w:val="FootnoteText"/>
      </w:pPr>
      <w:r>
        <w:rPr>
          <w:rStyle w:val="FootnoteReference"/>
        </w:rPr>
        <w:footnoteRef/>
      </w:r>
      <w:r>
        <w:t xml:space="preserve"> </w:t>
      </w:r>
      <w:r w:rsidR="00935B74" w:rsidRPr="009C58EB">
        <w:rPr>
          <w:i/>
          <w:iCs/>
        </w:rPr>
        <w:t xml:space="preserve">Making Queensland Safer </w:t>
      </w:r>
      <w:r w:rsidR="009C58EB" w:rsidRPr="009C58EB">
        <w:rPr>
          <w:i/>
          <w:iCs/>
        </w:rPr>
        <w:t>Act 2024 (Qld)</w:t>
      </w:r>
      <w:r w:rsidR="00C07CAE">
        <w:t xml:space="preserve"> s19.</w:t>
      </w:r>
    </w:p>
  </w:footnote>
  <w:footnote w:id="13">
    <w:p w14:paraId="2A645949" w14:textId="23CF55B1" w:rsidR="00CD0CCD" w:rsidRPr="00F95BA9" w:rsidRDefault="00CD0CCD" w:rsidP="00CD0CCD">
      <w:pPr>
        <w:pStyle w:val="FootnoteText"/>
        <w:rPr>
          <w:lang w:val="en-GB"/>
        </w:rPr>
      </w:pPr>
      <w:r>
        <w:rPr>
          <w:rStyle w:val="FootnoteReference"/>
        </w:rPr>
        <w:footnoteRef/>
      </w:r>
      <w:r>
        <w:t xml:space="preserve"> </w:t>
      </w:r>
      <w:r w:rsidR="00FF63A9" w:rsidRPr="00FF63A9">
        <w:rPr>
          <w:i/>
          <w:iCs/>
          <w:lang w:val="en-GB"/>
        </w:rPr>
        <w:t>Making Queensland Safer Act 2024 (Qld)</w:t>
      </w:r>
      <w:r w:rsidR="00B44510">
        <w:rPr>
          <w:lang w:val="en-GB"/>
        </w:rPr>
        <w:t>, s15, 24, 37</w:t>
      </w:r>
      <w:r w:rsidR="00FF63A9">
        <w:rPr>
          <w:lang w:val="en-GB"/>
        </w:rPr>
        <w:t>.</w:t>
      </w:r>
    </w:p>
  </w:footnote>
  <w:footnote w:id="14">
    <w:p w14:paraId="66C22221" w14:textId="1C381E76" w:rsidR="00CD0CCD" w:rsidRPr="000D6349" w:rsidRDefault="00CD0CCD" w:rsidP="00CD0CCD">
      <w:pPr>
        <w:pStyle w:val="FootnoteText"/>
        <w:rPr>
          <w:lang w:val="en-GB"/>
        </w:rPr>
      </w:pPr>
      <w:r>
        <w:rPr>
          <w:rStyle w:val="FootnoteReference"/>
        </w:rPr>
        <w:footnoteRef/>
      </w:r>
      <w:r>
        <w:t xml:space="preserve"> </w:t>
      </w:r>
      <w:r w:rsidR="00FF63A9" w:rsidRPr="00FF63A9">
        <w:rPr>
          <w:i/>
          <w:iCs/>
          <w:lang w:val="en-GB"/>
        </w:rPr>
        <w:t>Making Queensland Safer Act 2024 (Qld)</w:t>
      </w:r>
      <w:r w:rsidR="00FF63A9">
        <w:rPr>
          <w:i/>
          <w:iCs/>
          <w:lang w:val="en-GB"/>
        </w:rPr>
        <w:t xml:space="preserve"> </w:t>
      </w:r>
      <w:r>
        <w:rPr>
          <w:lang w:val="en-GB"/>
        </w:rPr>
        <w:t>s15</w:t>
      </w:r>
      <w:r w:rsidR="00FF63A9">
        <w:rPr>
          <w:lang w:val="en-GB"/>
        </w:rPr>
        <w:t>.</w:t>
      </w:r>
    </w:p>
  </w:footnote>
  <w:footnote w:id="15">
    <w:p w14:paraId="6BB934E0" w14:textId="7CF5B90E" w:rsidR="00545A77" w:rsidRPr="00545A77" w:rsidRDefault="00545A77">
      <w:pPr>
        <w:pStyle w:val="FootnoteText"/>
        <w:rPr>
          <w:lang w:val="en-GB"/>
        </w:rPr>
      </w:pPr>
      <w:r>
        <w:rPr>
          <w:rStyle w:val="FootnoteReference"/>
        </w:rPr>
        <w:footnoteRef/>
      </w:r>
      <w:r>
        <w:t xml:space="preserve"> </w:t>
      </w:r>
      <w:r w:rsidR="005F6DB3">
        <w:t xml:space="preserve">Explanatory notes, </w:t>
      </w:r>
      <w:r w:rsidR="00F44984" w:rsidRPr="00F44984">
        <w:t>Making Queensland Safer (Adult Crime, Adult Time) Amendment Bill 2025</w:t>
      </w:r>
      <w:r w:rsidR="00F44984">
        <w:t xml:space="preserve">, 2. </w:t>
      </w:r>
    </w:p>
  </w:footnote>
  <w:footnote w:id="16">
    <w:p w14:paraId="2BD1ED49" w14:textId="43AB60BA" w:rsidR="00545A77" w:rsidRPr="00545A77" w:rsidRDefault="00545A77">
      <w:pPr>
        <w:pStyle w:val="FootnoteText"/>
        <w:rPr>
          <w:lang w:val="en-GB"/>
        </w:rPr>
      </w:pPr>
      <w:r>
        <w:rPr>
          <w:rStyle w:val="FootnoteReference"/>
        </w:rPr>
        <w:footnoteRef/>
      </w:r>
      <w:r>
        <w:t xml:space="preserve"> </w:t>
      </w:r>
      <w:r w:rsidR="00F44984">
        <w:t xml:space="preserve">Explanatory notes, </w:t>
      </w:r>
      <w:r w:rsidR="00F44984" w:rsidRPr="00F44984">
        <w:t>Making Queensland Safer (Adult Crime, Adult Time) Amendment Bill 2025</w:t>
      </w:r>
      <w:r w:rsidR="00F44984">
        <w:t>, 3.</w:t>
      </w:r>
    </w:p>
  </w:footnote>
  <w:footnote w:id="17">
    <w:p w14:paraId="0F7C6A49" w14:textId="657DF58B" w:rsidR="001261D3" w:rsidRPr="001261D3" w:rsidRDefault="001261D3">
      <w:pPr>
        <w:pStyle w:val="FootnoteText"/>
        <w:rPr>
          <w:lang w:val="en-GB"/>
        </w:rPr>
      </w:pPr>
      <w:r>
        <w:rPr>
          <w:rStyle w:val="FootnoteReference"/>
        </w:rPr>
        <w:footnoteRef/>
      </w:r>
      <w:r>
        <w:t xml:space="preserve"> </w:t>
      </w:r>
      <w:r w:rsidRPr="00F44984">
        <w:rPr>
          <w:i/>
          <w:iCs/>
          <w:lang w:val="en-GB"/>
        </w:rPr>
        <w:t xml:space="preserve">Youth Justice Act </w:t>
      </w:r>
      <w:r w:rsidR="00F44984" w:rsidRPr="00F44984">
        <w:rPr>
          <w:i/>
          <w:iCs/>
          <w:lang w:val="en-GB"/>
        </w:rPr>
        <w:t xml:space="preserve">1992 </w:t>
      </w:r>
      <w:r w:rsidRPr="00F44984">
        <w:rPr>
          <w:i/>
          <w:iCs/>
          <w:lang w:val="en-GB"/>
        </w:rPr>
        <w:t>(Qld)</w:t>
      </w:r>
      <w:r>
        <w:rPr>
          <w:lang w:val="en-GB"/>
        </w:rPr>
        <w:t xml:space="preserve"> s227. </w:t>
      </w:r>
    </w:p>
  </w:footnote>
  <w:footnote w:id="18">
    <w:p w14:paraId="7CEA1AE0" w14:textId="01BE0C74" w:rsidR="00584556" w:rsidRPr="00584556" w:rsidRDefault="00584556">
      <w:pPr>
        <w:pStyle w:val="FootnoteText"/>
        <w:rPr>
          <w:lang w:val="en-GB"/>
        </w:rPr>
      </w:pPr>
      <w:r>
        <w:rPr>
          <w:rStyle w:val="FootnoteReference"/>
        </w:rPr>
        <w:footnoteRef/>
      </w:r>
      <w:r>
        <w:t xml:space="preserve"> </w:t>
      </w:r>
      <w:r>
        <w:rPr>
          <w:lang w:val="en-GB"/>
        </w:rPr>
        <w:t>Statement of Compatibility</w:t>
      </w:r>
      <w:r w:rsidR="00F44984">
        <w:rPr>
          <w:lang w:val="en-GB"/>
        </w:rPr>
        <w:t xml:space="preserve">, </w:t>
      </w:r>
      <w:r w:rsidR="00F44984" w:rsidRPr="00F44984">
        <w:t>Making Queensland Safer (Adult Crime, Adult Time) Amendment Bill 2025</w:t>
      </w:r>
      <w:r w:rsidR="00B070A3">
        <w:t>, 3,4.</w:t>
      </w:r>
    </w:p>
  </w:footnote>
  <w:footnote w:id="19">
    <w:p w14:paraId="3DF08887" w14:textId="6BE08B37" w:rsidR="00BF5CC9" w:rsidRPr="007553F9" w:rsidRDefault="00BF5CC9" w:rsidP="00BF5CC9">
      <w:pPr>
        <w:pStyle w:val="FootnoteText"/>
        <w:rPr>
          <w:lang w:val="en-GB"/>
        </w:rPr>
      </w:pPr>
      <w:r>
        <w:rPr>
          <w:rStyle w:val="FootnoteReference"/>
        </w:rPr>
        <w:footnoteRef/>
      </w:r>
      <w:r>
        <w:t xml:space="preserve"> </w:t>
      </w:r>
      <w:r w:rsidR="00F44984" w:rsidRPr="00F44984">
        <w:rPr>
          <w:lang w:val="en-GB"/>
        </w:rPr>
        <w:t xml:space="preserve">Statement of Compatibility, </w:t>
      </w:r>
      <w:r w:rsidR="00F44984" w:rsidRPr="00F44984">
        <w:t>Making Queensland Safer (Adult Crime, Adult Time) Amendment Bill 2025</w:t>
      </w:r>
      <w:r w:rsidR="00F44984">
        <w:t>, 4.</w:t>
      </w:r>
    </w:p>
  </w:footnote>
  <w:footnote w:id="20">
    <w:p w14:paraId="58F66F82" w14:textId="77777777" w:rsidR="000209DB" w:rsidRPr="00313446" w:rsidRDefault="000209DB" w:rsidP="000209DB">
      <w:pPr>
        <w:pStyle w:val="FootnoteText"/>
        <w:rPr>
          <w:lang w:val="en-US"/>
        </w:rPr>
      </w:pPr>
      <w:r>
        <w:rPr>
          <w:rStyle w:val="FootnoteReference"/>
        </w:rPr>
        <w:footnoteRef/>
      </w:r>
      <w:r>
        <w:t xml:space="preserve"> </w:t>
      </w:r>
      <w:r>
        <w:rPr>
          <w:i/>
          <w:iCs/>
        </w:rPr>
        <w:t>Human Rights Act 2019</w:t>
      </w:r>
      <w:r>
        <w:t xml:space="preserve"> (Qld) s 43(4).</w:t>
      </w:r>
    </w:p>
  </w:footnote>
  <w:footnote w:id="21">
    <w:p w14:paraId="5E028579" w14:textId="7EDF85DE" w:rsidR="008F2927" w:rsidRDefault="008F2927" w:rsidP="008F2927">
      <w:pPr>
        <w:pStyle w:val="FootnoteText"/>
      </w:pPr>
      <w:r>
        <w:rPr>
          <w:rStyle w:val="FootnoteReference"/>
        </w:rPr>
        <w:footnoteRef/>
      </w:r>
      <w:r>
        <w:t xml:space="preserve"> </w:t>
      </w:r>
      <w:r w:rsidR="0075114C">
        <w:t xml:space="preserve">This is the child offender rate by </w:t>
      </w:r>
      <w:r w:rsidR="00561CA1">
        <w:t>principle 2008-09 to 2023-24</w:t>
      </w:r>
      <w:r w:rsidR="00A50D99">
        <w:t>.</w:t>
      </w:r>
      <w:r w:rsidR="00561CA1">
        <w:t xml:space="preserve"> </w:t>
      </w:r>
      <w:r w:rsidR="00A50D99" w:rsidRPr="00A50D99">
        <w:t xml:space="preserve">Drawn from Australian Bureau of Statistics, </w:t>
      </w:r>
      <w:proofErr w:type="gramStart"/>
      <w:r w:rsidR="00A50D99" w:rsidRPr="00A50D99">
        <w:rPr>
          <w:i/>
          <w:iCs/>
        </w:rPr>
        <w:t>Recorded</w:t>
      </w:r>
      <w:proofErr w:type="gramEnd"/>
      <w:r w:rsidR="00A50D99" w:rsidRPr="00A50D99">
        <w:rPr>
          <w:i/>
          <w:iCs/>
        </w:rPr>
        <w:t xml:space="preserve"> crime – offenders 2023-24 financial year </w:t>
      </w:r>
      <w:r w:rsidR="00A50D99" w:rsidRPr="00A50D99">
        <w:t>(Catalogue 4519.0, 6 March 2025) Youth offenders: Table 20: Youth offenders, Principal offence, States and territories, 2008–09 to 2023–24.</w:t>
      </w:r>
    </w:p>
  </w:footnote>
  <w:footnote w:id="22">
    <w:p w14:paraId="05134667" w14:textId="542C8C5F" w:rsidR="00D3090C" w:rsidRPr="009908BA" w:rsidRDefault="00D3090C" w:rsidP="00D3090C">
      <w:pPr>
        <w:pStyle w:val="FootnoteText"/>
        <w:rPr>
          <w:lang w:val="en-GB"/>
        </w:rPr>
      </w:pPr>
      <w:r>
        <w:rPr>
          <w:rStyle w:val="FootnoteReference"/>
        </w:rPr>
        <w:footnoteRef/>
      </w:r>
      <w:r>
        <w:t xml:space="preserve"> </w:t>
      </w:r>
      <w:r w:rsidR="00F44984">
        <w:t xml:space="preserve">Australian Bureau of Statistics, </w:t>
      </w:r>
      <w:proofErr w:type="gramStart"/>
      <w:r w:rsidR="00F44984">
        <w:rPr>
          <w:i/>
          <w:iCs/>
        </w:rPr>
        <w:t>Recorded</w:t>
      </w:r>
      <w:proofErr w:type="gramEnd"/>
      <w:r w:rsidR="00F44984">
        <w:rPr>
          <w:i/>
          <w:iCs/>
        </w:rPr>
        <w:t xml:space="preserve"> crime – offenders 2023-24 financial year </w:t>
      </w:r>
      <w:r w:rsidR="00F44984">
        <w:t>(Catalogue</w:t>
      </w:r>
      <w:r w:rsidR="00F44984" w:rsidRPr="00756010">
        <w:t xml:space="preserve"> 4519.0</w:t>
      </w:r>
      <w:r w:rsidR="00F44984">
        <w:t>, 6 March 2025).</w:t>
      </w:r>
    </w:p>
  </w:footnote>
  <w:footnote w:id="23">
    <w:p w14:paraId="362CF071" w14:textId="52CEB51B" w:rsidR="00CA6CCA" w:rsidRPr="00CA6CCA" w:rsidRDefault="00CA6CCA">
      <w:pPr>
        <w:pStyle w:val="FootnoteText"/>
        <w:rPr>
          <w:lang w:val="en-GB"/>
        </w:rPr>
      </w:pPr>
      <w:r>
        <w:rPr>
          <w:rStyle w:val="FootnoteReference"/>
        </w:rPr>
        <w:footnoteRef/>
      </w:r>
      <w:r>
        <w:t xml:space="preserve"> </w:t>
      </w:r>
      <w:r w:rsidR="001129B2" w:rsidRPr="001129B2">
        <w:t>There were 10,544 offenders aged between 10 and 17 years in Queensland in 2023–24, a decrease of 3% (334 offenders) from 2022–23. </w:t>
      </w:r>
      <w:r w:rsidR="00A17D80" w:rsidRPr="00A17D80">
        <w:t>Accounting for population change, the youth offender rate decreased from 1,925 offenders in 2022–23 to 1,828 offenders per 100,000 persons aged between 10 and 17 years in 2023–24</w:t>
      </w:r>
      <w:r w:rsidR="007853E9">
        <w:t xml:space="preserve">. See: </w:t>
      </w:r>
      <w:r w:rsidR="00F44984">
        <w:t xml:space="preserve">Australian Bureau of Statistics, </w:t>
      </w:r>
      <w:proofErr w:type="gramStart"/>
      <w:r w:rsidR="00F44984">
        <w:rPr>
          <w:i/>
          <w:iCs/>
        </w:rPr>
        <w:t>Recorded</w:t>
      </w:r>
      <w:proofErr w:type="gramEnd"/>
      <w:r w:rsidR="00F44984">
        <w:rPr>
          <w:i/>
          <w:iCs/>
        </w:rPr>
        <w:t xml:space="preserve"> crime – offenders 2023-24 financial year </w:t>
      </w:r>
      <w:r w:rsidR="00F44984">
        <w:t>(Catalogue</w:t>
      </w:r>
      <w:r w:rsidR="00F44984" w:rsidRPr="00756010">
        <w:t xml:space="preserve"> 4519.0</w:t>
      </w:r>
      <w:r w:rsidR="00F44984">
        <w:t>, 6 March 2025).</w:t>
      </w:r>
    </w:p>
  </w:footnote>
  <w:footnote w:id="24">
    <w:p w14:paraId="37CEE2BB" w14:textId="240B481C" w:rsidR="000D3B64" w:rsidRPr="00CD43CA" w:rsidRDefault="000D3B64">
      <w:pPr>
        <w:pStyle w:val="FootnoteText"/>
        <w:rPr>
          <w:lang w:val="en-GB"/>
        </w:rPr>
      </w:pPr>
      <w:r>
        <w:rPr>
          <w:rStyle w:val="FootnoteReference"/>
        </w:rPr>
        <w:footnoteRef/>
      </w:r>
      <w:r>
        <w:t xml:space="preserve"> </w:t>
      </w:r>
      <w:r w:rsidR="00333497" w:rsidRPr="00333497">
        <w:t xml:space="preserve">Drawn from Australian Bureau of Statistics, </w:t>
      </w:r>
      <w:proofErr w:type="gramStart"/>
      <w:r w:rsidR="00333497" w:rsidRPr="00333497">
        <w:rPr>
          <w:i/>
          <w:iCs/>
        </w:rPr>
        <w:t>Recorded</w:t>
      </w:r>
      <w:proofErr w:type="gramEnd"/>
      <w:r w:rsidR="00333497" w:rsidRPr="00333497">
        <w:rPr>
          <w:i/>
          <w:iCs/>
        </w:rPr>
        <w:t xml:space="preserve"> crime – offenders 2023-24 financial year </w:t>
      </w:r>
      <w:r w:rsidR="00333497" w:rsidRPr="00333497">
        <w:t>(Catalogue 4519.0, 6 March 2025) Youth offenders: Table 20: Youth offenders, Principal offence, States and territories, 2008–09 to 2023–24.</w:t>
      </w:r>
    </w:p>
  </w:footnote>
  <w:footnote w:id="25">
    <w:p w14:paraId="3131BCAE" w14:textId="262D195E" w:rsidR="00E10B71" w:rsidRPr="002740C9" w:rsidRDefault="00E10B71" w:rsidP="00E10B71">
      <w:pPr>
        <w:pStyle w:val="FootnoteText"/>
        <w:rPr>
          <w:lang w:val="en-GB"/>
        </w:rPr>
      </w:pPr>
      <w:r>
        <w:rPr>
          <w:rStyle w:val="FootnoteReference"/>
        </w:rPr>
        <w:footnoteRef/>
      </w:r>
      <w:r>
        <w:t xml:space="preserve"> </w:t>
      </w:r>
      <w:r w:rsidRPr="00FD23F0">
        <w:t xml:space="preserve">Queensland Government Statistician’s Office, </w:t>
      </w:r>
      <w:r w:rsidRPr="009458A5">
        <w:rPr>
          <w:i/>
          <w:iCs/>
        </w:rPr>
        <w:t>Crime report, Queensland, 2023–24</w:t>
      </w:r>
      <w:r w:rsidRPr="00FD23F0">
        <w:t xml:space="preserve"> (Queensland Treasury, 2025)</w:t>
      </w:r>
      <w:r w:rsidR="0009106D">
        <w:t xml:space="preserve"> 47.</w:t>
      </w:r>
    </w:p>
  </w:footnote>
  <w:footnote w:id="26">
    <w:p w14:paraId="764F9A13" w14:textId="4B389361" w:rsidR="00FA6F3B" w:rsidRPr="00FA6F3B" w:rsidRDefault="00FA6F3B">
      <w:pPr>
        <w:pStyle w:val="FootnoteText"/>
        <w:rPr>
          <w:lang w:val="en-GB"/>
        </w:rPr>
      </w:pPr>
      <w:r>
        <w:rPr>
          <w:rStyle w:val="FootnoteReference"/>
        </w:rPr>
        <w:footnoteRef/>
      </w:r>
      <w:r>
        <w:t xml:space="preserve"> </w:t>
      </w:r>
      <w:r w:rsidR="0009106D" w:rsidRPr="00FD23F0">
        <w:t xml:space="preserve">Queensland Government Statistician’s Office, </w:t>
      </w:r>
      <w:r w:rsidR="0009106D" w:rsidRPr="009458A5">
        <w:rPr>
          <w:i/>
          <w:iCs/>
        </w:rPr>
        <w:t>Crime report, Queensland, 2023–24</w:t>
      </w:r>
      <w:r w:rsidR="0009106D" w:rsidRPr="00FD23F0">
        <w:t xml:space="preserve"> (Queensland Treasury, 2025)</w:t>
      </w:r>
      <w:r w:rsidR="0009106D">
        <w:rPr>
          <w:lang w:val="en-GB"/>
        </w:rPr>
        <w:t xml:space="preserve"> 47.</w:t>
      </w:r>
    </w:p>
  </w:footnote>
  <w:footnote w:id="27">
    <w:p w14:paraId="41E398F4" w14:textId="77777777" w:rsidR="000209DB" w:rsidRPr="00A868EA" w:rsidRDefault="000209DB" w:rsidP="000209DB">
      <w:pPr>
        <w:pStyle w:val="FootnoteText"/>
        <w:rPr>
          <w:lang w:val="en-US"/>
        </w:rPr>
      </w:pPr>
      <w:r>
        <w:rPr>
          <w:rStyle w:val="FootnoteReference"/>
        </w:rPr>
        <w:footnoteRef/>
      </w:r>
      <w:r>
        <w:t xml:space="preserve"> </w:t>
      </w:r>
      <w:r w:rsidR="0076390D">
        <w:t xml:space="preserve">Australian Bureau of Statistics, </w:t>
      </w:r>
      <w:proofErr w:type="gramStart"/>
      <w:r w:rsidR="0076390D">
        <w:rPr>
          <w:i/>
          <w:iCs/>
        </w:rPr>
        <w:t>Recorded</w:t>
      </w:r>
      <w:proofErr w:type="gramEnd"/>
      <w:r w:rsidR="0076390D">
        <w:rPr>
          <w:i/>
          <w:iCs/>
        </w:rPr>
        <w:t xml:space="preserve"> crime – offenders 2023-24 financial year </w:t>
      </w:r>
      <w:r w:rsidR="0076390D">
        <w:t>(Catalogue</w:t>
      </w:r>
      <w:r w:rsidR="0076390D" w:rsidRPr="00756010">
        <w:t xml:space="preserve"> 4519.0</w:t>
      </w:r>
      <w:r w:rsidR="0076390D">
        <w:t>, 6 March 2025).</w:t>
      </w:r>
    </w:p>
  </w:footnote>
  <w:footnote w:id="28">
    <w:p w14:paraId="536FAEC4" w14:textId="77777777" w:rsidR="001D0B37" w:rsidRPr="001D0B37" w:rsidRDefault="001D0B37" w:rsidP="001D0B37">
      <w:pPr>
        <w:pStyle w:val="FootnoteText"/>
        <w:rPr>
          <w:lang w:val="en-GB"/>
        </w:rPr>
      </w:pPr>
      <w:r>
        <w:rPr>
          <w:rStyle w:val="FootnoteReference"/>
        </w:rPr>
        <w:footnoteRef/>
      </w:r>
      <w:r>
        <w:t xml:space="preserve"> </w:t>
      </w:r>
      <w:r w:rsidR="0076390D">
        <w:t xml:space="preserve">Australian Bureau of Statistics, </w:t>
      </w:r>
      <w:proofErr w:type="gramStart"/>
      <w:r w:rsidR="0076390D">
        <w:rPr>
          <w:i/>
          <w:iCs/>
        </w:rPr>
        <w:t>Recorded</w:t>
      </w:r>
      <w:proofErr w:type="gramEnd"/>
      <w:r w:rsidR="0076390D">
        <w:rPr>
          <w:i/>
          <w:iCs/>
        </w:rPr>
        <w:t xml:space="preserve"> crime – offenders 2023-24 financial year </w:t>
      </w:r>
      <w:r w:rsidR="0076390D">
        <w:t>(Catalogue</w:t>
      </w:r>
      <w:r w:rsidR="0076390D" w:rsidRPr="00756010">
        <w:t xml:space="preserve"> 4519.0</w:t>
      </w:r>
      <w:r w:rsidR="0076390D">
        <w:t>, 6 March 2025).</w:t>
      </w:r>
    </w:p>
  </w:footnote>
  <w:footnote w:id="29">
    <w:p w14:paraId="7E908524" w14:textId="77777777" w:rsidR="00933295" w:rsidRPr="00933295" w:rsidRDefault="00933295">
      <w:pPr>
        <w:pStyle w:val="FootnoteText"/>
        <w:rPr>
          <w:lang w:val="en-GB"/>
        </w:rPr>
      </w:pPr>
      <w:r>
        <w:rPr>
          <w:rStyle w:val="FootnoteReference"/>
        </w:rPr>
        <w:footnoteRef/>
      </w:r>
      <w:r>
        <w:t xml:space="preserve"> </w:t>
      </w:r>
      <w:r w:rsidR="0076390D">
        <w:t xml:space="preserve">Kenji Sato, ‘Criminologists debunk claims of “youth crime crisis” as data shows dramatic declines’, </w:t>
      </w:r>
      <w:r w:rsidR="0076390D" w:rsidRPr="00D025E4">
        <w:rPr>
          <w:i/>
          <w:iCs/>
        </w:rPr>
        <w:t>ABC News</w:t>
      </w:r>
      <w:r w:rsidR="0076390D">
        <w:t xml:space="preserve"> (online, 13 October 2024) &lt;</w:t>
      </w:r>
      <w:r w:rsidR="0076390D" w:rsidRPr="009F5549">
        <w:t>https://www.abc.net.au/news/2024-10-13/criminologists-debunk-youth-crime-crisis-claims/104445432</w:t>
      </w:r>
      <w:r w:rsidR="0076390D">
        <w:t>&gt;.</w:t>
      </w:r>
    </w:p>
  </w:footnote>
  <w:footnote w:id="30">
    <w:p w14:paraId="42CD53CE" w14:textId="4AFC01E5" w:rsidR="00F16BB6" w:rsidRPr="00E53BD6" w:rsidRDefault="00F16BB6" w:rsidP="00F16BB6">
      <w:pPr>
        <w:pStyle w:val="FootnoteText"/>
        <w:rPr>
          <w:lang w:val="en-GB"/>
        </w:rPr>
      </w:pPr>
      <w:r>
        <w:rPr>
          <w:rStyle w:val="FootnoteReference"/>
        </w:rPr>
        <w:footnoteRef/>
      </w:r>
      <w:r>
        <w:t xml:space="preserve"> </w:t>
      </w:r>
      <w:r w:rsidR="003F0F03">
        <w:t>Queensland Government, ‘</w:t>
      </w:r>
      <w:r w:rsidR="002A54A8" w:rsidRPr="002A54A8">
        <w:t>YOUTH CRIME BOMBSHELL: Decade of Youth Crime Crisis laid bare</w:t>
      </w:r>
      <w:r w:rsidR="003F0F03">
        <w:t xml:space="preserve">’ (Media statement, </w:t>
      </w:r>
      <w:r w:rsidR="002A54A8">
        <w:t>02 April</w:t>
      </w:r>
      <w:r w:rsidR="003F0F03">
        <w:t xml:space="preserve"> 2025).</w:t>
      </w:r>
    </w:p>
  </w:footnote>
  <w:footnote w:id="31">
    <w:p w14:paraId="5F2F8B4A" w14:textId="1C14BC73" w:rsidR="00B21F79" w:rsidRPr="00CD43CA" w:rsidRDefault="00B21F79">
      <w:pPr>
        <w:pStyle w:val="FootnoteText"/>
        <w:rPr>
          <w:lang w:val="en-US"/>
        </w:rPr>
      </w:pPr>
      <w:r>
        <w:rPr>
          <w:rStyle w:val="FootnoteReference"/>
        </w:rPr>
        <w:footnoteRef/>
      </w:r>
      <w:r>
        <w:t xml:space="preserve"> </w:t>
      </w:r>
      <w:r w:rsidR="00640CFF">
        <w:t xml:space="preserve">Drawn from </w:t>
      </w:r>
      <w:r w:rsidR="001D7BD8">
        <w:t xml:space="preserve">Australian Bureau of Statistics, </w:t>
      </w:r>
      <w:proofErr w:type="gramStart"/>
      <w:r w:rsidR="001D7BD8">
        <w:rPr>
          <w:i/>
          <w:iCs/>
        </w:rPr>
        <w:t>Recorded</w:t>
      </w:r>
      <w:proofErr w:type="gramEnd"/>
      <w:r w:rsidR="001D7BD8">
        <w:rPr>
          <w:i/>
          <w:iCs/>
        </w:rPr>
        <w:t xml:space="preserve"> crime – offenders 2023-24 financial year </w:t>
      </w:r>
      <w:r w:rsidR="001D7BD8">
        <w:t>(Catalogue</w:t>
      </w:r>
      <w:r w:rsidR="001D7BD8" w:rsidRPr="00756010">
        <w:t xml:space="preserve"> 4519.0</w:t>
      </w:r>
      <w:r w:rsidR="001D7BD8">
        <w:t xml:space="preserve">, 6 March 2025) </w:t>
      </w:r>
      <w:r w:rsidR="00E00750">
        <w:t xml:space="preserve">Youth offenders: Table 20: </w:t>
      </w:r>
      <w:r w:rsidR="00E00750" w:rsidRPr="00E00750">
        <w:t>Youth offenders, Principal offence, States and territories, 2008–09 to 2023–24</w:t>
      </w:r>
      <w:r w:rsidR="00E00750">
        <w:t>.</w:t>
      </w:r>
    </w:p>
  </w:footnote>
  <w:footnote w:id="32">
    <w:p w14:paraId="61FE7BA5" w14:textId="7F5008EF" w:rsidR="00B21F79" w:rsidRPr="00CD43CA" w:rsidRDefault="00B21F79">
      <w:pPr>
        <w:pStyle w:val="FootnoteText"/>
        <w:rPr>
          <w:lang w:val="en-GB"/>
        </w:rPr>
      </w:pPr>
      <w:r>
        <w:rPr>
          <w:rStyle w:val="FootnoteReference"/>
        </w:rPr>
        <w:footnoteRef/>
      </w:r>
      <w:r>
        <w:t xml:space="preserve"> </w:t>
      </w:r>
      <w:r w:rsidR="00333497" w:rsidRPr="00333497">
        <w:t xml:space="preserve">Drawn from Australian Bureau of Statistics, </w:t>
      </w:r>
      <w:proofErr w:type="gramStart"/>
      <w:r w:rsidR="00333497" w:rsidRPr="00333497">
        <w:rPr>
          <w:i/>
          <w:iCs/>
        </w:rPr>
        <w:t>Recorded</w:t>
      </w:r>
      <w:proofErr w:type="gramEnd"/>
      <w:r w:rsidR="00333497" w:rsidRPr="00333497">
        <w:rPr>
          <w:i/>
          <w:iCs/>
        </w:rPr>
        <w:t xml:space="preserve"> crime – offenders 2023-24 financial year </w:t>
      </w:r>
      <w:r w:rsidR="00333497" w:rsidRPr="00333497">
        <w:t>(Catalogue 4519.0, 6 March 2025) Youth offenders: Table 20: Youth offenders, Principal offence, States and territories, 2008–09 to 2023–24.</w:t>
      </w:r>
    </w:p>
  </w:footnote>
  <w:footnote w:id="33">
    <w:p w14:paraId="31D95974" w14:textId="4DDC8460" w:rsidR="004D0762" w:rsidRPr="00CD43CA" w:rsidRDefault="004D0762">
      <w:pPr>
        <w:pStyle w:val="FootnoteText"/>
        <w:rPr>
          <w:lang w:val="en-GB"/>
        </w:rPr>
      </w:pPr>
      <w:r>
        <w:rPr>
          <w:rStyle w:val="FootnoteReference"/>
        </w:rPr>
        <w:footnoteRef/>
      </w:r>
      <w:r>
        <w:t xml:space="preserve"> </w:t>
      </w:r>
      <w:r w:rsidR="00333497" w:rsidRPr="00333497">
        <w:t xml:space="preserve">Drawn from Australian Bureau of Statistics, </w:t>
      </w:r>
      <w:proofErr w:type="gramStart"/>
      <w:r w:rsidR="00333497" w:rsidRPr="00333497">
        <w:rPr>
          <w:i/>
          <w:iCs/>
        </w:rPr>
        <w:t>Recorded</w:t>
      </w:r>
      <w:proofErr w:type="gramEnd"/>
      <w:r w:rsidR="00333497" w:rsidRPr="00333497">
        <w:rPr>
          <w:i/>
          <w:iCs/>
        </w:rPr>
        <w:t xml:space="preserve"> crime – offenders 2023-24 financial year </w:t>
      </w:r>
      <w:r w:rsidR="00333497" w:rsidRPr="00333497">
        <w:t>(Catalogue 4519.0, 6 March 2025) Youth offenders: Table 20: Youth offenders, Principal offence, States and territories, 2008–09 to 2023–24.</w:t>
      </w:r>
    </w:p>
  </w:footnote>
  <w:footnote w:id="34">
    <w:p w14:paraId="07598982" w14:textId="411E78D8" w:rsidR="00524462" w:rsidRPr="00524462" w:rsidRDefault="00524462">
      <w:pPr>
        <w:pStyle w:val="FootnoteText"/>
        <w:rPr>
          <w:lang w:val="en-GB"/>
        </w:rPr>
      </w:pPr>
      <w:r>
        <w:rPr>
          <w:rStyle w:val="FootnoteReference"/>
        </w:rPr>
        <w:footnoteRef/>
      </w:r>
      <w:r>
        <w:t xml:space="preserve"> </w:t>
      </w:r>
      <w:r w:rsidRPr="00524462">
        <w:t xml:space="preserve">Kenji Sato, ‘Criminologists debunk claims of “youth crime crisis” as data shows dramatic declines’, </w:t>
      </w:r>
      <w:r w:rsidRPr="00524462">
        <w:rPr>
          <w:i/>
          <w:iCs/>
        </w:rPr>
        <w:t>ABC News</w:t>
      </w:r>
      <w:r w:rsidRPr="00524462">
        <w:t xml:space="preserve"> (online, 13 October 2024) &lt;https://www.abc.net.au/news/2024-10-13/criminologists-debunk-youth-crime-crisis-claims/104445432&gt;.</w:t>
      </w:r>
    </w:p>
  </w:footnote>
  <w:footnote w:id="35">
    <w:p w14:paraId="6B12097E" w14:textId="4F2A8CAB" w:rsidR="00CF6E07" w:rsidRPr="00A45E53" w:rsidRDefault="00CF6E07" w:rsidP="00CF6E07">
      <w:pPr>
        <w:pStyle w:val="FootnoteText"/>
        <w:rPr>
          <w:lang w:val="en-GB"/>
        </w:rPr>
      </w:pPr>
      <w:r>
        <w:rPr>
          <w:rStyle w:val="FootnoteReference"/>
        </w:rPr>
        <w:footnoteRef/>
      </w:r>
      <w:r>
        <w:t xml:space="preserve"> </w:t>
      </w:r>
      <w:r w:rsidR="00BC7BAA" w:rsidRPr="00F44984">
        <w:rPr>
          <w:lang w:val="en-GB"/>
        </w:rPr>
        <w:t xml:space="preserve">Statement of Compatibility, </w:t>
      </w:r>
      <w:r w:rsidR="00BC7BAA" w:rsidRPr="00F44984">
        <w:t>Making Queensland Safer (Adult Crime, Adult Time) Amendment Bill 2025</w:t>
      </w:r>
      <w:r w:rsidR="00BC7BAA">
        <w:t xml:space="preserve">, </w:t>
      </w:r>
      <w:r w:rsidR="0077291F">
        <w:t>1</w:t>
      </w:r>
      <w:r w:rsidR="00BC7BAA">
        <w:t>.</w:t>
      </w:r>
    </w:p>
  </w:footnote>
  <w:footnote w:id="36">
    <w:p w14:paraId="327C5CD7" w14:textId="31BD4738" w:rsidR="00B21282" w:rsidRPr="00B21282" w:rsidRDefault="00B21282">
      <w:pPr>
        <w:pStyle w:val="FootnoteText"/>
        <w:rPr>
          <w:lang w:val="en-GB"/>
        </w:rPr>
      </w:pPr>
      <w:r>
        <w:rPr>
          <w:rStyle w:val="FootnoteReference"/>
        </w:rPr>
        <w:footnoteRef/>
      </w:r>
      <w:r>
        <w:t xml:space="preserve"> </w:t>
      </w:r>
      <w:r w:rsidR="0077291F">
        <w:t>Samuel Jeffs et al, ‘Understanding of sentencing: Community knowledge of sentencing terms and outcomes’ (Research brief No.3, Queensland Sentencing Advisory Council, April 2023, 2.</w:t>
      </w:r>
    </w:p>
  </w:footnote>
  <w:footnote w:id="37">
    <w:p w14:paraId="44BBDDA8" w14:textId="4E5C158B" w:rsidR="00C42C8E" w:rsidRPr="00C42C8E" w:rsidRDefault="00C42C8E">
      <w:pPr>
        <w:pStyle w:val="FootnoteText"/>
        <w:rPr>
          <w:lang w:val="en-GB"/>
        </w:rPr>
      </w:pPr>
      <w:r>
        <w:rPr>
          <w:rStyle w:val="FootnoteReference"/>
        </w:rPr>
        <w:footnoteRef/>
      </w:r>
      <w:r>
        <w:t xml:space="preserve"> </w:t>
      </w:r>
      <w:r w:rsidRPr="00C42C8E">
        <w:t>See discussion in J Spigelman, “Sentencing guideline judgments” (1999) 73(12) </w:t>
      </w:r>
      <w:r w:rsidRPr="00C42C8E">
        <w:rPr>
          <w:i/>
          <w:iCs/>
        </w:rPr>
        <w:t>ALJ</w:t>
      </w:r>
      <w:r w:rsidRPr="00C42C8E">
        <w:t> 876; K Warner et al, “Public judgement on sentencing: final results from the Tasmania Jury Sentencing Survey”, </w:t>
      </w:r>
      <w:r w:rsidRPr="00C42C8E">
        <w:rPr>
          <w:i/>
          <w:iCs/>
        </w:rPr>
        <w:t>Trends &amp; Issues in Crime and Criminal Justice</w:t>
      </w:r>
      <w:r w:rsidRPr="00C42C8E">
        <w:t>, No 407, Australian Institute of Criminology, Canberra, 2011.</w:t>
      </w:r>
    </w:p>
  </w:footnote>
  <w:footnote w:id="38">
    <w:p w14:paraId="531630B2" w14:textId="646ADA4F" w:rsidR="00CC7634" w:rsidRPr="00CC7634" w:rsidRDefault="00CC7634">
      <w:pPr>
        <w:pStyle w:val="FootnoteText"/>
        <w:rPr>
          <w:lang w:val="en-GB"/>
        </w:rPr>
      </w:pPr>
      <w:r>
        <w:rPr>
          <w:rStyle w:val="FootnoteReference"/>
        </w:rPr>
        <w:footnoteRef/>
      </w:r>
      <w:r w:rsidR="002B60D5">
        <w:t xml:space="preserve"> Sentencing Advisory Council, ‘Public opinion about sentencing: A research overview</w:t>
      </w:r>
      <w:r w:rsidR="00412642">
        <w:t>’ (Research paper, August 2019)</w:t>
      </w:r>
      <w:r w:rsidR="001C7EEF">
        <w:t>.</w:t>
      </w:r>
      <w:r w:rsidR="001C7EEF" w:rsidRPr="00CC7634">
        <w:rPr>
          <w:lang w:val="en-GB"/>
        </w:rPr>
        <w:t xml:space="preserve"> </w:t>
      </w:r>
    </w:p>
  </w:footnote>
  <w:footnote w:id="39">
    <w:p w14:paraId="17EE9AB7" w14:textId="77777777" w:rsidR="001B3D32" w:rsidRPr="004E2B25" w:rsidRDefault="001B3D32" w:rsidP="001B3D32">
      <w:pPr>
        <w:pStyle w:val="FootnoteText"/>
        <w:rPr>
          <w:lang w:val="en-GB"/>
        </w:rPr>
      </w:pPr>
      <w:r>
        <w:rPr>
          <w:rStyle w:val="FootnoteReference"/>
        </w:rPr>
        <w:footnoteRef/>
      </w:r>
      <w:r>
        <w:t xml:space="preserve"> </w:t>
      </w:r>
      <w:r w:rsidRPr="001766CD">
        <w:t xml:space="preserve">Geraldine Mackenzie et al, 'Sentencing and public confidence: Results from a national Australian survey on public opinions towards sentencing' (2012) 45(1) </w:t>
      </w:r>
      <w:r w:rsidRPr="00DF2AB4">
        <w:rPr>
          <w:i/>
        </w:rPr>
        <w:t>Australian &amp; New Zealand Journal of Criminology</w:t>
      </w:r>
      <w:r w:rsidRPr="001766CD">
        <w:t xml:space="preserve"> 5–6</w:t>
      </w:r>
      <w:r>
        <w:t xml:space="preserve">, </w:t>
      </w:r>
      <w:r w:rsidRPr="001766CD">
        <w:t>45, 55</w:t>
      </w:r>
      <w:r>
        <w:t>.</w:t>
      </w:r>
    </w:p>
  </w:footnote>
  <w:footnote w:id="40">
    <w:p w14:paraId="4C9F79E1" w14:textId="390461C1" w:rsidR="00A6279E" w:rsidRDefault="00A6279E" w:rsidP="0005196F">
      <w:pPr>
        <w:pStyle w:val="FootnoteText"/>
      </w:pPr>
      <w:r>
        <w:rPr>
          <w:rStyle w:val="FootnoteReference"/>
        </w:rPr>
        <w:footnoteRef/>
      </w:r>
      <w:r>
        <w:t xml:space="preserve"> </w:t>
      </w:r>
      <w:r w:rsidR="0005196F" w:rsidRPr="0005196F">
        <w:t>Samuel Jeffs et al, ‘Understanding of sentencing: Community knowledge of sentencing terms and outcomes’ (Research brief No.3, Queensland Sentencing Advisory Council, April 2023, 2.</w:t>
      </w:r>
    </w:p>
  </w:footnote>
  <w:footnote w:id="41">
    <w:p w14:paraId="0E0855AA" w14:textId="77777777" w:rsidR="004D71B2" w:rsidRDefault="004D71B2" w:rsidP="004D71B2">
      <w:pPr>
        <w:pStyle w:val="FootnoteText"/>
      </w:pPr>
      <w:r>
        <w:rPr>
          <w:rStyle w:val="FootnoteReference"/>
        </w:rPr>
        <w:footnoteRef/>
      </w:r>
      <w:r>
        <w:t xml:space="preserve"> Law Council of Australia, ‘Rule of Law Principles’ (Policy Statement, March 2011) &lt;</w:t>
      </w:r>
      <w:r w:rsidRPr="00CD4C5C">
        <w:t xml:space="preserve"> https://lawcouncil.au/publicassets/046c7bd7-e1d6-e611-80d2-005056be66b1/1103-Policy-Statement-Rule-of-Law-Principles.pdf</w:t>
      </w:r>
      <w:r>
        <w:t>&gt;.</w:t>
      </w:r>
    </w:p>
  </w:footnote>
  <w:footnote w:id="42">
    <w:p w14:paraId="639F0640" w14:textId="77777777" w:rsidR="00E33A8B" w:rsidRDefault="00E33A8B" w:rsidP="00E33A8B">
      <w:pPr>
        <w:pStyle w:val="FootnoteText"/>
      </w:pPr>
      <w:r>
        <w:rPr>
          <w:rStyle w:val="FootnoteReference"/>
        </w:rPr>
        <w:footnoteRef/>
      </w:r>
      <w:r>
        <w:t xml:space="preserve"> </w:t>
      </w:r>
      <w:r w:rsidRPr="007443C5">
        <w:rPr>
          <w:i/>
          <w:iCs/>
        </w:rPr>
        <w:t>Penalties and Sentences Act 1992</w:t>
      </w:r>
      <w:r>
        <w:t xml:space="preserve"> (Qld) s9(2)(a).</w:t>
      </w:r>
    </w:p>
  </w:footnote>
  <w:footnote w:id="43">
    <w:p w14:paraId="66BFB2F1" w14:textId="77777777" w:rsidR="00E33A8B" w:rsidRDefault="00E33A8B" w:rsidP="00E33A8B">
      <w:pPr>
        <w:pStyle w:val="FootnoteText"/>
      </w:pPr>
      <w:r>
        <w:rPr>
          <w:rStyle w:val="FootnoteReference"/>
        </w:rPr>
        <w:footnoteRef/>
      </w:r>
      <w:r>
        <w:t xml:space="preserve"> </w:t>
      </w:r>
      <w:r>
        <w:rPr>
          <w:rFonts w:cs="Arial"/>
          <w:lang w:val="en-US"/>
        </w:rPr>
        <w:t xml:space="preserve">Committee on the Rights of the Child, </w:t>
      </w:r>
      <w:r>
        <w:rPr>
          <w:rFonts w:cs="Arial"/>
          <w:i/>
          <w:iCs/>
          <w:lang w:val="en-US"/>
        </w:rPr>
        <w:t>General Comment No. 24 (2019) on Children’s Rights in the Child Justice System</w:t>
      </w:r>
      <w:r>
        <w:rPr>
          <w:rFonts w:cs="Arial"/>
          <w:lang w:val="en-US"/>
        </w:rPr>
        <w:t>, UN Doc CRC/C/GC/24 (18 September 2019) [2], [6].</w:t>
      </w:r>
    </w:p>
  </w:footnote>
  <w:footnote w:id="44">
    <w:p w14:paraId="1F509FDF" w14:textId="07C0EE99" w:rsidR="008A2412" w:rsidRPr="002740C9" w:rsidRDefault="008A2412">
      <w:pPr>
        <w:pStyle w:val="FootnoteText"/>
        <w:rPr>
          <w:lang w:val="en-GB"/>
        </w:rPr>
      </w:pPr>
      <w:r>
        <w:rPr>
          <w:rStyle w:val="FootnoteReference"/>
        </w:rPr>
        <w:footnoteRef/>
      </w:r>
      <w:r>
        <w:t xml:space="preserve"> </w:t>
      </w:r>
      <w:r w:rsidR="00CF3CEB">
        <w:t>Queensland Government ‘</w:t>
      </w:r>
      <w:r w:rsidR="0071093E" w:rsidRPr="0071093E">
        <w:t>Making Queensland Safer Laws: Expert Legal Panel appointed</w:t>
      </w:r>
      <w:r w:rsidR="0071093E">
        <w:t xml:space="preserve">’ </w:t>
      </w:r>
      <w:r w:rsidR="002B4150">
        <w:t>(Media Statement, 12 February 2025</w:t>
      </w:r>
      <w:r w:rsidR="00622C3C">
        <w:t xml:space="preserve">). </w:t>
      </w:r>
    </w:p>
  </w:footnote>
  <w:footnote w:id="45">
    <w:p w14:paraId="077D5B93" w14:textId="5DC04E5B" w:rsidR="00A33F3D" w:rsidRPr="00A33F3D" w:rsidRDefault="00A33F3D">
      <w:pPr>
        <w:pStyle w:val="FootnoteText"/>
        <w:rPr>
          <w:lang w:val="en-GB"/>
        </w:rPr>
      </w:pPr>
      <w:r>
        <w:rPr>
          <w:rStyle w:val="FootnoteReference"/>
        </w:rPr>
        <w:footnoteRef/>
      </w:r>
      <w:r>
        <w:t xml:space="preserve"> </w:t>
      </w:r>
      <w:r w:rsidR="005B0E5E" w:rsidRPr="005B0E5E">
        <w:t>Victoria Sentencing Advisory Council, ‘Does imprisonment deter? A review of the evidence’ (Web report, 2011) &lt;https://www8.austlii.edu.au/cgi-bin/viewdoc/au/other/vic/VicSAC/2011/2.html#&gt;.</w:t>
      </w:r>
    </w:p>
  </w:footnote>
  <w:footnote w:id="46">
    <w:p w14:paraId="7EA2998F" w14:textId="30BA9F4A" w:rsidR="00720A76" w:rsidRPr="00720A76" w:rsidRDefault="00720A76">
      <w:pPr>
        <w:pStyle w:val="FootnoteText"/>
        <w:rPr>
          <w:lang w:val="en-GB"/>
        </w:rPr>
      </w:pPr>
      <w:r>
        <w:rPr>
          <w:rStyle w:val="FootnoteReference"/>
        </w:rPr>
        <w:footnoteRef/>
      </w:r>
      <w:r>
        <w:t xml:space="preserve"> </w:t>
      </w:r>
      <w:r w:rsidR="005B0E5E" w:rsidRPr="005B0E5E">
        <w:t>Victoria Sentencing Advisory Council, ‘Does imprisonment deter? A review of the evidence’ (Web report, 2011) &lt;https://www8.austlii.edu.au/cgi-bin/viewdoc/au/other/vic/VicSAC/2011/2.html#&gt;.</w:t>
      </w:r>
    </w:p>
  </w:footnote>
  <w:footnote w:id="47">
    <w:p w14:paraId="402E9662" w14:textId="7477AEA8" w:rsidR="00D26BA3" w:rsidRPr="005D6C0A" w:rsidRDefault="00D26BA3">
      <w:pPr>
        <w:pStyle w:val="FootnoteText"/>
        <w:rPr>
          <w:lang w:val="en-GB"/>
        </w:rPr>
      </w:pPr>
      <w:r>
        <w:rPr>
          <w:rStyle w:val="FootnoteReference"/>
        </w:rPr>
        <w:footnoteRef/>
      </w:r>
      <w:r>
        <w:t xml:space="preserve"> </w:t>
      </w:r>
      <w:r w:rsidR="00153EEE">
        <w:t xml:space="preserve">Queensland </w:t>
      </w:r>
      <w:r w:rsidR="00F20E7F">
        <w:t>Sentencing</w:t>
      </w:r>
      <w:r w:rsidR="00153EEE">
        <w:t xml:space="preserve"> Advisory Council,</w:t>
      </w:r>
      <w:r w:rsidR="00F20E7F">
        <w:t xml:space="preserve"> ‘Myth #6 Mandatory sentencing/harsher penalties would deter children from committing crime’</w:t>
      </w:r>
      <w:r w:rsidR="005D6C0A">
        <w:t xml:space="preserve">, </w:t>
      </w:r>
      <w:r w:rsidR="00153EEE" w:rsidRPr="005D6C0A">
        <w:rPr>
          <w:i/>
          <w:iCs/>
        </w:rPr>
        <w:t>Myths about sentencing children</w:t>
      </w:r>
      <w:r w:rsidR="005D6C0A">
        <w:rPr>
          <w:i/>
          <w:iCs/>
        </w:rPr>
        <w:t xml:space="preserve"> </w:t>
      </w:r>
      <w:r w:rsidR="005D6C0A">
        <w:t>(Web page, 2023</w:t>
      </w:r>
      <w:r w:rsidR="007218E7">
        <w:t>) &lt;</w:t>
      </w:r>
      <w:r w:rsidR="007218E7" w:rsidRPr="007218E7">
        <w:t>https://www.sentencingcouncil.qld.gov.au/about-sentencing/sentencing-myths/myths-about-sentencing-children</w:t>
      </w:r>
      <w:r w:rsidR="007218E7">
        <w:t>&gt;.</w:t>
      </w:r>
    </w:p>
  </w:footnote>
  <w:footnote w:id="48">
    <w:p w14:paraId="09AB8FA2" w14:textId="7A5F6546" w:rsidR="00F014C2" w:rsidRPr="00152ED6" w:rsidRDefault="00F014C2" w:rsidP="00F014C2">
      <w:pPr>
        <w:pStyle w:val="FootnoteText"/>
        <w:rPr>
          <w:lang w:val="en-GB"/>
        </w:rPr>
      </w:pPr>
      <w:r>
        <w:rPr>
          <w:rStyle w:val="FootnoteReference"/>
        </w:rPr>
        <w:footnoteRef/>
      </w:r>
      <w:r>
        <w:t xml:space="preserve"> </w:t>
      </w:r>
      <w:r w:rsidR="00B85FD8">
        <w:t xml:space="preserve">Dr Emma Antrobus, Dr Joseph </w:t>
      </w:r>
      <w:proofErr w:type="spellStart"/>
      <w:r w:rsidR="00B85FD8">
        <w:t>Lelliott</w:t>
      </w:r>
      <w:proofErr w:type="spellEnd"/>
      <w:r w:rsidR="00B85FD8">
        <w:t>, and Dr Rebecca Wallis, ‘Tackling youth crime: Why a ‘crackdown’ isn’t the answer’ (Opinion and analysis, University of Queensland) &lt;</w:t>
      </w:r>
      <w:r w:rsidR="00B85FD8" w:rsidRPr="00600073">
        <w:t>https://stories.uq.edu.au/contact-magazine/tackling-youth-crime/index.html#:~:text=Recent%20reporting%20in%20Queensland%20has,TV%20%E2%80%93%20is%20disproportionate%20to%20the</w:t>
      </w:r>
      <w:r w:rsidR="00B85FD8">
        <w:t>&gt;.</w:t>
      </w:r>
    </w:p>
  </w:footnote>
  <w:footnote w:id="49">
    <w:p w14:paraId="16E03274" w14:textId="7120DB3B" w:rsidR="00AA1F03" w:rsidRPr="00AA1F03" w:rsidRDefault="00AA1F03">
      <w:pPr>
        <w:pStyle w:val="FootnoteText"/>
        <w:rPr>
          <w:lang w:val="en-GB"/>
        </w:rPr>
      </w:pPr>
      <w:r>
        <w:rPr>
          <w:rStyle w:val="FootnoteReference"/>
        </w:rPr>
        <w:footnoteRef/>
      </w:r>
      <w:r>
        <w:t xml:space="preserve"> </w:t>
      </w:r>
      <w:r w:rsidR="00622B81" w:rsidRPr="00622B81">
        <w:t>Victoria Sentencing Advisory Council, ‘Does imprisonment deter? A review of the evidence’ (Web report, 2011) &lt;https://www8.austlii.edu.au/cgi-bin/viewdoc/au/other/vic/VicSAC/2011/2.html#&gt;.</w:t>
      </w:r>
    </w:p>
  </w:footnote>
  <w:footnote w:id="50">
    <w:p w14:paraId="5EEEC9F3" w14:textId="1AD42F6B" w:rsidR="00D817F7" w:rsidRDefault="00D817F7" w:rsidP="00D817F7">
      <w:pPr>
        <w:pStyle w:val="FootnoteText"/>
      </w:pPr>
      <w:r>
        <w:rPr>
          <w:rStyle w:val="FootnoteReference"/>
        </w:rPr>
        <w:footnoteRef/>
      </w:r>
      <w:r>
        <w:t xml:space="preserve"> </w:t>
      </w:r>
      <w:r w:rsidR="0091759D" w:rsidRPr="0091759D">
        <w:rPr>
          <w:lang w:val="en-GB"/>
        </w:rPr>
        <w:t xml:space="preserve">Queensland Family &amp; Child Commission, </w:t>
      </w:r>
      <w:r w:rsidR="0091759D" w:rsidRPr="0091759D">
        <w:rPr>
          <w:i/>
          <w:iCs/>
          <w:lang w:val="en-GB"/>
        </w:rPr>
        <w:t>Exiting youth detention</w:t>
      </w:r>
      <w:r w:rsidR="0091759D" w:rsidRPr="0091759D">
        <w:rPr>
          <w:lang w:val="en-GB"/>
        </w:rPr>
        <w:t xml:space="preserve"> (June 2024) 12; </w:t>
      </w:r>
      <w:r w:rsidR="0091759D" w:rsidRPr="0091759D">
        <w:t>Australian Institute of Health and Welfare (2023)</w:t>
      </w:r>
      <w:r w:rsidR="0091759D">
        <w:t xml:space="preserve">; </w:t>
      </w:r>
      <w:r>
        <w:rPr>
          <w:rFonts w:cs="Arial"/>
          <w:lang w:val="en-US"/>
        </w:rPr>
        <w:t xml:space="preserve">Committee on the Rights of the Child, </w:t>
      </w:r>
      <w:r>
        <w:rPr>
          <w:rFonts w:cs="Arial"/>
          <w:i/>
          <w:iCs/>
          <w:lang w:val="en-US"/>
        </w:rPr>
        <w:t>General Comment No. 24 (2019) on Children’s Rights in the Child Justice System</w:t>
      </w:r>
      <w:r>
        <w:rPr>
          <w:rFonts w:cs="Arial"/>
          <w:lang w:val="en-US"/>
        </w:rPr>
        <w:t xml:space="preserve">, UN Doc CRC/C/GC/24 (18 September 2019) [2], [22]-[23]. </w:t>
      </w:r>
      <w:r>
        <w:t xml:space="preserve">UN Human Rights Council, </w:t>
      </w:r>
      <w:r>
        <w:rPr>
          <w:i/>
        </w:rPr>
        <w:t xml:space="preserve">Report of the Special Rapporteur on the right of everyone to the enjoyment of the highest attainable standard of physical and mental </w:t>
      </w:r>
      <w:r>
        <w:rPr>
          <w:i/>
          <w:iCs/>
        </w:rPr>
        <w:t>health</w:t>
      </w:r>
      <w:r>
        <w:t xml:space="preserve">, UN Doc A/HRC/38/36 (10 April 2018) [63]-[69]. Juan E Mendez, </w:t>
      </w:r>
      <w:r>
        <w:rPr>
          <w:i/>
          <w:iCs/>
        </w:rPr>
        <w:t>Report of the Special Rapporteur on torture and other cruel, inhuman or degrading treatment or punishment</w:t>
      </w:r>
      <w:r>
        <w:t>, UN Doc A/HRC/28/68 (5 March 2015) 7 [33].</w:t>
      </w:r>
    </w:p>
  </w:footnote>
  <w:footnote w:id="51">
    <w:p w14:paraId="38797A64" w14:textId="07302E1C" w:rsidR="00884078" w:rsidRPr="00884078" w:rsidRDefault="00884078">
      <w:pPr>
        <w:pStyle w:val="FootnoteText"/>
        <w:rPr>
          <w:lang w:val="en-GB"/>
        </w:rPr>
      </w:pPr>
      <w:r>
        <w:rPr>
          <w:rStyle w:val="FootnoteReference"/>
        </w:rPr>
        <w:footnoteRef/>
      </w:r>
      <w:r>
        <w:t xml:space="preserve"> </w:t>
      </w:r>
      <w:r w:rsidR="008C0D36" w:rsidRPr="008C0D36">
        <w:rPr>
          <w:lang w:val="en-GB"/>
        </w:rPr>
        <w:t xml:space="preserve">Statement of Compatibility, </w:t>
      </w:r>
      <w:r w:rsidR="008C0D36" w:rsidRPr="008C0D36">
        <w:t xml:space="preserve">Making Queensland Safer (Adult Crime, Adult Time) Amendment Bill 2025, </w:t>
      </w:r>
      <w:r w:rsidR="006A24D1">
        <w:t>3</w:t>
      </w:r>
      <w:r w:rsidR="008C0D36" w:rsidRPr="008C0D36">
        <w:t>.</w:t>
      </w:r>
    </w:p>
  </w:footnote>
  <w:footnote w:id="52">
    <w:p w14:paraId="1EE38DF8" w14:textId="77777777" w:rsidR="00857EB1" w:rsidRDefault="00857EB1" w:rsidP="00857EB1">
      <w:pPr>
        <w:pStyle w:val="FootnoteText"/>
      </w:pPr>
      <w:r>
        <w:rPr>
          <w:rStyle w:val="FootnoteReference"/>
        </w:rPr>
        <w:footnoteRef/>
      </w:r>
      <w:r>
        <w:t xml:space="preserve"> </w:t>
      </w:r>
      <w:r w:rsidRPr="008D5C09">
        <w:t xml:space="preserve">Juan E Mendez, </w:t>
      </w:r>
      <w:r w:rsidRPr="00F015FE">
        <w:rPr>
          <w:i/>
          <w:iCs/>
        </w:rPr>
        <w:t>Report of the Special Rapporteur on torture and other cruel, inhuman or degrading treatment or punishment</w:t>
      </w:r>
      <w:r w:rsidRPr="008D5C09">
        <w:t>, UN Doc A/HRC/28/68 (5 March 2015) 7 [33].</w:t>
      </w:r>
    </w:p>
  </w:footnote>
  <w:footnote w:id="53">
    <w:p w14:paraId="59D7AA59" w14:textId="77777777" w:rsidR="0058235E" w:rsidRDefault="0058235E" w:rsidP="0058235E">
      <w:pPr>
        <w:pStyle w:val="FootnoteText"/>
        <w:rPr>
          <w:lang w:val="en-GB"/>
        </w:rPr>
      </w:pPr>
      <w:r>
        <w:rPr>
          <w:rStyle w:val="FootnoteReference"/>
        </w:rPr>
        <w:footnoteRef/>
      </w:r>
      <w:r>
        <w:t xml:space="preserve"> Juan E Mendez, </w:t>
      </w:r>
      <w:r>
        <w:rPr>
          <w:i/>
          <w:iCs/>
        </w:rPr>
        <w:t>Report of the Special Rapporteur on torture and other cruel, inhuman or degrading treatment or punishment</w:t>
      </w:r>
      <w:r>
        <w:t>, UN Doc A/HRC/28/68 (5 March 2015) 7 [33].</w:t>
      </w:r>
    </w:p>
  </w:footnote>
  <w:footnote w:id="54">
    <w:p w14:paraId="1ACA1659" w14:textId="0B98E06D" w:rsidR="00857EB1" w:rsidRDefault="00857EB1" w:rsidP="00303792">
      <w:pPr>
        <w:pStyle w:val="FootnoteText"/>
      </w:pPr>
      <w:r>
        <w:rPr>
          <w:rStyle w:val="FootnoteReference"/>
        </w:rPr>
        <w:footnoteRef/>
      </w:r>
      <w:r>
        <w:t xml:space="preserve"> </w:t>
      </w:r>
      <w:r w:rsidRPr="0020715D">
        <w:rPr>
          <w:lang w:val="en-GB"/>
        </w:rPr>
        <w:t xml:space="preserve">Queensland Family &amp; Child Commission, </w:t>
      </w:r>
      <w:r w:rsidR="005C6B9B">
        <w:rPr>
          <w:i/>
          <w:iCs/>
          <w:lang w:val="en-GB"/>
        </w:rPr>
        <w:t>Exiting youth detention</w:t>
      </w:r>
      <w:r w:rsidRPr="0020715D">
        <w:rPr>
          <w:lang w:val="en-GB"/>
        </w:rPr>
        <w:t xml:space="preserve"> (</w:t>
      </w:r>
      <w:r w:rsidR="005C6B9B">
        <w:rPr>
          <w:lang w:val="en-GB"/>
        </w:rPr>
        <w:t>June 2024</w:t>
      </w:r>
      <w:r w:rsidRPr="0020715D">
        <w:rPr>
          <w:lang w:val="en-GB"/>
        </w:rPr>
        <w:t xml:space="preserve">) </w:t>
      </w:r>
      <w:r w:rsidR="00CC11EC">
        <w:rPr>
          <w:lang w:val="en-GB"/>
        </w:rPr>
        <w:t>1</w:t>
      </w:r>
      <w:r>
        <w:rPr>
          <w:lang w:val="en-GB"/>
        </w:rPr>
        <w:t>2</w:t>
      </w:r>
      <w:r w:rsidR="00C54B42">
        <w:rPr>
          <w:lang w:val="en-GB"/>
        </w:rPr>
        <w:t xml:space="preserve">; </w:t>
      </w:r>
      <w:r w:rsidR="00C54B42">
        <w:t xml:space="preserve">Australian Institute of Health and Welfare (2023). </w:t>
      </w:r>
      <w:r w:rsidR="008007AB">
        <w:t xml:space="preserve">Also see: </w:t>
      </w:r>
      <w:r w:rsidR="00C54B42">
        <w:t>Young people returning to sentenced youth justice supervision, 2021-22 supplementary data tables, Table s17. Retrieved from https://www.aihw.gov.au/reports/youth-justice/young-people-returning-to-sentenced-supervision/data</w:t>
      </w:r>
      <w:r w:rsidR="00C54B42">
        <w:rPr>
          <w:lang w:val="en-GB"/>
        </w:rPr>
        <w:t>.</w:t>
      </w:r>
      <w:r>
        <w:rPr>
          <w:lang w:val="en-GB"/>
        </w:rPr>
        <w:t xml:space="preserve"> </w:t>
      </w:r>
    </w:p>
  </w:footnote>
  <w:footnote w:id="55">
    <w:p w14:paraId="554F1CEC" w14:textId="7D1EC42C" w:rsidR="005C6661" w:rsidRPr="009756D2" w:rsidRDefault="005C6661" w:rsidP="005C6661">
      <w:pPr>
        <w:pStyle w:val="FootnoteText"/>
        <w:rPr>
          <w:lang w:val="en-GB"/>
        </w:rPr>
      </w:pPr>
      <w:r>
        <w:rPr>
          <w:rStyle w:val="FootnoteReference"/>
        </w:rPr>
        <w:footnoteRef/>
      </w:r>
      <w:r>
        <w:t xml:space="preserve"> </w:t>
      </w:r>
      <w:r w:rsidR="009215D5" w:rsidRPr="009215D5">
        <w:rPr>
          <w:lang w:val="en-GB"/>
        </w:rPr>
        <w:t xml:space="preserve">Statement of Compatibility, </w:t>
      </w:r>
      <w:r w:rsidR="009215D5" w:rsidRPr="009215D5">
        <w:t xml:space="preserve">Making Queensland Safer (Adult Crime, Adult Time) Amendment Bill 2025, </w:t>
      </w:r>
      <w:r w:rsidR="009215D5">
        <w:t>3.</w:t>
      </w:r>
    </w:p>
  </w:footnote>
  <w:footnote w:id="56">
    <w:p w14:paraId="57157D59" w14:textId="77777777" w:rsidR="005C6661" w:rsidRDefault="005C6661" w:rsidP="005C6661">
      <w:pPr>
        <w:pStyle w:val="FootnoteText"/>
        <w:rPr>
          <w:lang w:val="en-GB"/>
        </w:rPr>
      </w:pPr>
      <w:r>
        <w:rPr>
          <w:rStyle w:val="FootnoteReference"/>
        </w:rPr>
        <w:footnoteRef/>
      </w:r>
      <w:r>
        <w:t xml:space="preserve"> </w:t>
      </w:r>
      <w:r w:rsidRPr="00D561A6">
        <w:t xml:space="preserve">Queensland Audit Office, </w:t>
      </w:r>
      <w:r w:rsidRPr="00D561A6">
        <w:rPr>
          <w:i/>
        </w:rPr>
        <w:t>Reducing serious youth crime</w:t>
      </w:r>
      <w:r w:rsidRPr="00D561A6">
        <w:t xml:space="preserve"> (Performance Audit Report 15: 2023–24, 28 June 2024) 31.</w:t>
      </w:r>
      <w:r>
        <w:t xml:space="preserve"> See also </w:t>
      </w:r>
      <w:r w:rsidRPr="00BA4F1B">
        <w:rPr>
          <w:lang w:val="en-GB"/>
        </w:rPr>
        <w:t xml:space="preserve">Inspector of Detention Services, Queensland Ombudsman, </w:t>
      </w:r>
      <w:r w:rsidRPr="00BA4F1B">
        <w:rPr>
          <w:i/>
          <w:iCs/>
          <w:lang w:val="en-GB"/>
        </w:rPr>
        <w:t>Cleveland Youth Detention Centre inspection report: Focus on separation due to staff shortages</w:t>
      </w:r>
      <w:r w:rsidRPr="00BA4F1B">
        <w:rPr>
          <w:lang w:val="en-GB"/>
        </w:rPr>
        <w:t xml:space="preserve"> (27 August 2024) </w:t>
      </w:r>
      <w:r>
        <w:rPr>
          <w:lang w:val="en-GB"/>
        </w:rPr>
        <w:t>16-21</w:t>
      </w:r>
      <w:r w:rsidRPr="00BA4F1B">
        <w:rPr>
          <w:lang w:val="en-GB"/>
        </w:rPr>
        <w:t>.</w:t>
      </w:r>
    </w:p>
  </w:footnote>
  <w:footnote w:id="57">
    <w:p w14:paraId="6E76A395" w14:textId="4E92D764" w:rsidR="005C6661" w:rsidRPr="00247BF0" w:rsidRDefault="005C6661" w:rsidP="005C6661">
      <w:pPr>
        <w:pStyle w:val="FootnoteText"/>
        <w:rPr>
          <w:lang w:val="en-GB"/>
        </w:rPr>
      </w:pPr>
      <w:r>
        <w:rPr>
          <w:rStyle w:val="FootnoteReference"/>
        </w:rPr>
        <w:footnoteRef/>
      </w:r>
      <w:r>
        <w:t xml:space="preserve"> </w:t>
      </w:r>
      <w:r w:rsidR="00420FBA" w:rsidRPr="00C37EE9">
        <w:rPr>
          <w:lang w:val="en-US"/>
        </w:rPr>
        <w:t>Statistics for other detention centres were not accurately recorded.</w:t>
      </w:r>
      <w:r w:rsidR="00420FBA">
        <w:rPr>
          <w:lang w:val="en-US"/>
        </w:rPr>
        <w:t xml:space="preserve"> See: </w:t>
      </w:r>
      <w:r w:rsidRPr="006013FB">
        <w:t xml:space="preserve">Queensland Audit Office, </w:t>
      </w:r>
      <w:r w:rsidRPr="006013FB">
        <w:rPr>
          <w:i/>
        </w:rPr>
        <w:t>Reducing serious youth crime</w:t>
      </w:r>
      <w:r w:rsidRPr="006013FB">
        <w:t xml:space="preserve"> (Performance Audit Report 15: 2023–24, 28 June 2024) 3</w:t>
      </w:r>
      <w:r>
        <w:t>2</w:t>
      </w:r>
      <w:r w:rsidRPr="006013FB">
        <w:t>.</w:t>
      </w:r>
      <w:r>
        <w:rPr>
          <w:lang w:val="en-GB"/>
        </w:rPr>
        <w:t xml:space="preserve"> </w:t>
      </w:r>
    </w:p>
  </w:footnote>
  <w:footnote w:id="58">
    <w:p w14:paraId="586E8CAE" w14:textId="77777777" w:rsidR="005C6661" w:rsidRPr="00E236AC" w:rsidRDefault="005C6661" w:rsidP="005C6661">
      <w:pPr>
        <w:pStyle w:val="FootnoteText"/>
        <w:rPr>
          <w:lang w:val="en-GB"/>
        </w:rPr>
      </w:pPr>
      <w:r>
        <w:rPr>
          <w:rStyle w:val="FootnoteReference"/>
        </w:rPr>
        <w:footnoteRef/>
      </w:r>
      <w:r>
        <w:t xml:space="preserve"> </w:t>
      </w:r>
      <w:r w:rsidRPr="006013FB">
        <w:t xml:space="preserve">Queensland Audit Office, </w:t>
      </w:r>
      <w:r w:rsidRPr="006013FB">
        <w:rPr>
          <w:i/>
        </w:rPr>
        <w:t>Reducing serious youth crime</w:t>
      </w:r>
      <w:r w:rsidRPr="006013FB">
        <w:t xml:space="preserve"> (Performance Audit Report 15: 2023–24, 28 June 2024) </w:t>
      </w:r>
      <w:r>
        <w:t>31-</w:t>
      </w:r>
      <w:r w:rsidRPr="006013FB">
        <w:t>3</w:t>
      </w:r>
      <w:r>
        <w:t>2</w:t>
      </w:r>
      <w:r w:rsidRPr="006013FB">
        <w:t>.</w:t>
      </w:r>
    </w:p>
  </w:footnote>
  <w:footnote w:id="59">
    <w:p w14:paraId="2417CB4D" w14:textId="77777777" w:rsidR="005C6661" w:rsidRDefault="005C6661" w:rsidP="005C6661">
      <w:pPr>
        <w:pStyle w:val="FootnoteText"/>
        <w:rPr>
          <w:lang w:val="en-GB"/>
        </w:rPr>
      </w:pPr>
      <w:r>
        <w:rPr>
          <w:rStyle w:val="FootnoteReference"/>
        </w:rPr>
        <w:footnoteRef/>
      </w:r>
      <w:r>
        <w:t xml:space="preserve"> </w:t>
      </w:r>
      <w:r>
        <w:rPr>
          <w:lang w:val="en-GB"/>
        </w:rPr>
        <w:t xml:space="preserve">Queensland Family &amp; Child Commission, </w:t>
      </w:r>
      <w:proofErr w:type="gramStart"/>
      <w:r>
        <w:rPr>
          <w:i/>
          <w:iCs/>
          <w:lang w:val="en-GB"/>
        </w:rPr>
        <w:t>Who’s</w:t>
      </w:r>
      <w:proofErr w:type="gramEnd"/>
      <w:r>
        <w:rPr>
          <w:i/>
          <w:iCs/>
          <w:lang w:val="en-GB"/>
        </w:rPr>
        <w:t xml:space="preserve"> responsible: Understanding why young people are being held longer in Queensland watch houses</w:t>
      </w:r>
      <w:r>
        <w:rPr>
          <w:lang w:val="en-GB"/>
        </w:rPr>
        <w:t xml:space="preserve"> (30 November 2023) 4.</w:t>
      </w:r>
    </w:p>
  </w:footnote>
  <w:footnote w:id="60">
    <w:p w14:paraId="3CA4C6D1" w14:textId="786DD280" w:rsidR="006C2788" w:rsidRPr="006C2788" w:rsidRDefault="006C2788">
      <w:pPr>
        <w:pStyle w:val="FootnoteText"/>
        <w:rPr>
          <w:lang w:val="en-GB"/>
        </w:rPr>
      </w:pPr>
      <w:r>
        <w:rPr>
          <w:rStyle w:val="FootnoteReference"/>
        </w:rPr>
        <w:footnoteRef/>
      </w:r>
      <w:r>
        <w:t xml:space="preserve"> </w:t>
      </w:r>
      <w:r w:rsidR="005520E1">
        <w:t>Queensland Government, ‘New Wacol Youth Remand Centre ready to hold young offenders’</w:t>
      </w:r>
      <w:r w:rsidR="00DC04EC">
        <w:t xml:space="preserve"> (Media statement, 29 March 2025</w:t>
      </w:r>
      <w:r w:rsidR="001E3382">
        <w:t xml:space="preserve">). </w:t>
      </w:r>
    </w:p>
  </w:footnote>
  <w:footnote w:id="61">
    <w:p w14:paraId="63E633B0" w14:textId="46D061A0" w:rsidR="00B94563" w:rsidRDefault="00B94563" w:rsidP="00B94563">
      <w:pPr>
        <w:pStyle w:val="FootnoteText"/>
        <w:rPr>
          <w:lang w:val="en-GB"/>
        </w:rPr>
      </w:pPr>
      <w:r>
        <w:rPr>
          <w:rStyle w:val="FootnoteReference"/>
        </w:rPr>
        <w:footnoteRef/>
      </w:r>
      <w:r>
        <w:t xml:space="preserve"> Queensland Police Service, ‘Persons in Queensland Police Watch </w:t>
      </w:r>
      <w:proofErr w:type="gramStart"/>
      <w:r>
        <w:t>house</w:t>
      </w:r>
      <w:proofErr w:type="gramEnd"/>
      <w:r>
        <w:t xml:space="preserve"> Custody’, </w:t>
      </w:r>
      <w:r>
        <w:rPr>
          <w:i/>
          <w:iCs/>
        </w:rPr>
        <w:t>Watch house data</w:t>
      </w:r>
      <w:r>
        <w:t xml:space="preserve"> (web page, 13 April 2025, </w:t>
      </w:r>
      <w:r w:rsidR="001572D6">
        <w:t>11.57</w:t>
      </w:r>
      <w:r>
        <w:t>pm) &lt;</w:t>
      </w:r>
      <w:r w:rsidRPr="00624DC2">
        <w:t xml:space="preserve"> https://open-crime-data.s3.ap-southeast-2.amazonaws.com/Crime%20Statistics/Persons%20Currently%20In%20Watchhouse%20Custody.pdf</w:t>
      </w:r>
      <w:r>
        <w:t>&gt;.</w:t>
      </w:r>
    </w:p>
  </w:footnote>
  <w:footnote w:id="62">
    <w:p w14:paraId="545EB6F0" w14:textId="5281A6A1" w:rsidR="005C6661" w:rsidRPr="00544A46" w:rsidRDefault="005C6661" w:rsidP="005C6661">
      <w:pPr>
        <w:pStyle w:val="FootnoteText"/>
        <w:rPr>
          <w:lang w:val="en-GB"/>
        </w:rPr>
      </w:pPr>
      <w:r>
        <w:rPr>
          <w:rStyle w:val="FootnoteReference"/>
        </w:rPr>
        <w:footnoteRef/>
      </w:r>
      <w:r>
        <w:t xml:space="preserve"> </w:t>
      </w:r>
      <w:r w:rsidRPr="007567A2">
        <w:rPr>
          <w:lang w:val="en-GB"/>
        </w:rPr>
        <w:t xml:space="preserve">Inspector of Detention Services, Queensland Ombudsman, </w:t>
      </w:r>
      <w:r w:rsidRPr="007567A2">
        <w:rPr>
          <w:i/>
          <w:iCs/>
          <w:lang w:val="en-GB"/>
        </w:rPr>
        <w:t xml:space="preserve">Cairns and </w:t>
      </w:r>
      <w:proofErr w:type="spellStart"/>
      <w:r w:rsidRPr="007567A2">
        <w:rPr>
          <w:i/>
          <w:iCs/>
          <w:lang w:val="en-GB"/>
        </w:rPr>
        <w:t>Murgon</w:t>
      </w:r>
      <w:proofErr w:type="spellEnd"/>
      <w:r w:rsidRPr="007567A2">
        <w:rPr>
          <w:i/>
          <w:iCs/>
          <w:lang w:val="en-GB"/>
        </w:rPr>
        <w:t xml:space="preserve"> watch houses inspection report: Focus on detention on children</w:t>
      </w:r>
      <w:r w:rsidRPr="007567A2">
        <w:rPr>
          <w:lang w:val="en-GB"/>
        </w:rPr>
        <w:t xml:space="preserve"> (11 September 2024)</w:t>
      </w:r>
      <w:r w:rsidR="00415624">
        <w:rPr>
          <w:lang w:val="en-GB"/>
        </w:rPr>
        <w:t xml:space="preserve">; </w:t>
      </w:r>
      <w:r w:rsidR="00415624" w:rsidRPr="00650C80">
        <w:rPr>
          <w:i/>
          <w:iCs/>
        </w:rPr>
        <w:t xml:space="preserve">United Nations Committee on the Rights of the Child, General Comment No 24: Children’s Rights in the Child Justice System, </w:t>
      </w:r>
      <w:r w:rsidR="00415624" w:rsidRPr="0062251D">
        <w:t>UN Doc CRC/C/GC/24</w:t>
      </w:r>
      <w:r w:rsidR="00415624" w:rsidRPr="00650C80">
        <w:rPr>
          <w:i/>
          <w:iCs/>
        </w:rPr>
        <w:t xml:space="preserve"> </w:t>
      </w:r>
      <w:r w:rsidR="00415624" w:rsidRPr="00443A05">
        <w:t>(18 September 2019)</w:t>
      </w:r>
      <w:r w:rsidR="00415624" w:rsidRPr="002A6A96">
        <w:rPr>
          <w:lang w:val="en-GB"/>
        </w:rPr>
        <w:t xml:space="preserve"> [85]</w:t>
      </w:r>
      <w:r w:rsidR="00415624">
        <w:rPr>
          <w:lang w:val="en-GB"/>
        </w:rPr>
        <w:t xml:space="preserve">; </w:t>
      </w:r>
      <w:r w:rsidR="00415624" w:rsidRPr="00A85362">
        <w:t xml:space="preserve">Juan E. Méndez, </w:t>
      </w:r>
      <w:r w:rsidR="00415624" w:rsidRPr="00A85362">
        <w:rPr>
          <w:i/>
          <w:iCs/>
        </w:rPr>
        <w:t>Report of the Special Rapporteur on torture and other cruel, inhuman or degrading treatment or punishment</w:t>
      </w:r>
      <w:r w:rsidR="00415624" w:rsidRPr="00A85362">
        <w:t>, UN Doc A/HRC/28/68 (5 March 2015)</w:t>
      </w:r>
      <w:r w:rsidR="00415624" w:rsidRPr="00A85362">
        <w:rPr>
          <w:lang w:val="en-GB"/>
        </w:rPr>
        <w:t xml:space="preserve"> [85(k)]</w:t>
      </w:r>
      <w:r w:rsidR="00415624">
        <w:rPr>
          <w:lang w:val="en-GB"/>
        </w:rPr>
        <w:t>;</w:t>
      </w:r>
      <w:r w:rsidR="00415624" w:rsidRPr="005430F1">
        <w:rPr>
          <w:rFonts w:cs="Arial"/>
          <w:color w:val="auto"/>
          <w:sz w:val="22"/>
          <w:szCs w:val="20"/>
          <w:lang w:val="en-US"/>
        </w:rPr>
        <w:t xml:space="preserve"> </w:t>
      </w:r>
      <w:r w:rsidR="00415624" w:rsidRPr="005430F1">
        <w:rPr>
          <w:lang w:val="en-US"/>
        </w:rPr>
        <w:t xml:space="preserve">European Committee for the Prevention of Torture and Inhuman or Degrading Treatment or Punishment (CPT), </w:t>
      </w:r>
      <w:r w:rsidR="00415624" w:rsidRPr="005430F1">
        <w:rPr>
          <w:i/>
          <w:iCs/>
          <w:lang w:val="en-US"/>
        </w:rPr>
        <w:t>Juveniles Deprived of Their Liberty Under Criminal Legislation</w:t>
      </w:r>
      <w:r w:rsidR="00415624" w:rsidRPr="005430F1">
        <w:rPr>
          <w:lang w:val="en-US"/>
        </w:rPr>
        <w:t>, extract from the 24</w:t>
      </w:r>
      <w:r w:rsidR="00415624" w:rsidRPr="005430F1">
        <w:rPr>
          <w:vertAlign w:val="superscript"/>
          <w:lang w:val="en-US"/>
        </w:rPr>
        <w:t>th</w:t>
      </w:r>
      <w:r w:rsidR="00415624" w:rsidRPr="005430F1">
        <w:rPr>
          <w:lang w:val="en-US"/>
        </w:rPr>
        <w:t xml:space="preserve"> General Report of the CPT (published in 2015)</w:t>
      </w:r>
      <w:r w:rsidR="00415624">
        <w:rPr>
          <w:lang w:val="en-US"/>
        </w:rPr>
        <w:t xml:space="preserve"> [99]-[100];</w:t>
      </w:r>
      <w:r w:rsidR="00415624" w:rsidRPr="002A6A96">
        <w:rPr>
          <w:lang w:val="en-GB"/>
        </w:rPr>
        <w:t xml:space="preserve"> </w:t>
      </w:r>
      <w:r w:rsidR="00415624">
        <w:rPr>
          <w:lang w:val="en-GB"/>
        </w:rPr>
        <w:t>Statement of Compatibility, Making Queensland Safer Bill 2024 (Qld) 4.</w:t>
      </w:r>
    </w:p>
  </w:footnote>
  <w:footnote w:id="63">
    <w:p w14:paraId="509CEA61" w14:textId="6EE1D8C2" w:rsidR="005C6661" w:rsidRPr="009074C0" w:rsidRDefault="005C6661" w:rsidP="005C6661">
      <w:pPr>
        <w:pStyle w:val="FootnoteText"/>
        <w:rPr>
          <w:lang w:val="en-GB"/>
        </w:rPr>
      </w:pPr>
      <w:r>
        <w:rPr>
          <w:rStyle w:val="FootnoteReference"/>
        </w:rPr>
        <w:footnoteRef/>
      </w:r>
      <w:r>
        <w:t xml:space="preserve"> </w:t>
      </w:r>
      <w:r w:rsidR="00297C3B" w:rsidRPr="00297C3B">
        <w:t>Inspector of Detention Services, Queensland Ombudsman, Cairns and Murgon watch houses inspection report: Focus on detention on children (11 September 2024)</w:t>
      </w:r>
      <w:r>
        <w:t xml:space="preserve"> 59.</w:t>
      </w:r>
    </w:p>
  </w:footnote>
  <w:footnote w:id="64">
    <w:p w14:paraId="2D9294A9" w14:textId="77777777" w:rsidR="00D85679" w:rsidRDefault="00D85679" w:rsidP="00D85679">
      <w:pPr>
        <w:pStyle w:val="FootnoteText"/>
      </w:pPr>
      <w:r>
        <w:rPr>
          <w:rStyle w:val="FootnoteReference"/>
        </w:rPr>
        <w:footnoteRef/>
      </w:r>
      <w:r>
        <w:t xml:space="preserve"> Bar Association of Queensland</w:t>
      </w:r>
      <w:r w:rsidRPr="002B51CF">
        <w:t>, Submission No 1</w:t>
      </w:r>
      <w:r>
        <w:t>65</w:t>
      </w:r>
      <w:r w:rsidRPr="002B51CF">
        <w:t xml:space="preserve"> to Justice, Integrity and Community Safety Committee, Parliament of Queensland, Inquiry into the Making Queensland Safer</w:t>
      </w:r>
      <w:r w:rsidRPr="002B51CF">
        <w:rPr>
          <w:i/>
          <w:iCs/>
        </w:rPr>
        <w:t xml:space="preserve"> </w:t>
      </w:r>
      <w:r w:rsidRPr="002B51CF">
        <w:t>Bill 2024 (</w:t>
      </w:r>
      <w:r>
        <w:t>3</w:t>
      </w:r>
      <w:r w:rsidRPr="002B51CF">
        <w:t xml:space="preserve"> December 2024).</w:t>
      </w:r>
    </w:p>
  </w:footnote>
  <w:footnote w:id="65">
    <w:p w14:paraId="0C231934" w14:textId="15630D3C" w:rsidR="00253D22" w:rsidRDefault="00253D22" w:rsidP="00253D22">
      <w:pPr>
        <w:pStyle w:val="FootnoteText"/>
      </w:pPr>
      <w:r>
        <w:rPr>
          <w:rStyle w:val="FootnoteReference"/>
        </w:rPr>
        <w:footnoteRef/>
      </w:r>
      <w:r>
        <w:t xml:space="preserve"> </w:t>
      </w:r>
      <w:r w:rsidRPr="0020715D">
        <w:rPr>
          <w:lang w:val="en-GB"/>
        </w:rPr>
        <w:t xml:space="preserve">Queensland Family &amp; Child Commission, </w:t>
      </w:r>
      <w:proofErr w:type="gramStart"/>
      <w:r w:rsidRPr="0020715D">
        <w:rPr>
          <w:i/>
          <w:iCs/>
          <w:lang w:val="en-GB"/>
        </w:rPr>
        <w:t>Who’s</w:t>
      </w:r>
      <w:proofErr w:type="gramEnd"/>
      <w:r w:rsidRPr="0020715D">
        <w:rPr>
          <w:i/>
          <w:iCs/>
          <w:lang w:val="en-GB"/>
        </w:rPr>
        <w:t xml:space="preserve"> responsible: Understanding why young people are being held longer in Queensland watch houses</w:t>
      </w:r>
      <w:r w:rsidRPr="0020715D">
        <w:rPr>
          <w:lang w:val="en-GB"/>
        </w:rPr>
        <w:t xml:space="preserve"> (30 November 2023) </w:t>
      </w:r>
      <w:r>
        <w:rPr>
          <w:lang w:val="en-GB"/>
        </w:rPr>
        <w:t xml:space="preserve">62. </w:t>
      </w:r>
    </w:p>
  </w:footnote>
  <w:footnote w:id="66">
    <w:p w14:paraId="2C3CDD2E" w14:textId="77777777" w:rsidR="00EF7CF6" w:rsidRDefault="00EF7CF6" w:rsidP="00EF7CF6">
      <w:pPr>
        <w:pStyle w:val="FootnoteText"/>
        <w:rPr>
          <w:lang w:val="en-GB"/>
        </w:rPr>
      </w:pPr>
      <w:r>
        <w:rPr>
          <w:rStyle w:val="FootnoteReference"/>
        </w:rPr>
        <w:footnoteRef/>
      </w:r>
      <w:r>
        <w:t xml:space="preserve"> </w:t>
      </w:r>
      <w:r>
        <w:rPr>
          <w:lang w:val="en-GB"/>
        </w:rPr>
        <w:t xml:space="preserve">Childrens Court of Queensland, </w:t>
      </w:r>
      <w:r>
        <w:rPr>
          <w:i/>
          <w:lang w:val="en-GB"/>
        </w:rPr>
        <w:t>Annual report 2022–23</w:t>
      </w:r>
      <w:r>
        <w:rPr>
          <w:lang w:val="en-GB"/>
        </w:rPr>
        <w:t xml:space="preserve"> [3]-[4]. This definition of serious repeat offender is separate to a person who is declared a serious repeat offender by the Magistrates Court under s 150A of the </w:t>
      </w:r>
      <w:r>
        <w:rPr>
          <w:i/>
          <w:lang w:val="en-GB"/>
        </w:rPr>
        <w:t>Youth Justice Act 1992</w:t>
      </w:r>
      <w:r>
        <w:rPr>
          <w:lang w:val="en-GB"/>
        </w:rPr>
        <w:t xml:space="preserve"> (Qld).</w:t>
      </w:r>
    </w:p>
  </w:footnote>
  <w:footnote w:id="67">
    <w:p w14:paraId="19F6C314" w14:textId="7F5F62DB" w:rsidR="004E2C32" w:rsidRDefault="004E2C32" w:rsidP="004E2C32">
      <w:pPr>
        <w:pStyle w:val="FootnoteText"/>
      </w:pPr>
      <w:r>
        <w:rPr>
          <w:rStyle w:val="FootnoteReference"/>
        </w:rPr>
        <w:footnoteRef/>
      </w:r>
      <w:r>
        <w:t xml:space="preserve"> Productivity Commission, Report on Government Services 2024: Justice (part C) (Web Page, January 2024), 83.</w:t>
      </w:r>
    </w:p>
  </w:footnote>
  <w:footnote w:id="68">
    <w:p w14:paraId="72582118" w14:textId="31375FFD" w:rsidR="006A7186" w:rsidRDefault="006A7186" w:rsidP="006A7186">
      <w:pPr>
        <w:pStyle w:val="FootnoteText"/>
      </w:pPr>
      <w:r>
        <w:rPr>
          <w:rStyle w:val="FootnoteReference"/>
        </w:rPr>
        <w:footnoteRef/>
      </w:r>
      <w:r>
        <w:t xml:space="preserve"> See for example: </w:t>
      </w:r>
      <w:r w:rsidR="009D757F" w:rsidRPr="009D757F">
        <w:t>Queensland Family &amp; Child Commission, Exiting youth detention (June 2024)</w:t>
      </w:r>
      <w:r w:rsidR="009D757F">
        <w:t>.</w:t>
      </w:r>
    </w:p>
  </w:footnote>
  <w:footnote w:id="69">
    <w:p w14:paraId="2AA68C71" w14:textId="37FC0636" w:rsidR="004E2C32" w:rsidRDefault="004E2C32" w:rsidP="004E2C32">
      <w:pPr>
        <w:pStyle w:val="FootnoteText"/>
      </w:pPr>
      <w:r>
        <w:rPr>
          <w:rStyle w:val="FootnoteReference"/>
        </w:rPr>
        <w:footnoteRef/>
      </w:r>
      <w:r>
        <w:t xml:space="preserve"> </w:t>
      </w:r>
      <w:r w:rsidRPr="00165824">
        <w:t>Drawn from Productivity Commission (</w:t>
      </w:r>
      <w:proofErr w:type="spellStart"/>
      <w:r w:rsidRPr="00165824">
        <w:t>Cth</w:t>
      </w:r>
      <w:proofErr w:type="spellEnd"/>
      <w:r w:rsidRPr="00165824">
        <w:t>), Report on Government Services 2024 (Web Page, January 2024) 'Table 17 A.20: Cost per young person under community-based supervision, 2022-23 dollars' and 'Table 17 A.21: Cost per young person under detention-based supervision, 2022-23 dollars'</w:t>
      </w:r>
      <w:r>
        <w:t>.</w:t>
      </w:r>
    </w:p>
  </w:footnote>
  <w:footnote w:id="70">
    <w:p w14:paraId="59B7E79B" w14:textId="56B96F01" w:rsidR="00E505F3" w:rsidRPr="00E505F3" w:rsidRDefault="00E505F3">
      <w:pPr>
        <w:pStyle w:val="FootnoteText"/>
        <w:rPr>
          <w:lang w:val="en-GB"/>
        </w:rPr>
      </w:pPr>
      <w:r>
        <w:rPr>
          <w:rStyle w:val="FootnoteReference"/>
        </w:rPr>
        <w:footnoteRef/>
      </w:r>
      <w:r>
        <w:t xml:space="preserve"> </w:t>
      </w:r>
      <w:r w:rsidRPr="00E505F3">
        <w:t>Drawn from Productivity Commission (</w:t>
      </w:r>
      <w:proofErr w:type="spellStart"/>
      <w:r w:rsidRPr="00E505F3">
        <w:t>Cth</w:t>
      </w:r>
      <w:proofErr w:type="spellEnd"/>
      <w:r w:rsidRPr="00E505F3">
        <w:t>), Report on Government Services 2024 (Web Page, January 2024) 'Table 17 A.20: Cost per young person under community-based supervision, 2022-23 dollars' and 'Table 17 A.21: Cost per young person under detention-based supervision, 2022-23 dollars'.</w:t>
      </w:r>
    </w:p>
  </w:footnote>
  <w:footnote w:id="71">
    <w:p w14:paraId="1B351AAF" w14:textId="40A0BC8D" w:rsidR="003D51A0" w:rsidRPr="006A4541" w:rsidRDefault="003D51A0">
      <w:pPr>
        <w:pStyle w:val="FootnoteText"/>
        <w:rPr>
          <w:lang w:val="en-GB"/>
        </w:rPr>
      </w:pPr>
      <w:r>
        <w:rPr>
          <w:rStyle w:val="FootnoteReference"/>
        </w:rPr>
        <w:footnoteRef/>
      </w:r>
      <w:r>
        <w:t xml:space="preserve"> </w:t>
      </w:r>
      <w:r w:rsidR="00641030">
        <w:t xml:space="preserve">Sean Parnell, </w:t>
      </w:r>
      <w:r w:rsidR="004A6326">
        <w:t>‘</w:t>
      </w:r>
      <w:r w:rsidR="00641030">
        <w:t>State’s prisons at 144 per cent capacity, made worse by housing crisis</w:t>
      </w:r>
      <w:r w:rsidR="004A6326">
        <w:t>’</w:t>
      </w:r>
      <w:r w:rsidR="006A4541">
        <w:t xml:space="preserve"> </w:t>
      </w:r>
      <w:r w:rsidR="006A4541">
        <w:rPr>
          <w:i/>
          <w:iCs/>
        </w:rPr>
        <w:t xml:space="preserve">Brisbane Times, </w:t>
      </w:r>
      <w:r w:rsidR="006A4541">
        <w:t>(online, 27 July 2024) &lt;</w:t>
      </w:r>
      <w:r w:rsidR="006A4541" w:rsidRPr="006A4541">
        <w:t>https://www.brisbanetimes.com.au/national/queensland/state-s-prisons-at-144-per-cent-capacity-made-worse-by-housing-crisis-20240727-p5jwzo.html</w:t>
      </w:r>
      <w:r w:rsidR="006A4541">
        <w:t>&gt;.</w:t>
      </w:r>
    </w:p>
  </w:footnote>
  <w:footnote w:id="72">
    <w:p w14:paraId="0DA7889A" w14:textId="77777777" w:rsidR="002B6E49" w:rsidRPr="00F1476C" w:rsidRDefault="002B6E49" w:rsidP="002B6E49">
      <w:pPr>
        <w:pStyle w:val="FootnoteText"/>
        <w:rPr>
          <w:lang w:val="en-GB"/>
        </w:rPr>
      </w:pPr>
      <w:r>
        <w:rPr>
          <w:rStyle w:val="FootnoteReference"/>
        </w:rPr>
        <w:footnoteRef/>
      </w:r>
      <w:r>
        <w:t xml:space="preserve"> </w:t>
      </w:r>
      <w:r w:rsidRPr="00650C80">
        <w:rPr>
          <w:i/>
          <w:iCs/>
        </w:rPr>
        <w:t xml:space="preserve">United Nations Committee on the Rights of the Child, General Comment No 24: Children’s Rights in the Child Justice System, </w:t>
      </w:r>
      <w:r w:rsidRPr="0062251D">
        <w:t>UN Doc CRC/C/GC/24</w:t>
      </w:r>
      <w:r w:rsidRPr="00650C80">
        <w:rPr>
          <w:i/>
          <w:iCs/>
        </w:rPr>
        <w:t xml:space="preserve"> </w:t>
      </w:r>
      <w:r w:rsidRPr="00443A05">
        <w:t>(18 September 2019)</w:t>
      </w:r>
      <w:r w:rsidRPr="002A6A96">
        <w:rPr>
          <w:lang w:val="en-GB"/>
        </w:rPr>
        <w:t xml:space="preserve"> </w:t>
      </w:r>
      <w:r>
        <w:rPr>
          <w:lang w:val="en-GB"/>
        </w:rPr>
        <w:t>[2].</w:t>
      </w:r>
    </w:p>
  </w:footnote>
  <w:footnote w:id="73">
    <w:p w14:paraId="6F3045BF" w14:textId="151AD1A5" w:rsidR="002B6E49" w:rsidRPr="0016379B" w:rsidRDefault="002B6E49" w:rsidP="002B6E49">
      <w:pPr>
        <w:pStyle w:val="FootnoteText"/>
        <w:rPr>
          <w:rFonts w:cs="Arial"/>
          <w:color w:val="auto"/>
          <w:szCs w:val="20"/>
          <w:lang w:val="en-GB"/>
        </w:rPr>
      </w:pPr>
      <w:r>
        <w:rPr>
          <w:rStyle w:val="FootnoteReference"/>
        </w:rPr>
        <w:footnoteRef/>
      </w:r>
      <w:r>
        <w:t xml:space="preserve"> </w:t>
      </w:r>
      <w:r w:rsidR="0056577C">
        <w:t xml:space="preserve">In 2019, the Committee on the Rights of the Child recommended </w:t>
      </w:r>
      <w:r w:rsidR="00D135CF">
        <w:t>all countries raise the age of criminal responsibility to at least fourteen</w:t>
      </w:r>
      <w:r w:rsidR="005E5714">
        <w:t xml:space="preserve">. See: </w:t>
      </w:r>
      <w:r w:rsidR="0016379B" w:rsidRPr="0016379B">
        <w:rPr>
          <w:rFonts w:cs="Arial"/>
          <w:i/>
          <w:iCs/>
          <w:color w:val="auto"/>
          <w:szCs w:val="20"/>
        </w:rPr>
        <w:t xml:space="preserve">United Nations Committee on the Rights of the Child, General Comment No 24: Children’s Rights in the Child Justice System, </w:t>
      </w:r>
      <w:r w:rsidR="0016379B" w:rsidRPr="0016379B">
        <w:rPr>
          <w:rFonts w:cs="Arial"/>
          <w:color w:val="auto"/>
          <w:szCs w:val="20"/>
        </w:rPr>
        <w:t>UN Doc CRC/C/GC/24</w:t>
      </w:r>
      <w:r w:rsidR="0016379B" w:rsidRPr="0016379B">
        <w:rPr>
          <w:rFonts w:cs="Arial"/>
          <w:i/>
          <w:iCs/>
          <w:color w:val="auto"/>
          <w:szCs w:val="20"/>
        </w:rPr>
        <w:t xml:space="preserve"> </w:t>
      </w:r>
      <w:r w:rsidR="0016379B" w:rsidRPr="0016379B">
        <w:rPr>
          <w:rFonts w:cs="Arial"/>
          <w:color w:val="auto"/>
          <w:szCs w:val="20"/>
        </w:rPr>
        <w:t>(18 September 2019)</w:t>
      </w:r>
      <w:r w:rsidR="0016379B" w:rsidRPr="0016379B">
        <w:rPr>
          <w:rFonts w:cs="Arial"/>
          <w:color w:val="auto"/>
          <w:szCs w:val="20"/>
          <w:lang w:val="en-GB"/>
        </w:rPr>
        <w:t xml:space="preserve"> [</w:t>
      </w:r>
      <w:r w:rsidR="005E5714">
        <w:rPr>
          <w:rFonts w:cs="Arial"/>
          <w:color w:val="auto"/>
          <w:szCs w:val="20"/>
          <w:lang w:val="en-GB"/>
        </w:rPr>
        <w:t>9</w:t>
      </w:r>
      <w:r w:rsidR="0016379B" w:rsidRPr="0016379B">
        <w:rPr>
          <w:rFonts w:cs="Arial"/>
          <w:color w:val="auto"/>
          <w:szCs w:val="20"/>
          <w:lang w:val="en-GB"/>
        </w:rPr>
        <w:t>].</w:t>
      </w:r>
    </w:p>
  </w:footnote>
  <w:footnote w:id="74">
    <w:p w14:paraId="57D1244E" w14:textId="411CD89C" w:rsidR="00ED0BD3" w:rsidRPr="00ED0BD3" w:rsidRDefault="00ED0BD3">
      <w:pPr>
        <w:pStyle w:val="FootnoteText"/>
        <w:rPr>
          <w:lang w:val="en-GB"/>
        </w:rPr>
      </w:pPr>
      <w:r>
        <w:rPr>
          <w:rStyle w:val="FootnoteReference"/>
        </w:rPr>
        <w:footnoteRef/>
      </w:r>
      <w:r>
        <w:t xml:space="preserve"> </w:t>
      </w:r>
      <w:r w:rsidR="008F45C3" w:rsidRPr="008F45C3">
        <w:t xml:space="preserve">Convention on the Rights of the Child, opened for signature 20 November 1989, </w:t>
      </w:r>
      <w:proofErr w:type="gramStart"/>
      <w:r w:rsidR="008F45C3" w:rsidRPr="008F45C3">
        <w:t>1577</w:t>
      </w:r>
      <w:proofErr w:type="gramEnd"/>
      <w:r w:rsidR="008F45C3" w:rsidRPr="008F45C3">
        <w:t xml:space="preserve"> UNTS 3 (entered into force 2 September 1990). </w:t>
      </w:r>
    </w:p>
  </w:footnote>
  <w:footnote w:id="75">
    <w:p w14:paraId="29F0AD5E" w14:textId="77777777" w:rsidR="002B6E49" w:rsidRPr="007637E4" w:rsidRDefault="002B6E49" w:rsidP="002B6E49">
      <w:pPr>
        <w:pStyle w:val="FootnoteText"/>
        <w:rPr>
          <w:lang w:val="en-GB"/>
        </w:rPr>
      </w:pPr>
      <w:r>
        <w:rPr>
          <w:rStyle w:val="FootnoteReference"/>
        </w:rPr>
        <w:footnoteRef/>
      </w:r>
      <w:r>
        <w:t xml:space="preserve"> </w:t>
      </w:r>
      <w:r w:rsidRPr="007637E4">
        <w:rPr>
          <w:i/>
          <w:iCs/>
          <w:lang w:val="en-GB"/>
        </w:rPr>
        <w:t>Penalties and Sentences Act 1992</w:t>
      </w:r>
      <w:r>
        <w:rPr>
          <w:lang w:val="en-GB"/>
        </w:rPr>
        <w:t xml:space="preserve"> (Qld) s 9(2)(a); 9(2A).</w:t>
      </w:r>
    </w:p>
  </w:footnote>
  <w:footnote w:id="76">
    <w:p w14:paraId="7CB18020" w14:textId="62FE8BDB" w:rsidR="00243ACA" w:rsidRPr="00661948" w:rsidRDefault="00243ACA">
      <w:pPr>
        <w:pStyle w:val="FootnoteText"/>
        <w:rPr>
          <w:lang w:val="en-GB"/>
        </w:rPr>
      </w:pPr>
      <w:r>
        <w:rPr>
          <w:rStyle w:val="FootnoteReference"/>
        </w:rPr>
        <w:footnoteRef/>
      </w:r>
      <w:r>
        <w:t xml:space="preserve"> </w:t>
      </w:r>
      <w:r w:rsidR="0070614D" w:rsidRPr="0070614D">
        <w:t>C</w:t>
      </w:r>
      <w:r w:rsidR="0070614D">
        <w:t xml:space="preserve">hildrens Court of Queensland, </w:t>
      </w:r>
      <w:r w:rsidR="00661948">
        <w:rPr>
          <w:i/>
          <w:iCs/>
        </w:rPr>
        <w:t xml:space="preserve">Annual Report 2023-24 </w:t>
      </w:r>
      <w:r w:rsidR="00661948">
        <w:t>(Annual report</w:t>
      </w:r>
      <w:r w:rsidR="00DA0BE9">
        <w:t>), 7.</w:t>
      </w:r>
    </w:p>
  </w:footnote>
  <w:footnote w:id="77">
    <w:p w14:paraId="3D62D8EA" w14:textId="2A367361" w:rsidR="008E631D" w:rsidRPr="00A72682" w:rsidRDefault="008E631D" w:rsidP="008E631D">
      <w:pPr>
        <w:pStyle w:val="FootnoteText"/>
        <w:rPr>
          <w:lang w:val="en-GB"/>
        </w:rPr>
      </w:pPr>
      <w:r>
        <w:rPr>
          <w:rStyle w:val="FootnoteReference"/>
        </w:rPr>
        <w:footnoteRef/>
      </w:r>
      <w:r>
        <w:t xml:space="preserve"> Australian Institute of Health and Welfare (2023). Youth detention population in Australia 2023</w:t>
      </w:r>
      <w:r w:rsidR="00C54F66">
        <w:t xml:space="preserve"> </w:t>
      </w:r>
      <w:r>
        <w:t>&lt;</w:t>
      </w:r>
      <w:r w:rsidRPr="00F30097">
        <w:t>https://www.aihw.gov.au/reports/youth-justice/youth-detention-population-in-australia-2023/contents/first-nations-young-people</w:t>
      </w:r>
      <w:r>
        <w:t>&gt;.</w:t>
      </w:r>
    </w:p>
  </w:footnote>
  <w:footnote w:id="78">
    <w:p w14:paraId="11661B02" w14:textId="2C01B90F" w:rsidR="0077672B" w:rsidRDefault="0077672B" w:rsidP="0077672B">
      <w:pPr>
        <w:pStyle w:val="FootnoteText"/>
        <w:rPr>
          <w:lang w:val="en-GB"/>
        </w:rPr>
      </w:pPr>
      <w:r>
        <w:rPr>
          <w:rStyle w:val="FootnoteReference"/>
        </w:rPr>
        <w:footnoteRef/>
      </w:r>
      <w:r>
        <w:t xml:space="preserve"> </w:t>
      </w:r>
      <w:r w:rsidR="00DF123E">
        <w:t xml:space="preserve">Youth Justice Reform Select Committee, </w:t>
      </w:r>
      <w:r w:rsidR="00DF123E" w:rsidRPr="00A7020A">
        <w:rPr>
          <w:i/>
          <w:iCs/>
        </w:rPr>
        <w:t>Inquiry into ongoing reforms to the youth justice system and support for victims of crime</w:t>
      </w:r>
      <w:r w:rsidR="00DF123E">
        <w:t xml:space="preserve"> (Interim Report, April 2024) </w:t>
      </w:r>
      <w:r w:rsidR="002C112E">
        <w:t xml:space="preserve">8; </w:t>
      </w:r>
      <w:r>
        <w:t>National Children’s Commissioner, Australian Human Rights Commission, ‘</w:t>
      </w:r>
      <w:r>
        <w:rPr>
          <w:rFonts w:cs="Arial"/>
          <w:i/>
          <w:iCs/>
        </w:rPr>
        <w:t>Help Way Earlier!’ How Australia can transform child justice to improve safety and wellbeing</w:t>
      </w:r>
      <w:r>
        <w:rPr>
          <w:rFonts w:cs="Arial"/>
        </w:rPr>
        <w:t xml:space="preserve"> (21 June 2024) 98–101.</w:t>
      </w:r>
    </w:p>
  </w:footnote>
  <w:footnote w:id="79">
    <w:p w14:paraId="1526C6AA" w14:textId="552855C3" w:rsidR="0077672B" w:rsidRDefault="0077672B" w:rsidP="0077672B">
      <w:pPr>
        <w:pStyle w:val="FootnoteText"/>
        <w:rPr>
          <w:lang w:val="en-GB"/>
        </w:rPr>
      </w:pPr>
      <w:r w:rsidRPr="00710008">
        <w:rPr>
          <w:rStyle w:val="FootnoteReference"/>
        </w:rPr>
        <w:footnoteRef/>
      </w:r>
      <w:r w:rsidRPr="00710008">
        <w:t xml:space="preserve"> </w:t>
      </w:r>
      <w:r w:rsidR="00E92408">
        <w:rPr>
          <w:lang w:val="en-GB"/>
        </w:rPr>
        <w:t xml:space="preserve">Australian Law Reform Commission, </w:t>
      </w:r>
      <w:r w:rsidR="00E92408">
        <w:rPr>
          <w:i/>
          <w:iCs/>
          <w:lang w:val="en-GB"/>
        </w:rPr>
        <w:t xml:space="preserve">Pathways to Justice – Inquiry into the Incarceration Rate of Aboriginal and Torres Strait Islander Peoples </w:t>
      </w:r>
      <w:r w:rsidR="00522E92">
        <w:rPr>
          <w:lang w:val="en-GB"/>
        </w:rPr>
        <w:t>(Report No 133, 28 March 2018)</w:t>
      </w:r>
      <w:r w:rsidR="00AC119C">
        <w:rPr>
          <w:lang w:val="en-GB"/>
        </w:rPr>
        <w:t xml:space="preserve"> </w:t>
      </w:r>
      <w:r w:rsidR="00AC119C" w:rsidRPr="0020715D">
        <w:rPr>
          <w:lang w:val="en-GB"/>
        </w:rPr>
        <w:t>434</w:t>
      </w:r>
      <w:r w:rsidR="00710008" w:rsidRPr="0020715D">
        <w:rPr>
          <w:lang w:val="en-GB"/>
        </w:rPr>
        <w:t>.</w:t>
      </w:r>
      <w:r w:rsidR="00522E92" w:rsidRPr="0020715D">
        <w:rPr>
          <w:lang w:val="en-GB"/>
        </w:rPr>
        <w:t xml:space="preserve"> </w:t>
      </w:r>
    </w:p>
  </w:footnote>
  <w:footnote w:id="80">
    <w:p w14:paraId="0BA01E4F" w14:textId="7CCFE3E9" w:rsidR="0077672B" w:rsidRDefault="0077672B" w:rsidP="0077672B">
      <w:pPr>
        <w:pStyle w:val="FootnoteText"/>
        <w:rPr>
          <w:lang w:val="en-GB"/>
        </w:rPr>
      </w:pPr>
      <w:r>
        <w:rPr>
          <w:rStyle w:val="FootnoteReference"/>
        </w:rPr>
        <w:footnoteRef/>
      </w:r>
      <w:r>
        <w:t xml:space="preserve"> </w:t>
      </w:r>
      <w:r w:rsidR="004C1247" w:rsidRPr="004C1247">
        <w:rPr>
          <w:lang w:val="en-GB"/>
        </w:rPr>
        <w:t xml:space="preserve">Australian Law Reform Commission, Pathways to Justice – </w:t>
      </w:r>
      <w:r w:rsidR="004C1247" w:rsidRPr="00677C01">
        <w:rPr>
          <w:i/>
          <w:iCs/>
          <w:lang w:val="en-GB"/>
        </w:rPr>
        <w:t>Inquiry into the Incarceration Rate of Aboriginal and Torres Strait Islander Peoples</w:t>
      </w:r>
      <w:r w:rsidR="004C1247" w:rsidRPr="004C1247">
        <w:rPr>
          <w:lang w:val="en-GB"/>
        </w:rPr>
        <w:t xml:space="preserve"> (Report No 133, 28 March 2018)</w:t>
      </w:r>
      <w:r>
        <w:rPr>
          <w:lang w:val="en-GB"/>
        </w:rPr>
        <w:t xml:space="preserve"> 453.</w:t>
      </w:r>
    </w:p>
  </w:footnote>
  <w:footnote w:id="81">
    <w:p w14:paraId="18B7792B" w14:textId="395A2785" w:rsidR="0077672B" w:rsidRDefault="0077672B" w:rsidP="0077672B">
      <w:pPr>
        <w:pStyle w:val="FootnoteText"/>
        <w:rPr>
          <w:lang w:val="en-GB"/>
        </w:rPr>
      </w:pPr>
      <w:r w:rsidRPr="0020715D">
        <w:rPr>
          <w:rStyle w:val="FootnoteReference"/>
        </w:rPr>
        <w:footnoteRef/>
      </w:r>
      <w:r w:rsidRPr="0020715D">
        <w:t xml:space="preserve"> </w:t>
      </w:r>
      <w:r w:rsidR="00A240F7" w:rsidRPr="0020715D">
        <w:rPr>
          <w:lang w:val="en-GB"/>
        </w:rPr>
        <w:t xml:space="preserve">Queensland Family &amp; Child Commission, </w:t>
      </w:r>
      <w:proofErr w:type="gramStart"/>
      <w:r w:rsidR="00A240F7" w:rsidRPr="0020715D">
        <w:rPr>
          <w:i/>
          <w:iCs/>
          <w:lang w:val="en-GB"/>
        </w:rPr>
        <w:t>Who’s</w:t>
      </w:r>
      <w:proofErr w:type="gramEnd"/>
      <w:r w:rsidR="00A240F7" w:rsidRPr="0020715D">
        <w:rPr>
          <w:i/>
          <w:iCs/>
          <w:lang w:val="en-GB"/>
        </w:rPr>
        <w:t xml:space="preserve"> responsible: Understanding why young people are being held longer in Queensland watch houses</w:t>
      </w:r>
      <w:r w:rsidR="00A240F7" w:rsidRPr="0020715D">
        <w:rPr>
          <w:lang w:val="en-GB"/>
        </w:rPr>
        <w:t xml:space="preserve"> (30 November 2023) </w:t>
      </w:r>
      <w:r w:rsidRPr="0020715D">
        <w:t>5.</w:t>
      </w:r>
    </w:p>
  </w:footnote>
  <w:footnote w:id="82">
    <w:p w14:paraId="4B8B1A3D" w14:textId="03C445BA" w:rsidR="008A01CD" w:rsidRPr="002B013E" w:rsidRDefault="008A01CD">
      <w:pPr>
        <w:pStyle w:val="FootnoteText"/>
        <w:rPr>
          <w:lang w:val="en-GB"/>
        </w:rPr>
      </w:pPr>
      <w:r>
        <w:rPr>
          <w:rStyle w:val="FootnoteReference"/>
        </w:rPr>
        <w:footnoteRef/>
      </w:r>
      <w:r>
        <w:t xml:space="preserve"> </w:t>
      </w:r>
      <w:r w:rsidR="004C1247">
        <w:t>Department of Youth Justice,</w:t>
      </w:r>
      <w:r w:rsidR="002B013E">
        <w:t xml:space="preserve"> </w:t>
      </w:r>
      <w:r w:rsidR="002B013E">
        <w:rPr>
          <w:i/>
          <w:iCs/>
        </w:rPr>
        <w:t>Youth Justice Pocket Stats 2023-2024</w:t>
      </w:r>
      <w:r w:rsidR="002B013E">
        <w:t xml:space="preserve"> (Pocket statistics, </w:t>
      </w:r>
      <w:r w:rsidR="00605793">
        <w:t>31 July 2024).</w:t>
      </w:r>
    </w:p>
  </w:footnote>
  <w:footnote w:id="83">
    <w:p w14:paraId="2CA81419" w14:textId="51F0A122" w:rsidR="00F73E04" w:rsidRDefault="00F73E04" w:rsidP="00F73E04">
      <w:pPr>
        <w:pStyle w:val="FootnoteText"/>
        <w:rPr>
          <w:lang w:val="en-GB"/>
        </w:rPr>
      </w:pPr>
      <w:r>
        <w:rPr>
          <w:rStyle w:val="FootnoteReference"/>
        </w:rPr>
        <w:footnoteRef/>
      </w:r>
      <w:r>
        <w:t xml:space="preserve"> </w:t>
      </w:r>
      <w:r w:rsidR="007A5704" w:rsidRPr="007A5704">
        <w:rPr>
          <w:i/>
          <w:iCs/>
        </w:rPr>
        <w:t>Royal Commission into Violence, Abuse, Neglect and Exploitation of People with Disability</w:t>
      </w:r>
      <w:r w:rsidR="007A5704" w:rsidRPr="007A5704">
        <w:t xml:space="preserve"> (Final Report,</w:t>
      </w:r>
      <w:r w:rsidR="007A5704" w:rsidRPr="007A5704">
        <w:rPr>
          <w:i/>
          <w:iCs/>
        </w:rPr>
        <w:t xml:space="preserve"> </w:t>
      </w:r>
      <w:r w:rsidR="007A5704" w:rsidRPr="007A5704">
        <w:t>September 2023) vol 8</w:t>
      </w:r>
      <w:r w:rsidR="00954C10">
        <w:t>, 8</w:t>
      </w:r>
      <w:r w:rsidR="00930EAA">
        <w:t>1</w:t>
      </w:r>
      <w:r w:rsidR="0000334D">
        <w:t>.</w:t>
      </w:r>
      <w:r>
        <w:rPr>
          <w:lang w:val="en-GB"/>
        </w:rPr>
        <w:t xml:space="preserve"> </w:t>
      </w:r>
    </w:p>
  </w:footnote>
  <w:footnote w:id="84">
    <w:p w14:paraId="0F09435E" w14:textId="2183659E" w:rsidR="00172CCA" w:rsidRDefault="00172CCA" w:rsidP="00172CCA">
      <w:pPr>
        <w:pStyle w:val="FootnoteText"/>
        <w:rPr>
          <w:lang w:val="en-GB"/>
        </w:rPr>
      </w:pPr>
      <w:r>
        <w:rPr>
          <w:rStyle w:val="FootnoteReference"/>
        </w:rPr>
        <w:footnoteRef/>
      </w:r>
      <w:r>
        <w:t xml:space="preserve"> </w:t>
      </w:r>
      <w:r w:rsidR="00551C1D" w:rsidRPr="00650C80">
        <w:rPr>
          <w:i/>
          <w:iCs/>
        </w:rPr>
        <w:t xml:space="preserve">United Nations Committee on the Rights of the Child, General Comment No 24: Children’s Rights in the Child Justice System, </w:t>
      </w:r>
      <w:r w:rsidR="00551C1D" w:rsidRPr="0062251D">
        <w:t>UN Doc CRC/C/GC/24</w:t>
      </w:r>
      <w:r w:rsidR="00551C1D" w:rsidRPr="00650C80">
        <w:rPr>
          <w:i/>
          <w:iCs/>
        </w:rPr>
        <w:t xml:space="preserve"> </w:t>
      </w:r>
      <w:r w:rsidR="00551C1D" w:rsidRPr="00443A05">
        <w:t>(18 September 2019)</w:t>
      </w:r>
      <w:r w:rsidR="00770AF8">
        <w:t xml:space="preserve"> 7 </w:t>
      </w:r>
      <w:r w:rsidR="00FB7C02">
        <w:t>[28]</w:t>
      </w:r>
      <w:r>
        <w:rPr>
          <w:lang w:val="en-GB"/>
        </w:rPr>
        <w:t>.</w:t>
      </w:r>
    </w:p>
  </w:footnote>
  <w:footnote w:id="85">
    <w:p w14:paraId="5904C069" w14:textId="68ADBFCB" w:rsidR="00DF4786" w:rsidRDefault="00DF4786" w:rsidP="00DF4786">
      <w:pPr>
        <w:pStyle w:val="FootnoteText"/>
        <w:rPr>
          <w:lang w:val="en-GB"/>
        </w:rPr>
      </w:pPr>
      <w:r>
        <w:rPr>
          <w:rStyle w:val="FootnoteReference"/>
        </w:rPr>
        <w:footnoteRef/>
      </w:r>
      <w:r>
        <w:t xml:space="preserve"> </w:t>
      </w:r>
      <w:r w:rsidR="00E20D58">
        <w:t xml:space="preserve">Youth Justice Reform Select Committee, </w:t>
      </w:r>
      <w:r w:rsidR="00E20D58" w:rsidRPr="00A7020A">
        <w:rPr>
          <w:i/>
          <w:iCs/>
        </w:rPr>
        <w:t>Inquiry into ongoing reforms to the youth justice system and support for victims of crime</w:t>
      </w:r>
      <w:r w:rsidR="00E20D58">
        <w:t xml:space="preserve"> (Interim Report, April 2024)</w:t>
      </w:r>
      <w:r w:rsidR="002816FE">
        <w:t xml:space="preserve"> </w:t>
      </w:r>
      <w:r>
        <w:rPr>
          <w:lang w:val="en-GB"/>
        </w:rPr>
        <w:t>9, 70</w:t>
      </w:r>
      <w:r>
        <w:rPr>
          <w:rFonts w:cs="Arial"/>
          <w:lang w:val="en-GB"/>
        </w:rPr>
        <w:t>–</w:t>
      </w:r>
      <w:r>
        <w:rPr>
          <w:lang w:val="en-GB"/>
        </w:rPr>
        <w:t>1.</w:t>
      </w:r>
    </w:p>
  </w:footnote>
  <w:footnote w:id="86">
    <w:p w14:paraId="2005E192" w14:textId="636C7751" w:rsidR="008E751F" w:rsidRDefault="008E751F" w:rsidP="008E751F">
      <w:pPr>
        <w:pStyle w:val="FootnoteText"/>
        <w:rPr>
          <w:lang w:val="en-GB"/>
        </w:rPr>
      </w:pPr>
      <w:r>
        <w:rPr>
          <w:rStyle w:val="FootnoteReference"/>
        </w:rPr>
        <w:footnoteRef/>
      </w:r>
      <w:r>
        <w:t xml:space="preserve"> </w:t>
      </w:r>
      <w:r w:rsidR="002244B7" w:rsidRPr="007A5704">
        <w:rPr>
          <w:i/>
          <w:iCs/>
        </w:rPr>
        <w:t>Royal Commission into Violence, Abuse, Neglect and Exploitation of People with Disability</w:t>
      </w:r>
      <w:r w:rsidR="002244B7" w:rsidRPr="007A5704">
        <w:t xml:space="preserve"> (Final Report,</w:t>
      </w:r>
      <w:r w:rsidR="002244B7" w:rsidRPr="007A5704">
        <w:rPr>
          <w:i/>
          <w:iCs/>
        </w:rPr>
        <w:t xml:space="preserve"> </w:t>
      </w:r>
      <w:r w:rsidR="002244B7" w:rsidRPr="007A5704">
        <w:t>September 2023) vol 8</w:t>
      </w:r>
      <w:r w:rsidR="002244B7">
        <w:t xml:space="preserve">, </w:t>
      </w:r>
      <w:r>
        <w:rPr>
          <w:lang w:val="en-GB"/>
        </w:rPr>
        <w:t>39</w:t>
      </w:r>
      <w:r>
        <w:rPr>
          <w:rFonts w:cs="Arial"/>
          <w:lang w:val="en-GB"/>
        </w:rPr>
        <w:t>–</w:t>
      </w:r>
      <w:r>
        <w:rPr>
          <w:lang w:val="en-GB"/>
        </w:rPr>
        <w:t>42.</w:t>
      </w:r>
    </w:p>
  </w:footnote>
  <w:footnote w:id="87">
    <w:p w14:paraId="35023E8A" w14:textId="3E84813B" w:rsidR="007157EE" w:rsidRDefault="007157EE" w:rsidP="007157EE">
      <w:pPr>
        <w:pStyle w:val="FootnoteText"/>
        <w:rPr>
          <w:lang w:val="en-GB"/>
        </w:rPr>
      </w:pPr>
      <w:r>
        <w:rPr>
          <w:rStyle w:val="FootnoteReference"/>
        </w:rPr>
        <w:footnoteRef/>
      </w:r>
      <w:r>
        <w:t xml:space="preserve"> </w:t>
      </w:r>
      <w:r w:rsidR="002244B7" w:rsidRPr="007A5704">
        <w:rPr>
          <w:i/>
          <w:iCs/>
        </w:rPr>
        <w:t>Royal Commission into Violence, Abuse, Neglect and Exploitation of People with Disability</w:t>
      </w:r>
      <w:r w:rsidR="002244B7" w:rsidRPr="007A5704">
        <w:t xml:space="preserve"> (Final Report,</w:t>
      </w:r>
      <w:r w:rsidR="002244B7" w:rsidRPr="007A5704">
        <w:rPr>
          <w:i/>
          <w:iCs/>
        </w:rPr>
        <w:t xml:space="preserve"> </w:t>
      </w:r>
      <w:r w:rsidR="002244B7" w:rsidRPr="007A5704">
        <w:t>September 2023) vol 8</w:t>
      </w:r>
      <w:r w:rsidR="002244B7">
        <w:t xml:space="preserve">, </w:t>
      </w:r>
      <w:r w:rsidR="00E70A16">
        <w:rPr>
          <w:lang w:val="en-GB"/>
        </w:rPr>
        <w:t>5</w:t>
      </w:r>
      <w:r>
        <w:rPr>
          <w:lang w:val="en-GB"/>
        </w:rPr>
        <w:t>.</w:t>
      </w:r>
    </w:p>
  </w:footnote>
  <w:footnote w:id="88">
    <w:p w14:paraId="32261385" w14:textId="4A926032" w:rsidR="007157EE" w:rsidRDefault="007157EE" w:rsidP="007157EE">
      <w:pPr>
        <w:pStyle w:val="FootnoteText"/>
        <w:rPr>
          <w:lang w:val="en-GB"/>
        </w:rPr>
      </w:pPr>
      <w:r>
        <w:rPr>
          <w:rStyle w:val="FootnoteReference"/>
        </w:rPr>
        <w:footnoteRef/>
      </w:r>
      <w:r>
        <w:t xml:space="preserve"> </w:t>
      </w:r>
      <w:r w:rsidR="002244B7" w:rsidRPr="007A5704">
        <w:rPr>
          <w:i/>
          <w:iCs/>
        </w:rPr>
        <w:t>Royal Commission into Violence, Abuse, Neglect and Exploitation of People with Disability</w:t>
      </w:r>
      <w:r w:rsidR="002244B7" w:rsidRPr="007A5704">
        <w:t xml:space="preserve"> (Final Report,</w:t>
      </w:r>
      <w:r w:rsidR="002244B7" w:rsidRPr="007A5704">
        <w:rPr>
          <w:i/>
          <w:iCs/>
        </w:rPr>
        <w:t xml:space="preserve"> </w:t>
      </w:r>
      <w:r w:rsidR="002244B7" w:rsidRPr="007A5704">
        <w:t>September 2023) vol 8</w:t>
      </w:r>
      <w:r w:rsidR="002244B7">
        <w:t xml:space="preserve">, </w:t>
      </w:r>
      <w:r>
        <w:rPr>
          <w:lang w:val="en-GB"/>
        </w:rPr>
        <w:t>81</w:t>
      </w:r>
      <w:r w:rsidR="000D6490">
        <w:rPr>
          <w:lang w:val="en-GB"/>
        </w:rPr>
        <w:t>.</w:t>
      </w:r>
    </w:p>
  </w:footnote>
  <w:footnote w:id="89">
    <w:p w14:paraId="23150BCC" w14:textId="77777777" w:rsidR="00E6233D" w:rsidRDefault="00E6233D" w:rsidP="00E6233D">
      <w:pPr>
        <w:pStyle w:val="FootnoteText"/>
      </w:pPr>
      <w:r>
        <w:rPr>
          <w:rStyle w:val="FootnoteReference"/>
        </w:rPr>
        <w:footnoteRef/>
      </w:r>
      <w:r>
        <w:t xml:space="preserve"> Bar Association of Queensland</w:t>
      </w:r>
      <w:r w:rsidRPr="002B51CF">
        <w:t>, Submission No 1</w:t>
      </w:r>
      <w:r>
        <w:t>65</w:t>
      </w:r>
      <w:r w:rsidRPr="002B51CF">
        <w:t xml:space="preserve"> to Justice, Integrity and Community Safety Committee, Parliament of Queensland, Inquiry into the Making Queensland Safer</w:t>
      </w:r>
      <w:r w:rsidRPr="002B51CF">
        <w:rPr>
          <w:i/>
          <w:iCs/>
        </w:rPr>
        <w:t xml:space="preserve"> </w:t>
      </w:r>
      <w:r w:rsidRPr="002B51CF">
        <w:t>Bill 2024 (</w:t>
      </w:r>
      <w:r>
        <w:t>3</w:t>
      </w:r>
      <w:r w:rsidRPr="002B51CF">
        <w:t xml:space="preserve"> December 2024).</w:t>
      </w:r>
    </w:p>
  </w:footnote>
  <w:footnote w:id="90">
    <w:p w14:paraId="794990BD" w14:textId="77777777" w:rsidR="00180EB4" w:rsidRPr="00615B9C" w:rsidRDefault="00180EB4" w:rsidP="00180EB4">
      <w:pPr>
        <w:pStyle w:val="FootnoteText"/>
        <w:rPr>
          <w:lang w:val="en-GB"/>
        </w:rPr>
      </w:pPr>
      <w:r>
        <w:rPr>
          <w:rStyle w:val="FootnoteReference"/>
        </w:rPr>
        <w:footnoteRef/>
      </w:r>
      <w:r>
        <w:t xml:space="preserve"> Samuel Jeffs et al, ‘Understanding of sentencing: Community knowledge of sentencing terms and outcomes’ (Research brief No.3, Queensland Sentencing Advisory Council, April 2023, 2.</w:t>
      </w:r>
    </w:p>
  </w:footnote>
  <w:footnote w:id="91">
    <w:p w14:paraId="164297B3" w14:textId="77777777" w:rsidR="00180EB4" w:rsidRPr="003706E7" w:rsidRDefault="00180EB4" w:rsidP="00180EB4">
      <w:pPr>
        <w:pStyle w:val="FootnoteText"/>
        <w:rPr>
          <w:lang w:val="en-GB"/>
        </w:rPr>
      </w:pPr>
      <w:r>
        <w:rPr>
          <w:rStyle w:val="FootnoteReference"/>
        </w:rPr>
        <w:footnoteRef/>
      </w:r>
      <w:r>
        <w:t xml:space="preserve"> Dr Emma Antrobus, Dr Joseph </w:t>
      </w:r>
      <w:proofErr w:type="spellStart"/>
      <w:r>
        <w:t>Lelliott</w:t>
      </w:r>
      <w:proofErr w:type="spellEnd"/>
      <w:r>
        <w:t>, and Dr Rebecca Wallis, ‘Tackling youth crime: Why a ‘crackdown’ isn’t the answer’ (Opinion and analysis, University of Queensland) &lt;</w:t>
      </w:r>
      <w:r w:rsidRPr="00600073">
        <w:t>https://stories.uq.edu.au/contact-magazine/tackling-youth-crime/index.html#:~:text=Recent%20reporting%20in%20Queensland%20has,TV%20%E2%80%93%20is%20disproportionate%20to%20the</w:t>
      </w:r>
      <w:r>
        <w:t>&gt;.</w:t>
      </w:r>
    </w:p>
  </w:footnote>
  <w:footnote w:id="92">
    <w:p w14:paraId="13C27D61" w14:textId="77777777" w:rsidR="00180EB4" w:rsidRPr="002F75CB" w:rsidRDefault="00180EB4" w:rsidP="00180EB4">
      <w:pPr>
        <w:pStyle w:val="FootnoteText"/>
        <w:rPr>
          <w:lang w:val="en-GB"/>
        </w:rPr>
      </w:pPr>
      <w:r>
        <w:rPr>
          <w:rStyle w:val="FootnoteReference"/>
        </w:rPr>
        <w:footnoteRef/>
      </w:r>
      <w:r>
        <w:rPr>
          <w:lang w:val="en-GB"/>
        </w:rPr>
        <w:t xml:space="preserve"> Stewart Riddle et al., ‘Moving beyond deficit media figurations of young people: troubling the contemporary ‘youth crime crisis’ (2023), Vol. 37 No. 6, </w:t>
      </w:r>
      <w:r>
        <w:rPr>
          <w:i/>
          <w:iCs/>
          <w:lang w:val="en-GB"/>
        </w:rPr>
        <w:t>Journal of Media and Cultural Studies</w:t>
      </w:r>
      <w:r>
        <w:rPr>
          <w:lang w:val="en-GB"/>
        </w:rPr>
        <w:t>, 756-769.</w:t>
      </w:r>
    </w:p>
  </w:footnote>
  <w:footnote w:id="93">
    <w:p w14:paraId="2750B36D" w14:textId="77777777" w:rsidR="00180EB4" w:rsidRPr="00B96B78" w:rsidRDefault="00180EB4" w:rsidP="00180EB4">
      <w:pPr>
        <w:pStyle w:val="FootnoteText"/>
        <w:rPr>
          <w:lang w:val="en-GB"/>
        </w:rPr>
      </w:pPr>
      <w:r>
        <w:rPr>
          <w:rStyle w:val="FootnoteReference"/>
        </w:rPr>
        <w:footnoteRef/>
      </w:r>
      <w:r>
        <w:t xml:space="preserve"> </w:t>
      </w:r>
      <w:r w:rsidRPr="00E2250C">
        <w:t xml:space="preserve">Youth Justice Reform Select Committee, Queensland Parliament, </w:t>
      </w:r>
      <w:r w:rsidRPr="00E2250C">
        <w:rPr>
          <w:i/>
          <w:iCs/>
        </w:rPr>
        <w:t xml:space="preserve">Interim Report: Inquiry into ongoing reforms to the youth justice system and support for victims of crime </w:t>
      </w:r>
      <w:r w:rsidRPr="00E2250C">
        <w:t>(Interim report, April 2024) 99.</w:t>
      </w:r>
    </w:p>
  </w:footnote>
  <w:footnote w:id="94">
    <w:p w14:paraId="5EB79A6B" w14:textId="77777777" w:rsidR="00F775D6" w:rsidRPr="00B06AFF" w:rsidRDefault="00F775D6" w:rsidP="00F775D6">
      <w:pPr>
        <w:pStyle w:val="FootnoteText"/>
        <w:rPr>
          <w:lang w:val="en-GB"/>
        </w:rPr>
      </w:pPr>
      <w:r w:rsidRPr="00B06AFF">
        <w:rPr>
          <w:rStyle w:val="FootnoteReference"/>
        </w:rPr>
        <w:footnoteRef/>
      </w:r>
      <w:r w:rsidRPr="00B06AFF">
        <w:t xml:space="preserve"> </w:t>
      </w:r>
      <w:r w:rsidRPr="00F45DB9">
        <w:rPr>
          <w:i/>
          <w:iCs/>
        </w:rPr>
        <w:t xml:space="preserve">National Agreement on Closing the Gap: </w:t>
      </w:r>
      <w:proofErr w:type="gramStart"/>
      <w:r w:rsidRPr="00F45DB9">
        <w:rPr>
          <w:i/>
          <w:iCs/>
        </w:rPr>
        <w:t>an</w:t>
      </w:r>
      <w:proofErr w:type="gramEnd"/>
      <w:r w:rsidRPr="00F45DB9">
        <w:rPr>
          <w:i/>
          <w:iCs/>
        </w:rPr>
        <w:t xml:space="preserve"> Agreement Between the Coalition of Aboriginal and Torres Strait Islander Peak Organisations and All Australian Governments </w:t>
      </w:r>
      <w:r w:rsidRPr="00A6423B">
        <w:t>(July 2020)</w:t>
      </w:r>
      <w:r w:rsidRPr="00F45DB9">
        <w:rPr>
          <w:i/>
          <w:iCs/>
        </w:rPr>
        <w:t xml:space="preserve"> </w:t>
      </w:r>
      <w:r w:rsidRPr="00B06AFF">
        <w:t>cl 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037283DD" w14:paraId="11353CA0" w14:textId="77777777" w:rsidTr="037283DD">
      <w:trPr>
        <w:trHeight w:val="300"/>
      </w:trPr>
      <w:tc>
        <w:tcPr>
          <w:tcW w:w="2765" w:type="dxa"/>
        </w:tcPr>
        <w:p w14:paraId="5DC4BECA" w14:textId="02AE989D" w:rsidR="037283DD" w:rsidRDefault="037283DD" w:rsidP="037283DD">
          <w:pPr>
            <w:pStyle w:val="Header"/>
            <w:ind w:left="-115"/>
          </w:pPr>
        </w:p>
      </w:tc>
      <w:tc>
        <w:tcPr>
          <w:tcW w:w="2765" w:type="dxa"/>
        </w:tcPr>
        <w:p w14:paraId="0FF59E32" w14:textId="2E02D769" w:rsidR="037283DD" w:rsidRDefault="037283DD" w:rsidP="037283DD">
          <w:pPr>
            <w:pStyle w:val="Header"/>
            <w:jc w:val="center"/>
          </w:pPr>
        </w:p>
      </w:tc>
      <w:tc>
        <w:tcPr>
          <w:tcW w:w="2765" w:type="dxa"/>
        </w:tcPr>
        <w:p w14:paraId="02A5A85D" w14:textId="1E03043D" w:rsidR="037283DD" w:rsidRDefault="037283DD" w:rsidP="037283DD">
          <w:pPr>
            <w:pStyle w:val="Header"/>
            <w:ind w:right="-115"/>
            <w:jc w:val="right"/>
          </w:pPr>
        </w:p>
      </w:tc>
    </w:tr>
  </w:tbl>
  <w:p w14:paraId="58B8D634" w14:textId="124BDC2D" w:rsidR="00704181" w:rsidRDefault="007041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ABEE3" w14:textId="77777777" w:rsidR="007C510E" w:rsidRDefault="007C510E" w:rsidP="00260847">
    <w:pPr>
      <w:pStyle w:val="Header"/>
      <w:tabs>
        <w:tab w:val="clear" w:pos="4513"/>
        <w:tab w:val="clear" w:pos="9026"/>
      </w:tabs>
      <w:spacing w:before="240"/>
    </w:pPr>
  </w:p>
  <w:p w14:paraId="2329BFAB" w14:textId="77777777" w:rsidR="007C510E" w:rsidRDefault="007C51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81F96" w14:textId="77777777" w:rsidR="007C510E" w:rsidRPr="000731D3" w:rsidRDefault="007C510E" w:rsidP="000731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B0F1" w14:textId="77777777" w:rsidR="007C510E" w:rsidRPr="000731D3" w:rsidRDefault="007C510E" w:rsidP="000731D3">
    <w:pPr>
      <w:pStyle w:val="Header"/>
      <w:rPr>
        <w:rFonts w:cs="Arial"/>
        <w:color w:val="365F91" w:themeColor="accent1" w:themeShade="BF"/>
      </w:rPr>
    </w:pPr>
    <w:r>
      <w:rPr>
        <w:rFonts w:cs="Arial"/>
        <w:color w:val="365F91" w:themeColor="accent1" w:themeShade="BF"/>
      </w:rPr>
      <w:t>[title]</w:t>
    </w:r>
  </w:p>
  <w:p w14:paraId="5E7BCBF7" w14:textId="77777777" w:rsidR="007C510E" w:rsidRPr="000731D3" w:rsidRDefault="007C510E" w:rsidP="000731D3">
    <w:pPr>
      <w:pStyle w:val="Header"/>
      <w:pBdr>
        <w:bottom w:val="single" w:sz="4" w:space="1" w:color="auto"/>
      </w:pBdr>
      <w:rPr>
        <w:rFonts w:cs="Arial"/>
        <w:sz w:val="20"/>
        <w:szCs w:val="20"/>
      </w:rPr>
    </w:pPr>
  </w:p>
  <w:p w14:paraId="4E4CA855" w14:textId="77777777" w:rsidR="007C510E" w:rsidRPr="000731D3" w:rsidRDefault="007C510E" w:rsidP="000731D3">
    <w:pPr>
      <w:pStyle w:val="Header"/>
      <w:rPr>
        <w:rFonts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3C83"/>
    <w:multiLevelType w:val="multilevel"/>
    <w:tmpl w:val="8BDCFC92"/>
    <w:lvl w:ilvl="0">
      <w:start w:val="1"/>
      <w:numFmt w:val="decimal"/>
      <w:lvlText w:val="%1."/>
      <w:lvlJc w:val="left"/>
      <w:pPr>
        <w:ind w:left="567" w:hanging="567"/>
      </w:pPr>
      <w:rPr>
        <w:rFonts w:hint="default"/>
        <w:i w:val="0"/>
        <w:iCs w:val="0"/>
      </w:rPr>
    </w:lvl>
    <w:lvl w:ilvl="1">
      <w:start w:val="1"/>
      <w:numFmt w:val="bullet"/>
      <w:lvlText w:val=""/>
      <w:lvlJc w:val="left"/>
      <w:pPr>
        <w:ind w:left="907" w:hanging="360"/>
      </w:pPr>
      <w:rPr>
        <w:rFonts w:ascii="Symbol" w:hAnsi="Symbol"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 w15:restartNumberingAfterBreak="0">
    <w:nsid w:val="023C7337"/>
    <w:multiLevelType w:val="hybridMultilevel"/>
    <w:tmpl w:val="4CF274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BDE7052"/>
    <w:multiLevelType w:val="multilevel"/>
    <w:tmpl w:val="F6CCB600"/>
    <w:lvl w:ilvl="0">
      <w:start w:val="1"/>
      <w:numFmt w:val="decimal"/>
      <w:lvlText w:val="%1."/>
      <w:lvlJc w:val="left"/>
      <w:pPr>
        <w:ind w:left="567" w:hanging="567"/>
      </w:pPr>
      <w:rPr>
        <w:rFonts w:hint="default"/>
        <w:i w:val="0"/>
        <w:iCs w:val="0"/>
      </w:rPr>
    </w:lvl>
    <w:lvl w:ilvl="1">
      <w:start w:val="1"/>
      <w:numFmt w:val="bullet"/>
      <w:lvlText w:val=""/>
      <w:lvlJc w:val="left"/>
      <w:pPr>
        <w:ind w:left="907" w:hanging="360"/>
      </w:pPr>
      <w:rPr>
        <w:rFonts w:ascii="Symbol" w:hAnsi="Symbol" w:hint="default"/>
        <w:b w:val="0"/>
        <w:i w:val="0"/>
        <w:sz w:val="24"/>
      </w:rPr>
    </w:lvl>
    <w:lvl w:ilvl="2">
      <w:start w:val="1"/>
      <w:numFmt w:val="bullet"/>
      <w:lvlText w:val=""/>
      <w:lvlJc w:val="left"/>
      <w:pPr>
        <w:ind w:left="1494" w:hanging="360"/>
      </w:pPr>
      <w:rPr>
        <w:rFonts w:ascii="Symbol" w:hAnsi="Symbol"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3" w15:restartNumberingAfterBreak="0">
    <w:nsid w:val="0F2C4CA6"/>
    <w:multiLevelType w:val="multilevel"/>
    <w:tmpl w:val="CB5E8DAA"/>
    <w:lvl w:ilvl="0">
      <w:start w:val="1"/>
      <w:numFmt w:val="decimal"/>
      <w:lvlText w:val="%1."/>
      <w:lvlJc w:val="left"/>
      <w:pPr>
        <w:ind w:left="567" w:hanging="567"/>
      </w:pPr>
      <w:rPr>
        <w:rFonts w:hint="default"/>
      </w:rPr>
    </w:lvl>
    <w:lvl w:ilvl="1">
      <w:start w:val="1"/>
      <w:numFmt w:val="lowerLetter"/>
      <w:lvlText w:val="%2."/>
      <w:lvlJc w:val="left"/>
      <w:pPr>
        <w:ind w:left="907" w:hanging="360"/>
      </w:p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4" w15:restartNumberingAfterBreak="0">
    <w:nsid w:val="10250E7E"/>
    <w:multiLevelType w:val="multilevel"/>
    <w:tmpl w:val="AA0882AE"/>
    <w:lvl w:ilvl="0">
      <w:start w:val="1"/>
      <w:numFmt w:val="decimal"/>
      <w:lvlText w:val="%1."/>
      <w:lvlJc w:val="left"/>
      <w:pPr>
        <w:ind w:left="567" w:hanging="567"/>
      </w:pPr>
      <w:rPr>
        <w:rFonts w:hint="default"/>
        <w:b w:val="0"/>
        <w:bCs w:val="0"/>
        <w:i w:val="0"/>
        <w:iCs w:val="0"/>
      </w:rPr>
    </w:lvl>
    <w:lvl w:ilvl="1">
      <w:start w:val="1"/>
      <w:numFmt w:val="bullet"/>
      <w:lvlText w:val=""/>
      <w:lvlJc w:val="left"/>
      <w:pPr>
        <w:ind w:left="907" w:hanging="360"/>
      </w:pPr>
      <w:rPr>
        <w:rFonts w:ascii="Symbol" w:hAnsi="Symbol" w:hint="default"/>
        <w:b w:val="0"/>
        <w:i w:val="0"/>
        <w:sz w:val="24"/>
      </w:rPr>
    </w:lvl>
    <w:lvl w:ilvl="2">
      <w:start w:val="1"/>
      <w:numFmt w:val="bullet"/>
      <w:lvlText w:val=""/>
      <w:lvlJc w:val="left"/>
      <w:pPr>
        <w:ind w:left="1494" w:hanging="360"/>
      </w:pPr>
      <w:rPr>
        <w:rFonts w:ascii="Symbol" w:hAnsi="Symbol"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5" w15:restartNumberingAfterBreak="0">
    <w:nsid w:val="189B242A"/>
    <w:multiLevelType w:val="multilevel"/>
    <w:tmpl w:val="CB5E8DAA"/>
    <w:lvl w:ilvl="0">
      <w:start w:val="1"/>
      <w:numFmt w:val="decimal"/>
      <w:lvlText w:val="%1."/>
      <w:lvlJc w:val="left"/>
      <w:pPr>
        <w:ind w:left="567" w:hanging="567"/>
      </w:pPr>
      <w:rPr>
        <w:rFonts w:hint="default"/>
      </w:rPr>
    </w:lvl>
    <w:lvl w:ilvl="1">
      <w:start w:val="1"/>
      <w:numFmt w:val="lowerLetter"/>
      <w:lvlText w:val="%2."/>
      <w:lvlJc w:val="left"/>
      <w:pPr>
        <w:ind w:left="907" w:hanging="360"/>
      </w:p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6" w15:restartNumberingAfterBreak="0">
    <w:nsid w:val="285749ED"/>
    <w:multiLevelType w:val="multilevel"/>
    <w:tmpl w:val="CB5E8DAA"/>
    <w:lvl w:ilvl="0">
      <w:start w:val="1"/>
      <w:numFmt w:val="decimal"/>
      <w:lvlText w:val="%1."/>
      <w:lvlJc w:val="left"/>
      <w:pPr>
        <w:ind w:left="567" w:hanging="567"/>
      </w:pPr>
      <w:rPr>
        <w:rFonts w:hint="default"/>
      </w:rPr>
    </w:lvl>
    <w:lvl w:ilvl="1">
      <w:start w:val="1"/>
      <w:numFmt w:val="lowerLetter"/>
      <w:lvlText w:val="%2."/>
      <w:lvlJc w:val="left"/>
      <w:pPr>
        <w:ind w:left="907" w:hanging="360"/>
      </w:p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7" w15:restartNumberingAfterBreak="0">
    <w:nsid w:val="2A2F0A00"/>
    <w:multiLevelType w:val="multilevel"/>
    <w:tmpl w:val="9FB200BA"/>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361EAE"/>
    <w:multiLevelType w:val="multilevel"/>
    <w:tmpl w:val="CB5E8DAA"/>
    <w:lvl w:ilvl="0">
      <w:start w:val="1"/>
      <w:numFmt w:val="decimal"/>
      <w:lvlText w:val="%1."/>
      <w:lvlJc w:val="left"/>
      <w:pPr>
        <w:ind w:left="567" w:hanging="567"/>
      </w:pPr>
      <w:rPr>
        <w:rFonts w:hint="default"/>
      </w:rPr>
    </w:lvl>
    <w:lvl w:ilvl="1">
      <w:start w:val="1"/>
      <w:numFmt w:val="lowerLetter"/>
      <w:lvlText w:val="%2."/>
      <w:lvlJc w:val="left"/>
      <w:pPr>
        <w:ind w:left="907" w:hanging="360"/>
      </w:p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9" w15:restartNumberingAfterBreak="0">
    <w:nsid w:val="33F909EF"/>
    <w:multiLevelType w:val="multilevel"/>
    <w:tmpl w:val="77AC6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9B44A8"/>
    <w:multiLevelType w:val="multilevel"/>
    <w:tmpl w:val="8BDCFC92"/>
    <w:lvl w:ilvl="0">
      <w:start w:val="1"/>
      <w:numFmt w:val="decimal"/>
      <w:lvlText w:val="%1."/>
      <w:lvlJc w:val="left"/>
      <w:pPr>
        <w:ind w:left="567" w:hanging="567"/>
      </w:pPr>
      <w:rPr>
        <w:rFonts w:hint="default"/>
        <w:i w:val="0"/>
        <w:iCs w:val="0"/>
      </w:rPr>
    </w:lvl>
    <w:lvl w:ilvl="1">
      <w:start w:val="1"/>
      <w:numFmt w:val="bullet"/>
      <w:lvlText w:val=""/>
      <w:lvlJc w:val="left"/>
      <w:pPr>
        <w:ind w:left="907" w:hanging="360"/>
      </w:pPr>
      <w:rPr>
        <w:rFonts w:ascii="Symbol" w:hAnsi="Symbol"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1" w15:restartNumberingAfterBreak="0">
    <w:nsid w:val="402749E9"/>
    <w:multiLevelType w:val="multilevel"/>
    <w:tmpl w:val="7DB29E90"/>
    <w:lvl w:ilvl="0">
      <w:start w:val="1"/>
      <w:numFmt w:val="decimal"/>
      <w:lvlText w:val="%1."/>
      <w:lvlJc w:val="left"/>
      <w:pPr>
        <w:ind w:left="567" w:hanging="567"/>
      </w:pPr>
      <w:rPr>
        <w:rFonts w:hint="default"/>
        <w:i w:val="0"/>
        <w:iCs w:val="0"/>
      </w:rPr>
    </w:lvl>
    <w:lvl w:ilvl="1">
      <w:start w:val="1"/>
      <w:numFmt w:val="bullet"/>
      <w:lvlText w:val=""/>
      <w:lvlJc w:val="left"/>
      <w:pPr>
        <w:ind w:left="907" w:hanging="360"/>
      </w:pPr>
      <w:rPr>
        <w:rFonts w:ascii="Symbol" w:hAnsi="Symbol" w:hint="default"/>
        <w:b w:val="0"/>
        <w:i w:val="0"/>
        <w:sz w:val="24"/>
      </w:rPr>
    </w:lvl>
    <w:lvl w:ilvl="2">
      <w:start w:val="1"/>
      <w:numFmt w:val="bullet"/>
      <w:lvlText w:val=""/>
      <w:lvlJc w:val="left"/>
      <w:pPr>
        <w:ind w:left="1494" w:hanging="360"/>
      </w:pPr>
      <w:rPr>
        <w:rFonts w:ascii="Symbol" w:hAnsi="Symbol" w:hint="default"/>
      </w:rPr>
    </w:lvl>
    <w:lvl w:ilvl="3">
      <w:start w:val="1"/>
      <w:numFmt w:val="bullet"/>
      <w:lvlText w:val=""/>
      <w:lvlJc w:val="left"/>
      <w:pPr>
        <w:ind w:left="1431" w:hanging="360"/>
      </w:pPr>
      <w:rPr>
        <w:rFonts w:ascii="Symbol" w:hAnsi="Symbol"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2" w15:restartNumberingAfterBreak="0">
    <w:nsid w:val="41A34556"/>
    <w:multiLevelType w:val="multilevel"/>
    <w:tmpl w:val="CB5E8DAA"/>
    <w:lvl w:ilvl="0">
      <w:start w:val="1"/>
      <w:numFmt w:val="decimal"/>
      <w:lvlText w:val="%1."/>
      <w:lvlJc w:val="left"/>
      <w:pPr>
        <w:ind w:left="567" w:hanging="567"/>
      </w:pPr>
      <w:rPr>
        <w:rFonts w:hint="default"/>
      </w:rPr>
    </w:lvl>
    <w:lvl w:ilvl="1">
      <w:start w:val="1"/>
      <w:numFmt w:val="lowerLetter"/>
      <w:lvlText w:val="%2."/>
      <w:lvlJc w:val="left"/>
      <w:pPr>
        <w:ind w:left="907" w:hanging="360"/>
      </w:p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3" w15:restartNumberingAfterBreak="0">
    <w:nsid w:val="484703F4"/>
    <w:multiLevelType w:val="multilevel"/>
    <w:tmpl w:val="CB5E8DAA"/>
    <w:lvl w:ilvl="0">
      <w:start w:val="1"/>
      <w:numFmt w:val="decimal"/>
      <w:lvlText w:val="%1."/>
      <w:lvlJc w:val="left"/>
      <w:pPr>
        <w:ind w:left="567" w:hanging="567"/>
      </w:pPr>
      <w:rPr>
        <w:rFonts w:hint="default"/>
      </w:rPr>
    </w:lvl>
    <w:lvl w:ilvl="1">
      <w:start w:val="1"/>
      <w:numFmt w:val="lowerLetter"/>
      <w:lvlText w:val="%2."/>
      <w:lvlJc w:val="left"/>
      <w:pPr>
        <w:ind w:left="907" w:hanging="360"/>
      </w:p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4" w15:restartNumberingAfterBreak="0">
    <w:nsid w:val="4A4342EC"/>
    <w:multiLevelType w:val="multilevel"/>
    <w:tmpl w:val="EFE26B1A"/>
    <w:lvl w:ilvl="0">
      <w:start w:val="1"/>
      <w:numFmt w:val="decimal"/>
      <w:lvlText w:val="%1."/>
      <w:lvlJc w:val="left"/>
      <w:pPr>
        <w:ind w:left="567" w:hanging="567"/>
      </w:pPr>
      <w:rPr>
        <w:rFonts w:hint="default"/>
      </w:rPr>
    </w:lvl>
    <w:lvl w:ilvl="1">
      <w:start w:val="1"/>
      <w:numFmt w:val="bullet"/>
      <w:lvlText w:val=""/>
      <w:lvlJc w:val="left"/>
      <w:pPr>
        <w:ind w:left="907" w:hanging="360"/>
      </w:pPr>
      <w:rPr>
        <w:rFonts w:ascii="Symbol" w:hAnsi="Symbol" w:hint="default"/>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5" w15:restartNumberingAfterBreak="0">
    <w:nsid w:val="4FE12445"/>
    <w:multiLevelType w:val="multilevel"/>
    <w:tmpl w:val="CB5E8DAA"/>
    <w:lvl w:ilvl="0">
      <w:start w:val="1"/>
      <w:numFmt w:val="decimal"/>
      <w:lvlText w:val="%1."/>
      <w:lvlJc w:val="left"/>
      <w:pPr>
        <w:ind w:left="567" w:hanging="567"/>
      </w:pPr>
      <w:rPr>
        <w:rFonts w:hint="default"/>
      </w:rPr>
    </w:lvl>
    <w:lvl w:ilvl="1">
      <w:start w:val="1"/>
      <w:numFmt w:val="lowerLetter"/>
      <w:lvlText w:val="%2."/>
      <w:lvlJc w:val="left"/>
      <w:pPr>
        <w:ind w:left="907" w:hanging="360"/>
      </w:p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6" w15:restartNumberingAfterBreak="0">
    <w:nsid w:val="5589203E"/>
    <w:multiLevelType w:val="multilevel"/>
    <w:tmpl w:val="8BDCFC92"/>
    <w:lvl w:ilvl="0">
      <w:start w:val="1"/>
      <w:numFmt w:val="decimal"/>
      <w:lvlText w:val="%1."/>
      <w:lvlJc w:val="left"/>
      <w:pPr>
        <w:ind w:left="567" w:hanging="567"/>
      </w:pPr>
      <w:rPr>
        <w:rFonts w:hint="default"/>
        <w:i w:val="0"/>
        <w:iCs w:val="0"/>
      </w:rPr>
    </w:lvl>
    <w:lvl w:ilvl="1">
      <w:start w:val="1"/>
      <w:numFmt w:val="bullet"/>
      <w:lvlText w:val=""/>
      <w:lvlJc w:val="left"/>
      <w:pPr>
        <w:ind w:left="907" w:hanging="360"/>
      </w:pPr>
      <w:rPr>
        <w:rFonts w:ascii="Symbol" w:hAnsi="Symbol"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7" w15:restartNumberingAfterBreak="0">
    <w:nsid w:val="65194D81"/>
    <w:multiLevelType w:val="multilevel"/>
    <w:tmpl w:val="8BDCFC92"/>
    <w:lvl w:ilvl="0">
      <w:start w:val="1"/>
      <w:numFmt w:val="decimal"/>
      <w:lvlText w:val="%1."/>
      <w:lvlJc w:val="left"/>
      <w:pPr>
        <w:ind w:left="567" w:hanging="567"/>
      </w:pPr>
      <w:rPr>
        <w:rFonts w:hint="default"/>
        <w:i w:val="0"/>
        <w:iCs w:val="0"/>
      </w:rPr>
    </w:lvl>
    <w:lvl w:ilvl="1">
      <w:start w:val="1"/>
      <w:numFmt w:val="bullet"/>
      <w:lvlText w:val=""/>
      <w:lvlJc w:val="left"/>
      <w:pPr>
        <w:ind w:left="907" w:hanging="360"/>
      </w:pPr>
      <w:rPr>
        <w:rFonts w:ascii="Symbol" w:hAnsi="Symbol"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8" w15:restartNumberingAfterBreak="0">
    <w:nsid w:val="680E217B"/>
    <w:multiLevelType w:val="multilevel"/>
    <w:tmpl w:val="97A06F3E"/>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19" w15:restartNumberingAfterBreak="0">
    <w:nsid w:val="6A3125B2"/>
    <w:multiLevelType w:val="multilevel"/>
    <w:tmpl w:val="73FC068A"/>
    <w:lvl w:ilvl="0">
      <w:start w:val="1"/>
      <w:numFmt w:val="decimal"/>
      <w:lvlText w:val="%1."/>
      <w:lvlJc w:val="left"/>
      <w:pPr>
        <w:ind w:left="567" w:hanging="567"/>
      </w:pPr>
      <w:rPr>
        <w:rFonts w:hint="default"/>
      </w:rPr>
    </w:lvl>
    <w:lvl w:ilvl="1">
      <w:start w:val="1"/>
      <w:numFmt w:val="lowerLetter"/>
      <w:lvlText w:val="%2."/>
      <w:lvlJc w:val="left"/>
      <w:pPr>
        <w:ind w:left="907" w:hanging="360"/>
      </w:p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0" w15:restartNumberingAfterBreak="0">
    <w:nsid w:val="6FB37A93"/>
    <w:multiLevelType w:val="multilevel"/>
    <w:tmpl w:val="CB5E8DAA"/>
    <w:lvl w:ilvl="0">
      <w:start w:val="1"/>
      <w:numFmt w:val="decimal"/>
      <w:lvlText w:val="%1."/>
      <w:lvlJc w:val="left"/>
      <w:pPr>
        <w:ind w:left="567" w:hanging="567"/>
      </w:pPr>
      <w:rPr>
        <w:rFonts w:hint="default"/>
      </w:rPr>
    </w:lvl>
    <w:lvl w:ilvl="1">
      <w:start w:val="1"/>
      <w:numFmt w:val="lowerLetter"/>
      <w:lvlText w:val="%2."/>
      <w:lvlJc w:val="left"/>
      <w:pPr>
        <w:ind w:left="907" w:hanging="360"/>
      </w:p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1" w15:restartNumberingAfterBreak="0">
    <w:nsid w:val="774E441B"/>
    <w:multiLevelType w:val="multilevel"/>
    <w:tmpl w:val="F6CCB600"/>
    <w:lvl w:ilvl="0">
      <w:start w:val="1"/>
      <w:numFmt w:val="decimal"/>
      <w:lvlText w:val="%1."/>
      <w:lvlJc w:val="left"/>
      <w:pPr>
        <w:ind w:left="567" w:hanging="567"/>
      </w:pPr>
      <w:rPr>
        <w:rFonts w:hint="default"/>
        <w:i w:val="0"/>
        <w:iCs w:val="0"/>
      </w:rPr>
    </w:lvl>
    <w:lvl w:ilvl="1">
      <w:start w:val="1"/>
      <w:numFmt w:val="bullet"/>
      <w:lvlText w:val=""/>
      <w:lvlJc w:val="left"/>
      <w:pPr>
        <w:ind w:left="907" w:hanging="360"/>
      </w:pPr>
      <w:rPr>
        <w:rFonts w:ascii="Symbol" w:hAnsi="Symbol" w:hint="default"/>
        <w:b w:val="0"/>
        <w:i w:val="0"/>
        <w:sz w:val="24"/>
      </w:rPr>
    </w:lvl>
    <w:lvl w:ilvl="2">
      <w:start w:val="1"/>
      <w:numFmt w:val="bullet"/>
      <w:lvlText w:val=""/>
      <w:lvlJc w:val="left"/>
      <w:pPr>
        <w:ind w:left="1494" w:hanging="360"/>
      </w:pPr>
      <w:rPr>
        <w:rFonts w:ascii="Symbol" w:hAnsi="Symbol"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num w:numId="1" w16cid:durableId="1334379581">
    <w:abstractNumId w:val="4"/>
  </w:num>
  <w:num w:numId="2" w16cid:durableId="138038055">
    <w:abstractNumId w:val="18"/>
  </w:num>
  <w:num w:numId="3" w16cid:durableId="1993019508">
    <w:abstractNumId w:val="4"/>
    <w:lvlOverride w:ilvl="0">
      <w:lvl w:ilvl="0">
        <w:start w:val="1"/>
        <w:numFmt w:val="decimal"/>
        <w:lvlText w:val="%1."/>
        <w:lvlJc w:val="left"/>
        <w:pPr>
          <w:ind w:left="567" w:hanging="567"/>
        </w:pPr>
        <w:rPr>
          <w:b w:val="0"/>
          <w:i w:val="0"/>
        </w:rPr>
      </w:lvl>
    </w:lvlOverride>
    <w:lvlOverride w:ilvl="1">
      <w:lvl w:ilvl="1">
        <w:start w:val="1"/>
        <w:numFmt w:val="decimal"/>
        <w:lvlText w:val="(%2)"/>
        <w:lvlJc w:val="left"/>
        <w:pPr>
          <w:ind w:left="907" w:hanging="360"/>
        </w:pPr>
        <w:rPr>
          <w:rFonts w:ascii="Arial" w:eastAsiaTheme="minorEastAsia" w:hAnsi="Arial" w:cs="Arial"/>
          <w:b w:val="0"/>
          <w:i w:val="0"/>
          <w:sz w:val="22"/>
        </w:rPr>
      </w:lvl>
    </w:lvlOverride>
    <w:lvlOverride w:ilvl="2">
      <w:lvl w:ilvl="2">
        <w:start w:val="1"/>
        <w:numFmt w:val="decimal"/>
        <w:lvlText w:val="%3."/>
        <w:lvlJc w:val="right"/>
        <w:pPr>
          <w:ind w:left="1247" w:hanging="180"/>
        </w:pPr>
      </w:lvl>
    </w:lvlOverride>
    <w:lvlOverride w:ilvl="3">
      <w:lvl w:ilvl="3">
        <w:start w:val="1"/>
        <w:numFmt w:val="decimal"/>
        <w:lvlText w:val="%4."/>
        <w:lvlJc w:val="left"/>
        <w:pPr>
          <w:ind w:left="1428" w:hanging="360"/>
        </w:pPr>
      </w:lvl>
    </w:lvlOverride>
    <w:lvlOverride w:ilvl="4">
      <w:lvl w:ilvl="4">
        <w:start w:val="1"/>
        <w:numFmt w:val="decimal"/>
        <w:lvlText w:val="%5."/>
        <w:lvlJc w:val="left"/>
        <w:pPr>
          <w:ind w:left="1785" w:hanging="360"/>
        </w:pPr>
      </w:lvl>
    </w:lvlOverride>
    <w:lvlOverride w:ilvl="5">
      <w:lvl w:ilvl="5">
        <w:start w:val="1"/>
        <w:numFmt w:val="decimal"/>
        <w:lvlText w:val="%6."/>
        <w:lvlJc w:val="right"/>
        <w:pPr>
          <w:ind w:left="2142" w:hanging="180"/>
        </w:pPr>
      </w:lvl>
    </w:lvlOverride>
    <w:lvlOverride w:ilvl="6">
      <w:lvl w:ilvl="6">
        <w:start w:val="1"/>
        <w:numFmt w:val="decimal"/>
        <w:lvlText w:val="%7."/>
        <w:lvlJc w:val="left"/>
        <w:pPr>
          <w:ind w:left="2499" w:hanging="360"/>
        </w:pPr>
      </w:lvl>
    </w:lvlOverride>
    <w:lvlOverride w:ilvl="7">
      <w:lvl w:ilvl="7">
        <w:start w:val="1"/>
        <w:numFmt w:val="decimal"/>
        <w:lvlText w:val="%8."/>
        <w:lvlJc w:val="left"/>
        <w:pPr>
          <w:ind w:left="2856" w:hanging="360"/>
        </w:pPr>
      </w:lvl>
    </w:lvlOverride>
    <w:lvlOverride w:ilvl="8">
      <w:lvl w:ilvl="8">
        <w:start w:val="1"/>
        <w:numFmt w:val="decimal"/>
        <w:lvlText w:val="%9."/>
        <w:lvlJc w:val="right"/>
        <w:pPr>
          <w:ind w:left="3213" w:hanging="180"/>
        </w:pPr>
      </w:lvl>
    </w:lvlOverride>
  </w:num>
  <w:num w:numId="4" w16cid:durableId="259677310">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5921483">
    <w:abstractNumId w:val="4"/>
  </w:num>
  <w:num w:numId="6" w16cid:durableId="686634183">
    <w:abstractNumId w:val="15"/>
  </w:num>
  <w:num w:numId="7" w16cid:durableId="1629974873">
    <w:abstractNumId w:val="19"/>
  </w:num>
  <w:num w:numId="8" w16cid:durableId="714504034">
    <w:abstractNumId w:val="5"/>
  </w:num>
  <w:num w:numId="9" w16cid:durableId="1272204516">
    <w:abstractNumId w:val="6"/>
  </w:num>
  <w:num w:numId="10" w16cid:durableId="881283224">
    <w:abstractNumId w:val="3"/>
  </w:num>
  <w:num w:numId="11" w16cid:durableId="1133790410">
    <w:abstractNumId w:val="12"/>
  </w:num>
  <w:num w:numId="12" w16cid:durableId="834077680">
    <w:abstractNumId w:val="8"/>
  </w:num>
  <w:num w:numId="13" w16cid:durableId="1561483053">
    <w:abstractNumId w:val="13"/>
  </w:num>
  <w:num w:numId="14" w16cid:durableId="507060529">
    <w:abstractNumId w:val="20"/>
  </w:num>
  <w:num w:numId="15" w16cid:durableId="507910472">
    <w:abstractNumId w:val="4"/>
    <w:lvlOverride w:ilvl="0">
      <w:lvl w:ilvl="0">
        <w:start w:val="1"/>
        <w:numFmt w:val="decimal"/>
        <w:lvlText w:val="%1."/>
        <w:lvlJc w:val="left"/>
        <w:pPr>
          <w:ind w:left="567" w:hanging="567"/>
        </w:pPr>
        <w:rPr>
          <w:b w:val="0"/>
          <w:i w:val="0"/>
        </w:rPr>
      </w:lvl>
    </w:lvlOverride>
    <w:lvlOverride w:ilvl="1">
      <w:lvl w:ilvl="1">
        <w:start w:val="1"/>
        <w:numFmt w:val="decimal"/>
        <w:lvlText w:val="(%2)"/>
        <w:lvlJc w:val="left"/>
        <w:pPr>
          <w:ind w:left="907" w:hanging="360"/>
        </w:pPr>
        <w:rPr>
          <w:rFonts w:ascii="Arial" w:eastAsiaTheme="minorEastAsia" w:hAnsi="Arial" w:cs="Arial"/>
          <w:b w:val="0"/>
          <w:i w:val="0"/>
          <w:sz w:val="22"/>
        </w:rPr>
      </w:lvl>
    </w:lvlOverride>
    <w:lvlOverride w:ilvl="2">
      <w:lvl w:ilvl="2">
        <w:start w:val="1"/>
        <w:numFmt w:val="decimal"/>
        <w:lvlText w:val="%3."/>
        <w:lvlJc w:val="right"/>
        <w:pPr>
          <w:ind w:left="1247" w:hanging="180"/>
        </w:pPr>
      </w:lvl>
    </w:lvlOverride>
    <w:lvlOverride w:ilvl="3">
      <w:lvl w:ilvl="3">
        <w:start w:val="1"/>
        <w:numFmt w:val="decimal"/>
        <w:lvlText w:val="%4."/>
        <w:lvlJc w:val="left"/>
        <w:pPr>
          <w:ind w:left="1428" w:hanging="360"/>
        </w:pPr>
      </w:lvl>
    </w:lvlOverride>
    <w:lvlOverride w:ilvl="4">
      <w:lvl w:ilvl="4">
        <w:start w:val="1"/>
        <w:numFmt w:val="decimal"/>
        <w:lvlText w:val="%5."/>
        <w:lvlJc w:val="left"/>
        <w:pPr>
          <w:ind w:left="1785" w:hanging="360"/>
        </w:pPr>
      </w:lvl>
    </w:lvlOverride>
    <w:lvlOverride w:ilvl="5">
      <w:lvl w:ilvl="5">
        <w:start w:val="1"/>
        <w:numFmt w:val="decimal"/>
        <w:lvlText w:val="%6."/>
        <w:lvlJc w:val="right"/>
        <w:pPr>
          <w:ind w:left="2142" w:hanging="180"/>
        </w:pPr>
      </w:lvl>
    </w:lvlOverride>
    <w:lvlOverride w:ilvl="6">
      <w:lvl w:ilvl="6">
        <w:start w:val="1"/>
        <w:numFmt w:val="decimal"/>
        <w:lvlText w:val="%7."/>
        <w:lvlJc w:val="left"/>
        <w:pPr>
          <w:ind w:left="2499" w:hanging="360"/>
        </w:pPr>
      </w:lvl>
    </w:lvlOverride>
    <w:lvlOverride w:ilvl="7">
      <w:lvl w:ilvl="7">
        <w:start w:val="1"/>
        <w:numFmt w:val="decimal"/>
        <w:lvlText w:val="%8."/>
        <w:lvlJc w:val="left"/>
        <w:pPr>
          <w:ind w:left="2856" w:hanging="360"/>
        </w:pPr>
      </w:lvl>
    </w:lvlOverride>
    <w:lvlOverride w:ilvl="8">
      <w:lvl w:ilvl="8">
        <w:start w:val="1"/>
        <w:numFmt w:val="decimal"/>
        <w:lvlText w:val="%9."/>
        <w:lvlJc w:val="right"/>
        <w:pPr>
          <w:ind w:left="3213" w:hanging="180"/>
        </w:pPr>
      </w:lvl>
    </w:lvlOverride>
  </w:num>
  <w:num w:numId="16" w16cid:durableId="738551047">
    <w:abstractNumId w:val="14"/>
  </w:num>
  <w:num w:numId="17" w16cid:durableId="809983157">
    <w:abstractNumId w:val="0"/>
  </w:num>
  <w:num w:numId="18" w16cid:durableId="755781973">
    <w:abstractNumId w:val="10"/>
  </w:num>
  <w:num w:numId="19" w16cid:durableId="1428574859">
    <w:abstractNumId w:val="17"/>
  </w:num>
  <w:num w:numId="20" w16cid:durableId="205720414">
    <w:abstractNumId w:val="16"/>
  </w:num>
  <w:num w:numId="21" w16cid:durableId="499780684">
    <w:abstractNumId w:val="9"/>
  </w:num>
  <w:num w:numId="22" w16cid:durableId="1137070288">
    <w:abstractNumId w:val="1"/>
  </w:num>
  <w:num w:numId="23" w16cid:durableId="794525536">
    <w:abstractNumId w:val="7"/>
  </w:num>
  <w:num w:numId="24" w16cid:durableId="1786844060">
    <w:abstractNumId w:val="1"/>
  </w:num>
  <w:num w:numId="25" w16cid:durableId="893585552">
    <w:abstractNumId w:val="11"/>
  </w:num>
  <w:num w:numId="26" w16cid:durableId="2144496154">
    <w:abstractNumId w:val="21"/>
  </w:num>
  <w:num w:numId="27" w16cid:durableId="1430810958">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B6"/>
    <w:rsid w:val="00000769"/>
    <w:rsid w:val="00000AA7"/>
    <w:rsid w:val="00000DCE"/>
    <w:rsid w:val="0000132A"/>
    <w:rsid w:val="00001A4D"/>
    <w:rsid w:val="00002E1A"/>
    <w:rsid w:val="00002F05"/>
    <w:rsid w:val="0000309D"/>
    <w:rsid w:val="0000334D"/>
    <w:rsid w:val="000038BA"/>
    <w:rsid w:val="000039B0"/>
    <w:rsid w:val="00003F34"/>
    <w:rsid w:val="00004116"/>
    <w:rsid w:val="000041F4"/>
    <w:rsid w:val="0000457B"/>
    <w:rsid w:val="00004C60"/>
    <w:rsid w:val="000056C9"/>
    <w:rsid w:val="00005898"/>
    <w:rsid w:val="00005B77"/>
    <w:rsid w:val="00005BA0"/>
    <w:rsid w:val="0000601E"/>
    <w:rsid w:val="00006388"/>
    <w:rsid w:val="00006442"/>
    <w:rsid w:val="00006FD0"/>
    <w:rsid w:val="0000751B"/>
    <w:rsid w:val="000078A1"/>
    <w:rsid w:val="00010384"/>
    <w:rsid w:val="00010850"/>
    <w:rsid w:val="00010BD0"/>
    <w:rsid w:val="00010F06"/>
    <w:rsid w:val="00011201"/>
    <w:rsid w:val="00011416"/>
    <w:rsid w:val="00011C6C"/>
    <w:rsid w:val="00012032"/>
    <w:rsid w:val="000127EE"/>
    <w:rsid w:val="00012EEE"/>
    <w:rsid w:val="000135E9"/>
    <w:rsid w:val="00013F00"/>
    <w:rsid w:val="00014345"/>
    <w:rsid w:val="00014638"/>
    <w:rsid w:val="00015412"/>
    <w:rsid w:val="00015769"/>
    <w:rsid w:val="00015B14"/>
    <w:rsid w:val="00016541"/>
    <w:rsid w:val="000165EA"/>
    <w:rsid w:val="0001676E"/>
    <w:rsid w:val="00016B5E"/>
    <w:rsid w:val="00016D07"/>
    <w:rsid w:val="00016FF5"/>
    <w:rsid w:val="00020438"/>
    <w:rsid w:val="000205AA"/>
    <w:rsid w:val="000209DB"/>
    <w:rsid w:val="00020A8B"/>
    <w:rsid w:val="0002130F"/>
    <w:rsid w:val="00021EE4"/>
    <w:rsid w:val="000224CE"/>
    <w:rsid w:val="00022823"/>
    <w:rsid w:val="00022EF5"/>
    <w:rsid w:val="0002328F"/>
    <w:rsid w:val="0002351E"/>
    <w:rsid w:val="00023757"/>
    <w:rsid w:val="00023F21"/>
    <w:rsid w:val="0002484D"/>
    <w:rsid w:val="00024A17"/>
    <w:rsid w:val="00024CB8"/>
    <w:rsid w:val="00025387"/>
    <w:rsid w:val="0002567F"/>
    <w:rsid w:val="000257DB"/>
    <w:rsid w:val="000258D5"/>
    <w:rsid w:val="00025F47"/>
    <w:rsid w:val="00025FDE"/>
    <w:rsid w:val="000265BB"/>
    <w:rsid w:val="000267DA"/>
    <w:rsid w:val="0002689C"/>
    <w:rsid w:val="000268C0"/>
    <w:rsid w:val="000268ED"/>
    <w:rsid w:val="00026FD1"/>
    <w:rsid w:val="00027075"/>
    <w:rsid w:val="0002719F"/>
    <w:rsid w:val="000273AC"/>
    <w:rsid w:val="00030D5C"/>
    <w:rsid w:val="00031104"/>
    <w:rsid w:val="000315A3"/>
    <w:rsid w:val="00031842"/>
    <w:rsid w:val="00031DD2"/>
    <w:rsid w:val="00032098"/>
    <w:rsid w:val="00032359"/>
    <w:rsid w:val="000326A3"/>
    <w:rsid w:val="000328A9"/>
    <w:rsid w:val="00032B24"/>
    <w:rsid w:val="00033548"/>
    <w:rsid w:val="00033E9E"/>
    <w:rsid w:val="000344F8"/>
    <w:rsid w:val="0003495E"/>
    <w:rsid w:val="0003538A"/>
    <w:rsid w:val="000354E7"/>
    <w:rsid w:val="00035912"/>
    <w:rsid w:val="00036CF9"/>
    <w:rsid w:val="000400ED"/>
    <w:rsid w:val="000407E0"/>
    <w:rsid w:val="00040A3B"/>
    <w:rsid w:val="00041CEC"/>
    <w:rsid w:val="00041E58"/>
    <w:rsid w:val="00041EBB"/>
    <w:rsid w:val="0004216E"/>
    <w:rsid w:val="0004231D"/>
    <w:rsid w:val="00042465"/>
    <w:rsid w:val="0004273A"/>
    <w:rsid w:val="0004274E"/>
    <w:rsid w:val="00042D8E"/>
    <w:rsid w:val="00042E9A"/>
    <w:rsid w:val="00043129"/>
    <w:rsid w:val="00043B20"/>
    <w:rsid w:val="00043C89"/>
    <w:rsid w:val="0004448C"/>
    <w:rsid w:val="00044A0E"/>
    <w:rsid w:val="00044A7F"/>
    <w:rsid w:val="00044CD7"/>
    <w:rsid w:val="00044D8A"/>
    <w:rsid w:val="00044F27"/>
    <w:rsid w:val="00045920"/>
    <w:rsid w:val="00045B46"/>
    <w:rsid w:val="000462D9"/>
    <w:rsid w:val="0004717D"/>
    <w:rsid w:val="00047983"/>
    <w:rsid w:val="000505A4"/>
    <w:rsid w:val="00050D7C"/>
    <w:rsid w:val="00051166"/>
    <w:rsid w:val="000513B1"/>
    <w:rsid w:val="000515B1"/>
    <w:rsid w:val="0005196F"/>
    <w:rsid w:val="00051AA8"/>
    <w:rsid w:val="00051DB2"/>
    <w:rsid w:val="00053016"/>
    <w:rsid w:val="0005303D"/>
    <w:rsid w:val="00053702"/>
    <w:rsid w:val="0005395C"/>
    <w:rsid w:val="00053A89"/>
    <w:rsid w:val="00054120"/>
    <w:rsid w:val="0005457D"/>
    <w:rsid w:val="00054668"/>
    <w:rsid w:val="00054ACE"/>
    <w:rsid w:val="00055094"/>
    <w:rsid w:val="000550C4"/>
    <w:rsid w:val="0005654E"/>
    <w:rsid w:val="0005655A"/>
    <w:rsid w:val="00056960"/>
    <w:rsid w:val="00057023"/>
    <w:rsid w:val="0005719A"/>
    <w:rsid w:val="0005740B"/>
    <w:rsid w:val="0005778D"/>
    <w:rsid w:val="000579F9"/>
    <w:rsid w:val="00057D21"/>
    <w:rsid w:val="00060B35"/>
    <w:rsid w:val="00060E35"/>
    <w:rsid w:val="00061ACE"/>
    <w:rsid w:val="00061FB5"/>
    <w:rsid w:val="00062582"/>
    <w:rsid w:val="0006389B"/>
    <w:rsid w:val="00063B83"/>
    <w:rsid w:val="00063EDF"/>
    <w:rsid w:val="00064840"/>
    <w:rsid w:val="00065506"/>
    <w:rsid w:val="00065516"/>
    <w:rsid w:val="00065648"/>
    <w:rsid w:val="000663D7"/>
    <w:rsid w:val="00066D8F"/>
    <w:rsid w:val="00066EA8"/>
    <w:rsid w:val="00070887"/>
    <w:rsid w:val="00070D30"/>
    <w:rsid w:val="00070F07"/>
    <w:rsid w:val="00070F65"/>
    <w:rsid w:val="000710A9"/>
    <w:rsid w:val="00072418"/>
    <w:rsid w:val="00072CE6"/>
    <w:rsid w:val="000731D3"/>
    <w:rsid w:val="00073E14"/>
    <w:rsid w:val="00073E56"/>
    <w:rsid w:val="0007494B"/>
    <w:rsid w:val="00074B87"/>
    <w:rsid w:val="00074C62"/>
    <w:rsid w:val="000750B6"/>
    <w:rsid w:val="0007527A"/>
    <w:rsid w:val="000755A7"/>
    <w:rsid w:val="00075AB0"/>
    <w:rsid w:val="00075B82"/>
    <w:rsid w:val="00076647"/>
    <w:rsid w:val="0007682B"/>
    <w:rsid w:val="0007695E"/>
    <w:rsid w:val="00080503"/>
    <w:rsid w:val="000805B7"/>
    <w:rsid w:val="00080DB4"/>
    <w:rsid w:val="00080E8D"/>
    <w:rsid w:val="0008101C"/>
    <w:rsid w:val="000815FC"/>
    <w:rsid w:val="00081A95"/>
    <w:rsid w:val="00081CF0"/>
    <w:rsid w:val="00082641"/>
    <w:rsid w:val="00082BB4"/>
    <w:rsid w:val="00082D57"/>
    <w:rsid w:val="000841FB"/>
    <w:rsid w:val="00084B93"/>
    <w:rsid w:val="00084BB4"/>
    <w:rsid w:val="00084E09"/>
    <w:rsid w:val="00085337"/>
    <w:rsid w:val="0008579D"/>
    <w:rsid w:val="00085806"/>
    <w:rsid w:val="00085B83"/>
    <w:rsid w:val="00085F63"/>
    <w:rsid w:val="000865E0"/>
    <w:rsid w:val="00086855"/>
    <w:rsid w:val="00086C20"/>
    <w:rsid w:val="00086D02"/>
    <w:rsid w:val="00086E9E"/>
    <w:rsid w:val="000874DE"/>
    <w:rsid w:val="00087EBE"/>
    <w:rsid w:val="00090158"/>
    <w:rsid w:val="0009023A"/>
    <w:rsid w:val="0009088A"/>
    <w:rsid w:val="000908AD"/>
    <w:rsid w:val="00090C56"/>
    <w:rsid w:val="00090D3C"/>
    <w:rsid w:val="00090DD1"/>
    <w:rsid w:val="00090E79"/>
    <w:rsid w:val="0009100E"/>
    <w:rsid w:val="0009106D"/>
    <w:rsid w:val="000917D1"/>
    <w:rsid w:val="000927D5"/>
    <w:rsid w:val="0009290D"/>
    <w:rsid w:val="00092D00"/>
    <w:rsid w:val="00092FC4"/>
    <w:rsid w:val="000931F3"/>
    <w:rsid w:val="00093317"/>
    <w:rsid w:val="000939C3"/>
    <w:rsid w:val="00093F35"/>
    <w:rsid w:val="00094D15"/>
    <w:rsid w:val="0009542E"/>
    <w:rsid w:val="000954F5"/>
    <w:rsid w:val="00095886"/>
    <w:rsid w:val="00095B88"/>
    <w:rsid w:val="00095FBB"/>
    <w:rsid w:val="00095FC4"/>
    <w:rsid w:val="00096080"/>
    <w:rsid w:val="0009645E"/>
    <w:rsid w:val="00096517"/>
    <w:rsid w:val="000965D8"/>
    <w:rsid w:val="000967BE"/>
    <w:rsid w:val="00096A1C"/>
    <w:rsid w:val="00096D1A"/>
    <w:rsid w:val="000A02B1"/>
    <w:rsid w:val="000A07F2"/>
    <w:rsid w:val="000A0ABF"/>
    <w:rsid w:val="000A0E44"/>
    <w:rsid w:val="000A114B"/>
    <w:rsid w:val="000A13BB"/>
    <w:rsid w:val="000A1E3A"/>
    <w:rsid w:val="000A201B"/>
    <w:rsid w:val="000A21BC"/>
    <w:rsid w:val="000A22B4"/>
    <w:rsid w:val="000A2390"/>
    <w:rsid w:val="000A29A7"/>
    <w:rsid w:val="000A2A37"/>
    <w:rsid w:val="000A3AD8"/>
    <w:rsid w:val="000A3DC6"/>
    <w:rsid w:val="000A45FE"/>
    <w:rsid w:val="000A481A"/>
    <w:rsid w:val="000A4ECE"/>
    <w:rsid w:val="000A51CF"/>
    <w:rsid w:val="000A53B8"/>
    <w:rsid w:val="000A557B"/>
    <w:rsid w:val="000A5A54"/>
    <w:rsid w:val="000A5B21"/>
    <w:rsid w:val="000A6AE7"/>
    <w:rsid w:val="000A7917"/>
    <w:rsid w:val="000B0B71"/>
    <w:rsid w:val="000B0D22"/>
    <w:rsid w:val="000B11BC"/>
    <w:rsid w:val="000B1713"/>
    <w:rsid w:val="000B179E"/>
    <w:rsid w:val="000B20E5"/>
    <w:rsid w:val="000B236D"/>
    <w:rsid w:val="000B2518"/>
    <w:rsid w:val="000B2EE4"/>
    <w:rsid w:val="000B319F"/>
    <w:rsid w:val="000B3423"/>
    <w:rsid w:val="000B3460"/>
    <w:rsid w:val="000B37CB"/>
    <w:rsid w:val="000B3E77"/>
    <w:rsid w:val="000B3F40"/>
    <w:rsid w:val="000B4109"/>
    <w:rsid w:val="000B418F"/>
    <w:rsid w:val="000B466B"/>
    <w:rsid w:val="000B4780"/>
    <w:rsid w:val="000B4B4C"/>
    <w:rsid w:val="000B5777"/>
    <w:rsid w:val="000B5B04"/>
    <w:rsid w:val="000B5B6E"/>
    <w:rsid w:val="000B6455"/>
    <w:rsid w:val="000B688D"/>
    <w:rsid w:val="000B68D8"/>
    <w:rsid w:val="000B6AB8"/>
    <w:rsid w:val="000B6B2E"/>
    <w:rsid w:val="000B6BA7"/>
    <w:rsid w:val="000B6C72"/>
    <w:rsid w:val="000B759A"/>
    <w:rsid w:val="000B794F"/>
    <w:rsid w:val="000B7BDE"/>
    <w:rsid w:val="000C00A8"/>
    <w:rsid w:val="000C0BC8"/>
    <w:rsid w:val="000C11F9"/>
    <w:rsid w:val="000C11FC"/>
    <w:rsid w:val="000C1306"/>
    <w:rsid w:val="000C16B0"/>
    <w:rsid w:val="000C197E"/>
    <w:rsid w:val="000C21D6"/>
    <w:rsid w:val="000C2951"/>
    <w:rsid w:val="000C2BB1"/>
    <w:rsid w:val="000C2BC2"/>
    <w:rsid w:val="000C40A3"/>
    <w:rsid w:val="000C4944"/>
    <w:rsid w:val="000C5CA9"/>
    <w:rsid w:val="000C5D8C"/>
    <w:rsid w:val="000C6045"/>
    <w:rsid w:val="000C6425"/>
    <w:rsid w:val="000C66E8"/>
    <w:rsid w:val="000C6DCF"/>
    <w:rsid w:val="000C7DD1"/>
    <w:rsid w:val="000D018F"/>
    <w:rsid w:val="000D0A3C"/>
    <w:rsid w:val="000D1131"/>
    <w:rsid w:val="000D12C5"/>
    <w:rsid w:val="000D1877"/>
    <w:rsid w:val="000D1B43"/>
    <w:rsid w:val="000D2306"/>
    <w:rsid w:val="000D2A8E"/>
    <w:rsid w:val="000D2F26"/>
    <w:rsid w:val="000D300B"/>
    <w:rsid w:val="000D3259"/>
    <w:rsid w:val="000D337B"/>
    <w:rsid w:val="000D3394"/>
    <w:rsid w:val="000D3A7C"/>
    <w:rsid w:val="000D3B64"/>
    <w:rsid w:val="000D3C1B"/>
    <w:rsid w:val="000D410B"/>
    <w:rsid w:val="000D41FF"/>
    <w:rsid w:val="000D49A5"/>
    <w:rsid w:val="000D4B88"/>
    <w:rsid w:val="000D4CFD"/>
    <w:rsid w:val="000D4ED8"/>
    <w:rsid w:val="000D583E"/>
    <w:rsid w:val="000D5D8E"/>
    <w:rsid w:val="000D603F"/>
    <w:rsid w:val="000D6349"/>
    <w:rsid w:val="000D6490"/>
    <w:rsid w:val="000D64CB"/>
    <w:rsid w:val="000D64E9"/>
    <w:rsid w:val="000D6AD2"/>
    <w:rsid w:val="000D7C79"/>
    <w:rsid w:val="000D7F33"/>
    <w:rsid w:val="000D7F63"/>
    <w:rsid w:val="000E00CD"/>
    <w:rsid w:val="000E069D"/>
    <w:rsid w:val="000E0B2C"/>
    <w:rsid w:val="000E0CEA"/>
    <w:rsid w:val="000E1039"/>
    <w:rsid w:val="000E1182"/>
    <w:rsid w:val="000E155B"/>
    <w:rsid w:val="000E16EB"/>
    <w:rsid w:val="000E1E68"/>
    <w:rsid w:val="000E2A42"/>
    <w:rsid w:val="000E2B25"/>
    <w:rsid w:val="000E2BA0"/>
    <w:rsid w:val="000E3380"/>
    <w:rsid w:val="000E35D1"/>
    <w:rsid w:val="000E382D"/>
    <w:rsid w:val="000E45AA"/>
    <w:rsid w:val="000E463C"/>
    <w:rsid w:val="000E496A"/>
    <w:rsid w:val="000E4998"/>
    <w:rsid w:val="000E54EB"/>
    <w:rsid w:val="000E5558"/>
    <w:rsid w:val="000E5639"/>
    <w:rsid w:val="000E70B3"/>
    <w:rsid w:val="000E72CB"/>
    <w:rsid w:val="000E74EA"/>
    <w:rsid w:val="000E7C1B"/>
    <w:rsid w:val="000F07F4"/>
    <w:rsid w:val="000F0A2E"/>
    <w:rsid w:val="000F0BC1"/>
    <w:rsid w:val="000F0F06"/>
    <w:rsid w:val="000F0F94"/>
    <w:rsid w:val="000F1064"/>
    <w:rsid w:val="000F1570"/>
    <w:rsid w:val="000F1B04"/>
    <w:rsid w:val="000F22DC"/>
    <w:rsid w:val="000F259B"/>
    <w:rsid w:val="000F309B"/>
    <w:rsid w:val="000F30CC"/>
    <w:rsid w:val="000F34B5"/>
    <w:rsid w:val="000F37E0"/>
    <w:rsid w:val="000F3846"/>
    <w:rsid w:val="000F38E2"/>
    <w:rsid w:val="000F4025"/>
    <w:rsid w:val="000F4098"/>
    <w:rsid w:val="000F4417"/>
    <w:rsid w:val="000F4923"/>
    <w:rsid w:val="000F4FC3"/>
    <w:rsid w:val="000F58CC"/>
    <w:rsid w:val="000F604B"/>
    <w:rsid w:val="000F6270"/>
    <w:rsid w:val="000F70F7"/>
    <w:rsid w:val="000F74FD"/>
    <w:rsid w:val="000F7A09"/>
    <w:rsid w:val="0010058C"/>
    <w:rsid w:val="00100AE7"/>
    <w:rsid w:val="00100C34"/>
    <w:rsid w:val="00100D1A"/>
    <w:rsid w:val="00100E9E"/>
    <w:rsid w:val="00101AC6"/>
    <w:rsid w:val="00101EBB"/>
    <w:rsid w:val="00101F09"/>
    <w:rsid w:val="001021D0"/>
    <w:rsid w:val="00102E5F"/>
    <w:rsid w:val="001033FC"/>
    <w:rsid w:val="00103473"/>
    <w:rsid w:val="001036F2"/>
    <w:rsid w:val="00103EB6"/>
    <w:rsid w:val="0010494C"/>
    <w:rsid w:val="00104A36"/>
    <w:rsid w:val="00104E9A"/>
    <w:rsid w:val="001050E9"/>
    <w:rsid w:val="00105217"/>
    <w:rsid w:val="001057CE"/>
    <w:rsid w:val="00105ADB"/>
    <w:rsid w:val="00105CCA"/>
    <w:rsid w:val="00105D99"/>
    <w:rsid w:val="0010627F"/>
    <w:rsid w:val="001066BD"/>
    <w:rsid w:val="00106905"/>
    <w:rsid w:val="00106FCD"/>
    <w:rsid w:val="001076B4"/>
    <w:rsid w:val="001076D6"/>
    <w:rsid w:val="0010777C"/>
    <w:rsid w:val="0010795A"/>
    <w:rsid w:val="00107A81"/>
    <w:rsid w:val="00107C11"/>
    <w:rsid w:val="00107C49"/>
    <w:rsid w:val="00107E78"/>
    <w:rsid w:val="00110374"/>
    <w:rsid w:val="001105EF"/>
    <w:rsid w:val="00110B9A"/>
    <w:rsid w:val="001115A5"/>
    <w:rsid w:val="001119A6"/>
    <w:rsid w:val="00111A1E"/>
    <w:rsid w:val="00111C2F"/>
    <w:rsid w:val="00112554"/>
    <w:rsid w:val="001129B2"/>
    <w:rsid w:val="00112ADA"/>
    <w:rsid w:val="00112D1F"/>
    <w:rsid w:val="00113360"/>
    <w:rsid w:val="00113D90"/>
    <w:rsid w:val="00113FFF"/>
    <w:rsid w:val="0011400D"/>
    <w:rsid w:val="00114286"/>
    <w:rsid w:val="00114AF3"/>
    <w:rsid w:val="00114C54"/>
    <w:rsid w:val="001153F5"/>
    <w:rsid w:val="00115CFA"/>
    <w:rsid w:val="00115F4E"/>
    <w:rsid w:val="00115F90"/>
    <w:rsid w:val="00116037"/>
    <w:rsid w:val="00116DB8"/>
    <w:rsid w:val="00117191"/>
    <w:rsid w:val="0011786B"/>
    <w:rsid w:val="00117FFC"/>
    <w:rsid w:val="001201CE"/>
    <w:rsid w:val="0012053E"/>
    <w:rsid w:val="0012135D"/>
    <w:rsid w:val="00121669"/>
    <w:rsid w:val="00121AE2"/>
    <w:rsid w:val="00121E6F"/>
    <w:rsid w:val="00122598"/>
    <w:rsid w:val="00123244"/>
    <w:rsid w:val="00123325"/>
    <w:rsid w:val="00123A7D"/>
    <w:rsid w:val="00123FDA"/>
    <w:rsid w:val="00124178"/>
    <w:rsid w:val="0012420D"/>
    <w:rsid w:val="00124262"/>
    <w:rsid w:val="001242BE"/>
    <w:rsid w:val="001247D6"/>
    <w:rsid w:val="0012481F"/>
    <w:rsid w:val="00124A35"/>
    <w:rsid w:val="00124E03"/>
    <w:rsid w:val="00125E5A"/>
    <w:rsid w:val="001261D3"/>
    <w:rsid w:val="0012641E"/>
    <w:rsid w:val="001267F8"/>
    <w:rsid w:val="00126E45"/>
    <w:rsid w:val="00127218"/>
    <w:rsid w:val="00127384"/>
    <w:rsid w:val="001274D6"/>
    <w:rsid w:val="00127ABE"/>
    <w:rsid w:val="00127C56"/>
    <w:rsid w:val="00127E7B"/>
    <w:rsid w:val="00127EC4"/>
    <w:rsid w:val="00127F0E"/>
    <w:rsid w:val="001304EE"/>
    <w:rsid w:val="00130CB5"/>
    <w:rsid w:val="00130E7A"/>
    <w:rsid w:val="00131108"/>
    <w:rsid w:val="001314AB"/>
    <w:rsid w:val="00131756"/>
    <w:rsid w:val="0013186A"/>
    <w:rsid w:val="00131F62"/>
    <w:rsid w:val="00132057"/>
    <w:rsid w:val="001321A4"/>
    <w:rsid w:val="00133003"/>
    <w:rsid w:val="0013306B"/>
    <w:rsid w:val="001330F5"/>
    <w:rsid w:val="0013369B"/>
    <w:rsid w:val="0013398A"/>
    <w:rsid w:val="00133C7D"/>
    <w:rsid w:val="00133D1E"/>
    <w:rsid w:val="00133E13"/>
    <w:rsid w:val="00133E4A"/>
    <w:rsid w:val="00134C85"/>
    <w:rsid w:val="00134D87"/>
    <w:rsid w:val="001353DC"/>
    <w:rsid w:val="00135AD5"/>
    <w:rsid w:val="00137AC5"/>
    <w:rsid w:val="0014023A"/>
    <w:rsid w:val="00140792"/>
    <w:rsid w:val="0014184D"/>
    <w:rsid w:val="001420DA"/>
    <w:rsid w:val="001425AB"/>
    <w:rsid w:val="0014266A"/>
    <w:rsid w:val="001427EA"/>
    <w:rsid w:val="0014297C"/>
    <w:rsid w:val="00142E15"/>
    <w:rsid w:val="00143028"/>
    <w:rsid w:val="00143053"/>
    <w:rsid w:val="00143195"/>
    <w:rsid w:val="00143451"/>
    <w:rsid w:val="0014376D"/>
    <w:rsid w:val="001438DC"/>
    <w:rsid w:val="00143F2B"/>
    <w:rsid w:val="00143F52"/>
    <w:rsid w:val="001448CE"/>
    <w:rsid w:val="00144EBA"/>
    <w:rsid w:val="00144F03"/>
    <w:rsid w:val="00145044"/>
    <w:rsid w:val="0014508D"/>
    <w:rsid w:val="00145E04"/>
    <w:rsid w:val="001461A3"/>
    <w:rsid w:val="00146939"/>
    <w:rsid w:val="001469E5"/>
    <w:rsid w:val="00147FEB"/>
    <w:rsid w:val="00147FF1"/>
    <w:rsid w:val="001502EB"/>
    <w:rsid w:val="00150754"/>
    <w:rsid w:val="0015185E"/>
    <w:rsid w:val="00151A09"/>
    <w:rsid w:val="00151ACB"/>
    <w:rsid w:val="00151BE5"/>
    <w:rsid w:val="00152E41"/>
    <w:rsid w:val="00152ED6"/>
    <w:rsid w:val="00153D72"/>
    <w:rsid w:val="00153E24"/>
    <w:rsid w:val="00153E70"/>
    <w:rsid w:val="00153EEE"/>
    <w:rsid w:val="00154071"/>
    <w:rsid w:val="001543F4"/>
    <w:rsid w:val="00154817"/>
    <w:rsid w:val="00154A43"/>
    <w:rsid w:val="00154BF7"/>
    <w:rsid w:val="00155066"/>
    <w:rsid w:val="00155FE8"/>
    <w:rsid w:val="001569EF"/>
    <w:rsid w:val="00156D00"/>
    <w:rsid w:val="0015727A"/>
    <w:rsid w:val="001572B4"/>
    <w:rsid w:val="001572D6"/>
    <w:rsid w:val="00157A38"/>
    <w:rsid w:val="00157BC8"/>
    <w:rsid w:val="00157F71"/>
    <w:rsid w:val="00160752"/>
    <w:rsid w:val="001609B8"/>
    <w:rsid w:val="00160BD9"/>
    <w:rsid w:val="00160C79"/>
    <w:rsid w:val="00160ED2"/>
    <w:rsid w:val="00161055"/>
    <w:rsid w:val="00161217"/>
    <w:rsid w:val="00161991"/>
    <w:rsid w:val="00161B65"/>
    <w:rsid w:val="00162068"/>
    <w:rsid w:val="00162245"/>
    <w:rsid w:val="00162704"/>
    <w:rsid w:val="0016275D"/>
    <w:rsid w:val="00162CAC"/>
    <w:rsid w:val="001630EE"/>
    <w:rsid w:val="0016311F"/>
    <w:rsid w:val="001632CC"/>
    <w:rsid w:val="001635F7"/>
    <w:rsid w:val="0016379B"/>
    <w:rsid w:val="00163B91"/>
    <w:rsid w:val="001640BE"/>
    <w:rsid w:val="001641B5"/>
    <w:rsid w:val="00164336"/>
    <w:rsid w:val="001646DA"/>
    <w:rsid w:val="00164DDC"/>
    <w:rsid w:val="00164F1F"/>
    <w:rsid w:val="001650B4"/>
    <w:rsid w:val="00165550"/>
    <w:rsid w:val="001666D6"/>
    <w:rsid w:val="00166CD7"/>
    <w:rsid w:val="00166DB0"/>
    <w:rsid w:val="00166F5B"/>
    <w:rsid w:val="0016758C"/>
    <w:rsid w:val="00171A5A"/>
    <w:rsid w:val="00171BFD"/>
    <w:rsid w:val="00172CCA"/>
    <w:rsid w:val="0017353D"/>
    <w:rsid w:val="00173925"/>
    <w:rsid w:val="00173A4D"/>
    <w:rsid w:val="00173CF7"/>
    <w:rsid w:val="00174444"/>
    <w:rsid w:val="001744D6"/>
    <w:rsid w:val="00174A2A"/>
    <w:rsid w:val="00174FFC"/>
    <w:rsid w:val="001752ED"/>
    <w:rsid w:val="00175377"/>
    <w:rsid w:val="00175620"/>
    <w:rsid w:val="001756A6"/>
    <w:rsid w:val="00175963"/>
    <w:rsid w:val="00175AC2"/>
    <w:rsid w:val="00175B84"/>
    <w:rsid w:val="001761C9"/>
    <w:rsid w:val="00176234"/>
    <w:rsid w:val="00176BBC"/>
    <w:rsid w:val="00176EB4"/>
    <w:rsid w:val="00177042"/>
    <w:rsid w:val="001774B2"/>
    <w:rsid w:val="001779E6"/>
    <w:rsid w:val="00180D21"/>
    <w:rsid w:val="00180EB4"/>
    <w:rsid w:val="001818C3"/>
    <w:rsid w:val="001825CB"/>
    <w:rsid w:val="00182865"/>
    <w:rsid w:val="00182E06"/>
    <w:rsid w:val="00184933"/>
    <w:rsid w:val="00184FFF"/>
    <w:rsid w:val="0018525D"/>
    <w:rsid w:val="001862B3"/>
    <w:rsid w:val="00186B67"/>
    <w:rsid w:val="00186FBD"/>
    <w:rsid w:val="00187031"/>
    <w:rsid w:val="001874ED"/>
    <w:rsid w:val="001876A8"/>
    <w:rsid w:val="00187B70"/>
    <w:rsid w:val="00190ADF"/>
    <w:rsid w:val="00190C90"/>
    <w:rsid w:val="001911DA"/>
    <w:rsid w:val="00191321"/>
    <w:rsid w:val="001916E4"/>
    <w:rsid w:val="00191D9E"/>
    <w:rsid w:val="00192001"/>
    <w:rsid w:val="0019203A"/>
    <w:rsid w:val="0019203B"/>
    <w:rsid w:val="00192409"/>
    <w:rsid w:val="00193034"/>
    <w:rsid w:val="0019305D"/>
    <w:rsid w:val="00193673"/>
    <w:rsid w:val="00193A5C"/>
    <w:rsid w:val="00193EFD"/>
    <w:rsid w:val="0019410B"/>
    <w:rsid w:val="001950AE"/>
    <w:rsid w:val="00195291"/>
    <w:rsid w:val="0019572D"/>
    <w:rsid w:val="00195E9F"/>
    <w:rsid w:val="00195EF9"/>
    <w:rsid w:val="00196338"/>
    <w:rsid w:val="00197684"/>
    <w:rsid w:val="001978F1"/>
    <w:rsid w:val="00197973"/>
    <w:rsid w:val="001A0711"/>
    <w:rsid w:val="001A0990"/>
    <w:rsid w:val="001A0CE5"/>
    <w:rsid w:val="001A1196"/>
    <w:rsid w:val="001A12BD"/>
    <w:rsid w:val="001A1971"/>
    <w:rsid w:val="001A1D66"/>
    <w:rsid w:val="001A1D8A"/>
    <w:rsid w:val="001A2063"/>
    <w:rsid w:val="001A212D"/>
    <w:rsid w:val="001A2239"/>
    <w:rsid w:val="001A2648"/>
    <w:rsid w:val="001A2D1D"/>
    <w:rsid w:val="001A2FE6"/>
    <w:rsid w:val="001A32D3"/>
    <w:rsid w:val="001A3584"/>
    <w:rsid w:val="001A35C1"/>
    <w:rsid w:val="001A4C82"/>
    <w:rsid w:val="001A4E0E"/>
    <w:rsid w:val="001A583B"/>
    <w:rsid w:val="001A59ED"/>
    <w:rsid w:val="001A5A95"/>
    <w:rsid w:val="001A5F45"/>
    <w:rsid w:val="001A6065"/>
    <w:rsid w:val="001A73FE"/>
    <w:rsid w:val="001A746F"/>
    <w:rsid w:val="001A77BF"/>
    <w:rsid w:val="001A7E64"/>
    <w:rsid w:val="001B11B9"/>
    <w:rsid w:val="001B152D"/>
    <w:rsid w:val="001B1A27"/>
    <w:rsid w:val="001B1E84"/>
    <w:rsid w:val="001B2460"/>
    <w:rsid w:val="001B284D"/>
    <w:rsid w:val="001B2D2D"/>
    <w:rsid w:val="001B2EE8"/>
    <w:rsid w:val="001B3899"/>
    <w:rsid w:val="001B3D32"/>
    <w:rsid w:val="001B4002"/>
    <w:rsid w:val="001B4042"/>
    <w:rsid w:val="001B4278"/>
    <w:rsid w:val="001B47AE"/>
    <w:rsid w:val="001B4A68"/>
    <w:rsid w:val="001B5438"/>
    <w:rsid w:val="001B5470"/>
    <w:rsid w:val="001B55FB"/>
    <w:rsid w:val="001B57C6"/>
    <w:rsid w:val="001B596B"/>
    <w:rsid w:val="001B5B5E"/>
    <w:rsid w:val="001B5D54"/>
    <w:rsid w:val="001B7119"/>
    <w:rsid w:val="001B7319"/>
    <w:rsid w:val="001B7444"/>
    <w:rsid w:val="001B74FD"/>
    <w:rsid w:val="001B7568"/>
    <w:rsid w:val="001B7882"/>
    <w:rsid w:val="001B7B63"/>
    <w:rsid w:val="001B7DBB"/>
    <w:rsid w:val="001C01FD"/>
    <w:rsid w:val="001C0528"/>
    <w:rsid w:val="001C0691"/>
    <w:rsid w:val="001C09A6"/>
    <w:rsid w:val="001C127F"/>
    <w:rsid w:val="001C16EE"/>
    <w:rsid w:val="001C1F43"/>
    <w:rsid w:val="001C207E"/>
    <w:rsid w:val="001C20CB"/>
    <w:rsid w:val="001C21EF"/>
    <w:rsid w:val="001C26A6"/>
    <w:rsid w:val="001C26E6"/>
    <w:rsid w:val="001C277A"/>
    <w:rsid w:val="001C33E2"/>
    <w:rsid w:val="001C3D3E"/>
    <w:rsid w:val="001C3E5E"/>
    <w:rsid w:val="001C47B2"/>
    <w:rsid w:val="001C4978"/>
    <w:rsid w:val="001C4F67"/>
    <w:rsid w:val="001C5780"/>
    <w:rsid w:val="001C5C1A"/>
    <w:rsid w:val="001C6076"/>
    <w:rsid w:val="001C624A"/>
    <w:rsid w:val="001C677F"/>
    <w:rsid w:val="001C6899"/>
    <w:rsid w:val="001C6A0F"/>
    <w:rsid w:val="001C76B6"/>
    <w:rsid w:val="001C771D"/>
    <w:rsid w:val="001C7E2A"/>
    <w:rsid w:val="001C7EEF"/>
    <w:rsid w:val="001D0235"/>
    <w:rsid w:val="001D0B37"/>
    <w:rsid w:val="001D0E4D"/>
    <w:rsid w:val="001D12BF"/>
    <w:rsid w:val="001D25C4"/>
    <w:rsid w:val="001D2638"/>
    <w:rsid w:val="001D34EF"/>
    <w:rsid w:val="001D3523"/>
    <w:rsid w:val="001D43F1"/>
    <w:rsid w:val="001D4B71"/>
    <w:rsid w:val="001D50C0"/>
    <w:rsid w:val="001D51A6"/>
    <w:rsid w:val="001D60D7"/>
    <w:rsid w:val="001D6237"/>
    <w:rsid w:val="001D6DFA"/>
    <w:rsid w:val="001D7085"/>
    <w:rsid w:val="001D7758"/>
    <w:rsid w:val="001D79CA"/>
    <w:rsid w:val="001D7BD8"/>
    <w:rsid w:val="001D7D8D"/>
    <w:rsid w:val="001E00D4"/>
    <w:rsid w:val="001E0BAC"/>
    <w:rsid w:val="001E191D"/>
    <w:rsid w:val="001E1E12"/>
    <w:rsid w:val="001E1F3D"/>
    <w:rsid w:val="001E21B1"/>
    <w:rsid w:val="001E2935"/>
    <w:rsid w:val="001E2E1B"/>
    <w:rsid w:val="001E2ED8"/>
    <w:rsid w:val="001E3382"/>
    <w:rsid w:val="001E3A26"/>
    <w:rsid w:val="001E3E2B"/>
    <w:rsid w:val="001E58C5"/>
    <w:rsid w:val="001E5BAF"/>
    <w:rsid w:val="001E6058"/>
    <w:rsid w:val="001E61C7"/>
    <w:rsid w:val="001E6260"/>
    <w:rsid w:val="001E6FB9"/>
    <w:rsid w:val="001E7B82"/>
    <w:rsid w:val="001F0269"/>
    <w:rsid w:val="001F0FB3"/>
    <w:rsid w:val="001F11E3"/>
    <w:rsid w:val="001F1AE8"/>
    <w:rsid w:val="001F2698"/>
    <w:rsid w:val="001F27C3"/>
    <w:rsid w:val="001F2B48"/>
    <w:rsid w:val="001F2E20"/>
    <w:rsid w:val="001F3052"/>
    <w:rsid w:val="001F31D3"/>
    <w:rsid w:val="001F3F19"/>
    <w:rsid w:val="001F4025"/>
    <w:rsid w:val="001F41D9"/>
    <w:rsid w:val="001F45FE"/>
    <w:rsid w:val="001F49D7"/>
    <w:rsid w:val="001F4ECE"/>
    <w:rsid w:val="001F4F41"/>
    <w:rsid w:val="001F556E"/>
    <w:rsid w:val="001F5A84"/>
    <w:rsid w:val="001F5D35"/>
    <w:rsid w:val="001F5D5A"/>
    <w:rsid w:val="001F5F4B"/>
    <w:rsid w:val="001F6819"/>
    <w:rsid w:val="001F6B7F"/>
    <w:rsid w:val="001F6D71"/>
    <w:rsid w:val="001F709C"/>
    <w:rsid w:val="0020020E"/>
    <w:rsid w:val="002002D6"/>
    <w:rsid w:val="002005A4"/>
    <w:rsid w:val="00200B8C"/>
    <w:rsid w:val="00200E4D"/>
    <w:rsid w:val="00201120"/>
    <w:rsid w:val="0020167C"/>
    <w:rsid w:val="00202643"/>
    <w:rsid w:val="002026BA"/>
    <w:rsid w:val="00202DA4"/>
    <w:rsid w:val="0020313C"/>
    <w:rsid w:val="002032D7"/>
    <w:rsid w:val="00203760"/>
    <w:rsid w:val="00204211"/>
    <w:rsid w:val="002046F6"/>
    <w:rsid w:val="00204919"/>
    <w:rsid w:val="00204ABC"/>
    <w:rsid w:val="00204BB2"/>
    <w:rsid w:val="00204F33"/>
    <w:rsid w:val="00204FA9"/>
    <w:rsid w:val="002058C9"/>
    <w:rsid w:val="00205FE1"/>
    <w:rsid w:val="00206AA6"/>
    <w:rsid w:val="00206BB2"/>
    <w:rsid w:val="00206D86"/>
    <w:rsid w:val="0020715D"/>
    <w:rsid w:val="002072CD"/>
    <w:rsid w:val="0020742B"/>
    <w:rsid w:val="002101E2"/>
    <w:rsid w:val="00210811"/>
    <w:rsid w:val="002108C5"/>
    <w:rsid w:val="002114F0"/>
    <w:rsid w:val="002117A5"/>
    <w:rsid w:val="00212260"/>
    <w:rsid w:val="0021283B"/>
    <w:rsid w:val="002128E6"/>
    <w:rsid w:val="00213798"/>
    <w:rsid w:val="00213C75"/>
    <w:rsid w:val="00214139"/>
    <w:rsid w:val="0021502B"/>
    <w:rsid w:val="00215051"/>
    <w:rsid w:val="002154EC"/>
    <w:rsid w:val="0021570C"/>
    <w:rsid w:val="00215854"/>
    <w:rsid w:val="00215E9E"/>
    <w:rsid w:val="00215F34"/>
    <w:rsid w:val="002162D7"/>
    <w:rsid w:val="0021692A"/>
    <w:rsid w:val="00216A2D"/>
    <w:rsid w:val="00217749"/>
    <w:rsid w:val="00220051"/>
    <w:rsid w:val="0022108B"/>
    <w:rsid w:val="00221120"/>
    <w:rsid w:val="002215D3"/>
    <w:rsid w:val="0022195B"/>
    <w:rsid w:val="0022195F"/>
    <w:rsid w:val="00221A55"/>
    <w:rsid w:val="00221E8F"/>
    <w:rsid w:val="00222971"/>
    <w:rsid w:val="00222C88"/>
    <w:rsid w:val="00223E79"/>
    <w:rsid w:val="00223F40"/>
    <w:rsid w:val="002244B7"/>
    <w:rsid w:val="00224C3A"/>
    <w:rsid w:val="00224CAB"/>
    <w:rsid w:val="002250FB"/>
    <w:rsid w:val="00225A63"/>
    <w:rsid w:val="002262D2"/>
    <w:rsid w:val="00226494"/>
    <w:rsid w:val="002269E2"/>
    <w:rsid w:val="002269E5"/>
    <w:rsid w:val="00227178"/>
    <w:rsid w:val="0022756C"/>
    <w:rsid w:val="0023061F"/>
    <w:rsid w:val="0023116E"/>
    <w:rsid w:val="0023204D"/>
    <w:rsid w:val="002339B7"/>
    <w:rsid w:val="00233CFE"/>
    <w:rsid w:val="00233D47"/>
    <w:rsid w:val="00233E92"/>
    <w:rsid w:val="00233F52"/>
    <w:rsid w:val="002341F3"/>
    <w:rsid w:val="002346F3"/>
    <w:rsid w:val="002347E0"/>
    <w:rsid w:val="00234FB5"/>
    <w:rsid w:val="00235527"/>
    <w:rsid w:val="002357A3"/>
    <w:rsid w:val="00235F51"/>
    <w:rsid w:val="002362DB"/>
    <w:rsid w:val="0023630B"/>
    <w:rsid w:val="00236815"/>
    <w:rsid w:val="00236CA6"/>
    <w:rsid w:val="00236DE4"/>
    <w:rsid w:val="00236F79"/>
    <w:rsid w:val="002372FB"/>
    <w:rsid w:val="00237BA6"/>
    <w:rsid w:val="00240265"/>
    <w:rsid w:val="00240342"/>
    <w:rsid w:val="002409CE"/>
    <w:rsid w:val="00240DB9"/>
    <w:rsid w:val="00240EF9"/>
    <w:rsid w:val="00241870"/>
    <w:rsid w:val="00241944"/>
    <w:rsid w:val="0024194E"/>
    <w:rsid w:val="00241978"/>
    <w:rsid w:val="0024258B"/>
    <w:rsid w:val="002425A8"/>
    <w:rsid w:val="002427AB"/>
    <w:rsid w:val="002433CD"/>
    <w:rsid w:val="0024340E"/>
    <w:rsid w:val="00243ACA"/>
    <w:rsid w:val="002440B6"/>
    <w:rsid w:val="002442D9"/>
    <w:rsid w:val="002448C3"/>
    <w:rsid w:val="00244B37"/>
    <w:rsid w:val="00244E6A"/>
    <w:rsid w:val="00245805"/>
    <w:rsid w:val="002459D3"/>
    <w:rsid w:val="00245C6E"/>
    <w:rsid w:val="00246895"/>
    <w:rsid w:val="002468DF"/>
    <w:rsid w:val="002469A2"/>
    <w:rsid w:val="00247099"/>
    <w:rsid w:val="002470DA"/>
    <w:rsid w:val="0024745D"/>
    <w:rsid w:val="0024793A"/>
    <w:rsid w:val="00247BF0"/>
    <w:rsid w:val="002505C7"/>
    <w:rsid w:val="00250693"/>
    <w:rsid w:val="00251321"/>
    <w:rsid w:val="0025195F"/>
    <w:rsid w:val="00252441"/>
    <w:rsid w:val="00252695"/>
    <w:rsid w:val="00252F7E"/>
    <w:rsid w:val="00252FA7"/>
    <w:rsid w:val="00253090"/>
    <w:rsid w:val="00253B42"/>
    <w:rsid w:val="00253D22"/>
    <w:rsid w:val="00254D94"/>
    <w:rsid w:val="002551B7"/>
    <w:rsid w:val="00255696"/>
    <w:rsid w:val="00255C06"/>
    <w:rsid w:val="00255C36"/>
    <w:rsid w:val="00255F8A"/>
    <w:rsid w:val="00256565"/>
    <w:rsid w:val="00256A29"/>
    <w:rsid w:val="00256E9D"/>
    <w:rsid w:val="00256F00"/>
    <w:rsid w:val="00257740"/>
    <w:rsid w:val="00260697"/>
    <w:rsid w:val="00260847"/>
    <w:rsid w:val="002613BF"/>
    <w:rsid w:val="0026155F"/>
    <w:rsid w:val="00261962"/>
    <w:rsid w:val="0026217C"/>
    <w:rsid w:val="002623E3"/>
    <w:rsid w:val="00262FD1"/>
    <w:rsid w:val="002632AE"/>
    <w:rsid w:val="002637B1"/>
    <w:rsid w:val="00264845"/>
    <w:rsid w:val="00264BAD"/>
    <w:rsid w:val="00264FE5"/>
    <w:rsid w:val="002652DC"/>
    <w:rsid w:val="00265327"/>
    <w:rsid w:val="00265466"/>
    <w:rsid w:val="00266328"/>
    <w:rsid w:val="0026672F"/>
    <w:rsid w:val="00266929"/>
    <w:rsid w:val="00267014"/>
    <w:rsid w:val="00267074"/>
    <w:rsid w:val="002674B2"/>
    <w:rsid w:val="00267683"/>
    <w:rsid w:val="00270583"/>
    <w:rsid w:val="00270BDF"/>
    <w:rsid w:val="00270CAC"/>
    <w:rsid w:val="002713F5"/>
    <w:rsid w:val="0027140E"/>
    <w:rsid w:val="00271A4F"/>
    <w:rsid w:val="002726D8"/>
    <w:rsid w:val="002727ED"/>
    <w:rsid w:val="002729B4"/>
    <w:rsid w:val="00272A6F"/>
    <w:rsid w:val="0027301A"/>
    <w:rsid w:val="002736ED"/>
    <w:rsid w:val="002740C9"/>
    <w:rsid w:val="00274B26"/>
    <w:rsid w:val="00275957"/>
    <w:rsid w:val="00275D11"/>
    <w:rsid w:val="00275E85"/>
    <w:rsid w:val="002761AA"/>
    <w:rsid w:val="00277C3F"/>
    <w:rsid w:val="00277F1A"/>
    <w:rsid w:val="00280106"/>
    <w:rsid w:val="0028023D"/>
    <w:rsid w:val="002805F4"/>
    <w:rsid w:val="00281150"/>
    <w:rsid w:val="00281674"/>
    <w:rsid w:val="002816FE"/>
    <w:rsid w:val="002823F3"/>
    <w:rsid w:val="0028240F"/>
    <w:rsid w:val="00282533"/>
    <w:rsid w:val="00282B91"/>
    <w:rsid w:val="00282BB7"/>
    <w:rsid w:val="0028328A"/>
    <w:rsid w:val="0028347F"/>
    <w:rsid w:val="002835FB"/>
    <w:rsid w:val="00283D88"/>
    <w:rsid w:val="00283E37"/>
    <w:rsid w:val="002841A3"/>
    <w:rsid w:val="0028420B"/>
    <w:rsid w:val="002847E6"/>
    <w:rsid w:val="00284843"/>
    <w:rsid w:val="00284FF0"/>
    <w:rsid w:val="00285691"/>
    <w:rsid w:val="00286227"/>
    <w:rsid w:val="00286D9A"/>
    <w:rsid w:val="00287321"/>
    <w:rsid w:val="00287446"/>
    <w:rsid w:val="00287740"/>
    <w:rsid w:val="00287C0F"/>
    <w:rsid w:val="00290803"/>
    <w:rsid w:val="00291413"/>
    <w:rsid w:val="002915CD"/>
    <w:rsid w:val="00292336"/>
    <w:rsid w:val="0029295B"/>
    <w:rsid w:val="00292C50"/>
    <w:rsid w:val="002935EE"/>
    <w:rsid w:val="00293A6C"/>
    <w:rsid w:val="00293CB5"/>
    <w:rsid w:val="00294141"/>
    <w:rsid w:val="002951CD"/>
    <w:rsid w:val="00295973"/>
    <w:rsid w:val="0029597F"/>
    <w:rsid w:val="00295D73"/>
    <w:rsid w:val="0029629A"/>
    <w:rsid w:val="002970AA"/>
    <w:rsid w:val="0029717B"/>
    <w:rsid w:val="00297493"/>
    <w:rsid w:val="00297C3B"/>
    <w:rsid w:val="002A02A8"/>
    <w:rsid w:val="002A03F1"/>
    <w:rsid w:val="002A0692"/>
    <w:rsid w:val="002A0A13"/>
    <w:rsid w:val="002A0F0E"/>
    <w:rsid w:val="002A0F97"/>
    <w:rsid w:val="002A171C"/>
    <w:rsid w:val="002A174D"/>
    <w:rsid w:val="002A1892"/>
    <w:rsid w:val="002A1EB6"/>
    <w:rsid w:val="002A20AF"/>
    <w:rsid w:val="002A3A9F"/>
    <w:rsid w:val="002A401F"/>
    <w:rsid w:val="002A46ED"/>
    <w:rsid w:val="002A4716"/>
    <w:rsid w:val="002A4C94"/>
    <w:rsid w:val="002A53FA"/>
    <w:rsid w:val="002A54A8"/>
    <w:rsid w:val="002A5C04"/>
    <w:rsid w:val="002A5D45"/>
    <w:rsid w:val="002A5E54"/>
    <w:rsid w:val="002A63CA"/>
    <w:rsid w:val="002A6A96"/>
    <w:rsid w:val="002A6CF2"/>
    <w:rsid w:val="002A71BA"/>
    <w:rsid w:val="002A72F8"/>
    <w:rsid w:val="002A7610"/>
    <w:rsid w:val="002A7A3F"/>
    <w:rsid w:val="002A7EB6"/>
    <w:rsid w:val="002B013E"/>
    <w:rsid w:val="002B058F"/>
    <w:rsid w:val="002B08F5"/>
    <w:rsid w:val="002B1393"/>
    <w:rsid w:val="002B27C5"/>
    <w:rsid w:val="002B284A"/>
    <w:rsid w:val="002B28E2"/>
    <w:rsid w:val="002B2980"/>
    <w:rsid w:val="002B2B1D"/>
    <w:rsid w:val="002B2D17"/>
    <w:rsid w:val="002B2DCE"/>
    <w:rsid w:val="002B3278"/>
    <w:rsid w:val="002B4150"/>
    <w:rsid w:val="002B4AAE"/>
    <w:rsid w:val="002B4BAD"/>
    <w:rsid w:val="002B4BCB"/>
    <w:rsid w:val="002B4F2E"/>
    <w:rsid w:val="002B4F95"/>
    <w:rsid w:val="002B5CE6"/>
    <w:rsid w:val="002B5EFE"/>
    <w:rsid w:val="002B60D5"/>
    <w:rsid w:val="002B63DA"/>
    <w:rsid w:val="002B64CD"/>
    <w:rsid w:val="002B6542"/>
    <w:rsid w:val="002B65D4"/>
    <w:rsid w:val="002B6E49"/>
    <w:rsid w:val="002B7397"/>
    <w:rsid w:val="002B765D"/>
    <w:rsid w:val="002B7E24"/>
    <w:rsid w:val="002C038A"/>
    <w:rsid w:val="002C04D1"/>
    <w:rsid w:val="002C05FE"/>
    <w:rsid w:val="002C112E"/>
    <w:rsid w:val="002C17F1"/>
    <w:rsid w:val="002C24CF"/>
    <w:rsid w:val="002C2646"/>
    <w:rsid w:val="002C35BD"/>
    <w:rsid w:val="002C3658"/>
    <w:rsid w:val="002C3E9D"/>
    <w:rsid w:val="002C3EC2"/>
    <w:rsid w:val="002C4261"/>
    <w:rsid w:val="002C4349"/>
    <w:rsid w:val="002C539F"/>
    <w:rsid w:val="002C556F"/>
    <w:rsid w:val="002C5757"/>
    <w:rsid w:val="002C59CB"/>
    <w:rsid w:val="002C641F"/>
    <w:rsid w:val="002C6728"/>
    <w:rsid w:val="002C6804"/>
    <w:rsid w:val="002C6CD7"/>
    <w:rsid w:val="002C78A0"/>
    <w:rsid w:val="002C7B28"/>
    <w:rsid w:val="002D0015"/>
    <w:rsid w:val="002D02B1"/>
    <w:rsid w:val="002D075F"/>
    <w:rsid w:val="002D0A9D"/>
    <w:rsid w:val="002D0E6B"/>
    <w:rsid w:val="002D0F1B"/>
    <w:rsid w:val="002D1449"/>
    <w:rsid w:val="002D1F7B"/>
    <w:rsid w:val="002D268A"/>
    <w:rsid w:val="002D363C"/>
    <w:rsid w:val="002D36A5"/>
    <w:rsid w:val="002D3A15"/>
    <w:rsid w:val="002D46A2"/>
    <w:rsid w:val="002D491B"/>
    <w:rsid w:val="002D5788"/>
    <w:rsid w:val="002D5BB7"/>
    <w:rsid w:val="002D5E3E"/>
    <w:rsid w:val="002D6124"/>
    <w:rsid w:val="002D6919"/>
    <w:rsid w:val="002D6D1F"/>
    <w:rsid w:val="002D732D"/>
    <w:rsid w:val="002D74D4"/>
    <w:rsid w:val="002D7801"/>
    <w:rsid w:val="002D7F45"/>
    <w:rsid w:val="002D7F56"/>
    <w:rsid w:val="002E021D"/>
    <w:rsid w:val="002E035B"/>
    <w:rsid w:val="002E094B"/>
    <w:rsid w:val="002E0999"/>
    <w:rsid w:val="002E0B95"/>
    <w:rsid w:val="002E0FBB"/>
    <w:rsid w:val="002E162B"/>
    <w:rsid w:val="002E1A47"/>
    <w:rsid w:val="002E1C8C"/>
    <w:rsid w:val="002E1D0B"/>
    <w:rsid w:val="002E1E93"/>
    <w:rsid w:val="002E2602"/>
    <w:rsid w:val="002E2BED"/>
    <w:rsid w:val="002E3648"/>
    <w:rsid w:val="002E3869"/>
    <w:rsid w:val="002E3E5B"/>
    <w:rsid w:val="002E4269"/>
    <w:rsid w:val="002E433B"/>
    <w:rsid w:val="002E4553"/>
    <w:rsid w:val="002E455F"/>
    <w:rsid w:val="002E629B"/>
    <w:rsid w:val="002E6724"/>
    <w:rsid w:val="002E67EF"/>
    <w:rsid w:val="002E6F31"/>
    <w:rsid w:val="002E7803"/>
    <w:rsid w:val="002E7B0C"/>
    <w:rsid w:val="002E7E43"/>
    <w:rsid w:val="002E7F7D"/>
    <w:rsid w:val="002F0B1A"/>
    <w:rsid w:val="002F10DD"/>
    <w:rsid w:val="002F1636"/>
    <w:rsid w:val="002F1970"/>
    <w:rsid w:val="002F2125"/>
    <w:rsid w:val="002F2C4A"/>
    <w:rsid w:val="002F2C75"/>
    <w:rsid w:val="002F2E94"/>
    <w:rsid w:val="002F39AB"/>
    <w:rsid w:val="002F5A80"/>
    <w:rsid w:val="002F5ADD"/>
    <w:rsid w:val="002F5D9F"/>
    <w:rsid w:val="002F5E0F"/>
    <w:rsid w:val="002F67A5"/>
    <w:rsid w:val="002F68C2"/>
    <w:rsid w:val="002F6FE5"/>
    <w:rsid w:val="002F74CF"/>
    <w:rsid w:val="002F75CB"/>
    <w:rsid w:val="002F77C1"/>
    <w:rsid w:val="002F7900"/>
    <w:rsid w:val="002F7E2B"/>
    <w:rsid w:val="00300707"/>
    <w:rsid w:val="003007FF"/>
    <w:rsid w:val="00300E31"/>
    <w:rsid w:val="00300E85"/>
    <w:rsid w:val="00301916"/>
    <w:rsid w:val="0030197A"/>
    <w:rsid w:val="00301F89"/>
    <w:rsid w:val="0030266A"/>
    <w:rsid w:val="00302C3A"/>
    <w:rsid w:val="003031C9"/>
    <w:rsid w:val="00303453"/>
    <w:rsid w:val="00303597"/>
    <w:rsid w:val="0030376E"/>
    <w:rsid w:val="00303792"/>
    <w:rsid w:val="003047A0"/>
    <w:rsid w:val="00304B7F"/>
    <w:rsid w:val="00304CA5"/>
    <w:rsid w:val="00304CFD"/>
    <w:rsid w:val="00304E84"/>
    <w:rsid w:val="0030531F"/>
    <w:rsid w:val="0030656B"/>
    <w:rsid w:val="00306584"/>
    <w:rsid w:val="0030658D"/>
    <w:rsid w:val="00306608"/>
    <w:rsid w:val="00306DD2"/>
    <w:rsid w:val="00306E37"/>
    <w:rsid w:val="00306FF2"/>
    <w:rsid w:val="00307668"/>
    <w:rsid w:val="00307FA7"/>
    <w:rsid w:val="0031054E"/>
    <w:rsid w:val="00310CB2"/>
    <w:rsid w:val="00310F6E"/>
    <w:rsid w:val="003116E8"/>
    <w:rsid w:val="0031186B"/>
    <w:rsid w:val="00311AF1"/>
    <w:rsid w:val="003120F2"/>
    <w:rsid w:val="00312231"/>
    <w:rsid w:val="0031236C"/>
    <w:rsid w:val="003126FF"/>
    <w:rsid w:val="00312B4C"/>
    <w:rsid w:val="00312C2A"/>
    <w:rsid w:val="0031328D"/>
    <w:rsid w:val="00313321"/>
    <w:rsid w:val="0031343B"/>
    <w:rsid w:val="00313446"/>
    <w:rsid w:val="00313D03"/>
    <w:rsid w:val="0031487A"/>
    <w:rsid w:val="00314A17"/>
    <w:rsid w:val="00314FFB"/>
    <w:rsid w:val="003156CB"/>
    <w:rsid w:val="00315DCE"/>
    <w:rsid w:val="00315E1D"/>
    <w:rsid w:val="00316091"/>
    <w:rsid w:val="003164F7"/>
    <w:rsid w:val="00316793"/>
    <w:rsid w:val="003172F3"/>
    <w:rsid w:val="003173A0"/>
    <w:rsid w:val="00317731"/>
    <w:rsid w:val="003177C0"/>
    <w:rsid w:val="00317DEB"/>
    <w:rsid w:val="0032041F"/>
    <w:rsid w:val="003204FA"/>
    <w:rsid w:val="0032053B"/>
    <w:rsid w:val="0032142A"/>
    <w:rsid w:val="00321445"/>
    <w:rsid w:val="00321AC8"/>
    <w:rsid w:val="003228D9"/>
    <w:rsid w:val="00322BA9"/>
    <w:rsid w:val="00322CEB"/>
    <w:rsid w:val="00322EAE"/>
    <w:rsid w:val="00323C02"/>
    <w:rsid w:val="0032516B"/>
    <w:rsid w:val="00325FFE"/>
    <w:rsid w:val="00326DAD"/>
    <w:rsid w:val="003274FB"/>
    <w:rsid w:val="00327617"/>
    <w:rsid w:val="00327EA0"/>
    <w:rsid w:val="003304F2"/>
    <w:rsid w:val="0033094B"/>
    <w:rsid w:val="0033167E"/>
    <w:rsid w:val="00331D31"/>
    <w:rsid w:val="00331F30"/>
    <w:rsid w:val="0033216F"/>
    <w:rsid w:val="003326F0"/>
    <w:rsid w:val="00332FAE"/>
    <w:rsid w:val="00333497"/>
    <w:rsid w:val="003336AC"/>
    <w:rsid w:val="0033377C"/>
    <w:rsid w:val="00333985"/>
    <w:rsid w:val="00333AA3"/>
    <w:rsid w:val="003341D4"/>
    <w:rsid w:val="0033462A"/>
    <w:rsid w:val="0033466E"/>
    <w:rsid w:val="003348F1"/>
    <w:rsid w:val="003350C9"/>
    <w:rsid w:val="00335EFC"/>
    <w:rsid w:val="00336EDF"/>
    <w:rsid w:val="00337829"/>
    <w:rsid w:val="0033782D"/>
    <w:rsid w:val="00340531"/>
    <w:rsid w:val="0034088F"/>
    <w:rsid w:val="00340B55"/>
    <w:rsid w:val="00340C5F"/>
    <w:rsid w:val="00341033"/>
    <w:rsid w:val="0034134D"/>
    <w:rsid w:val="003413E7"/>
    <w:rsid w:val="00341446"/>
    <w:rsid w:val="003414FC"/>
    <w:rsid w:val="00341826"/>
    <w:rsid w:val="00341EDE"/>
    <w:rsid w:val="00341F7E"/>
    <w:rsid w:val="00342EDC"/>
    <w:rsid w:val="00343226"/>
    <w:rsid w:val="0034330E"/>
    <w:rsid w:val="00343350"/>
    <w:rsid w:val="00343443"/>
    <w:rsid w:val="00344200"/>
    <w:rsid w:val="00344F59"/>
    <w:rsid w:val="00345400"/>
    <w:rsid w:val="00345F12"/>
    <w:rsid w:val="00346D42"/>
    <w:rsid w:val="00346F2E"/>
    <w:rsid w:val="00347E1A"/>
    <w:rsid w:val="00347E5F"/>
    <w:rsid w:val="00350211"/>
    <w:rsid w:val="003506F6"/>
    <w:rsid w:val="003507BB"/>
    <w:rsid w:val="00350A09"/>
    <w:rsid w:val="00350D39"/>
    <w:rsid w:val="00350F3D"/>
    <w:rsid w:val="003512A7"/>
    <w:rsid w:val="003514B0"/>
    <w:rsid w:val="00351514"/>
    <w:rsid w:val="00351738"/>
    <w:rsid w:val="0035209D"/>
    <w:rsid w:val="00352B5F"/>
    <w:rsid w:val="00352C0D"/>
    <w:rsid w:val="003538A0"/>
    <w:rsid w:val="0035438B"/>
    <w:rsid w:val="0035462E"/>
    <w:rsid w:val="003548DD"/>
    <w:rsid w:val="0035517B"/>
    <w:rsid w:val="003557CC"/>
    <w:rsid w:val="003558CB"/>
    <w:rsid w:val="0035654D"/>
    <w:rsid w:val="00356766"/>
    <w:rsid w:val="0035687D"/>
    <w:rsid w:val="00356E48"/>
    <w:rsid w:val="003570F5"/>
    <w:rsid w:val="00357987"/>
    <w:rsid w:val="00357EA8"/>
    <w:rsid w:val="00360893"/>
    <w:rsid w:val="00360B21"/>
    <w:rsid w:val="00361060"/>
    <w:rsid w:val="00361104"/>
    <w:rsid w:val="003614BC"/>
    <w:rsid w:val="00361FD3"/>
    <w:rsid w:val="003630FD"/>
    <w:rsid w:val="00363334"/>
    <w:rsid w:val="00364A36"/>
    <w:rsid w:val="00364A92"/>
    <w:rsid w:val="00364F13"/>
    <w:rsid w:val="00364F63"/>
    <w:rsid w:val="003651F5"/>
    <w:rsid w:val="003656BB"/>
    <w:rsid w:val="00365F0D"/>
    <w:rsid w:val="00365FAC"/>
    <w:rsid w:val="00366369"/>
    <w:rsid w:val="0036695E"/>
    <w:rsid w:val="00366FE1"/>
    <w:rsid w:val="003674D5"/>
    <w:rsid w:val="00367572"/>
    <w:rsid w:val="0036759B"/>
    <w:rsid w:val="00367A36"/>
    <w:rsid w:val="00367B7E"/>
    <w:rsid w:val="00367C07"/>
    <w:rsid w:val="00370336"/>
    <w:rsid w:val="00370567"/>
    <w:rsid w:val="003706E7"/>
    <w:rsid w:val="00370976"/>
    <w:rsid w:val="00370CE9"/>
    <w:rsid w:val="00370EC3"/>
    <w:rsid w:val="003713E3"/>
    <w:rsid w:val="00371862"/>
    <w:rsid w:val="00371DFB"/>
    <w:rsid w:val="00371E53"/>
    <w:rsid w:val="00371F3A"/>
    <w:rsid w:val="003724D9"/>
    <w:rsid w:val="003726BB"/>
    <w:rsid w:val="0037335D"/>
    <w:rsid w:val="00373570"/>
    <w:rsid w:val="00373A98"/>
    <w:rsid w:val="00373F58"/>
    <w:rsid w:val="00374026"/>
    <w:rsid w:val="003741B1"/>
    <w:rsid w:val="0037447D"/>
    <w:rsid w:val="0037466B"/>
    <w:rsid w:val="0037507A"/>
    <w:rsid w:val="0037553A"/>
    <w:rsid w:val="003768E0"/>
    <w:rsid w:val="00377033"/>
    <w:rsid w:val="00377698"/>
    <w:rsid w:val="0037799D"/>
    <w:rsid w:val="00380648"/>
    <w:rsid w:val="00380DF4"/>
    <w:rsid w:val="003818BD"/>
    <w:rsid w:val="00381DE2"/>
    <w:rsid w:val="003820F1"/>
    <w:rsid w:val="003821C5"/>
    <w:rsid w:val="003824A8"/>
    <w:rsid w:val="00383077"/>
    <w:rsid w:val="003837A6"/>
    <w:rsid w:val="00383C82"/>
    <w:rsid w:val="0038457E"/>
    <w:rsid w:val="0038475E"/>
    <w:rsid w:val="003847F0"/>
    <w:rsid w:val="00384ECE"/>
    <w:rsid w:val="00385E6C"/>
    <w:rsid w:val="00386016"/>
    <w:rsid w:val="00386268"/>
    <w:rsid w:val="00386BE8"/>
    <w:rsid w:val="00386E93"/>
    <w:rsid w:val="00387211"/>
    <w:rsid w:val="00387444"/>
    <w:rsid w:val="003877F6"/>
    <w:rsid w:val="00390421"/>
    <w:rsid w:val="0039068E"/>
    <w:rsid w:val="00390A0A"/>
    <w:rsid w:val="00390BE3"/>
    <w:rsid w:val="00391050"/>
    <w:rsid w:val="00391130"/>
    <w:rsid w:val="00391446"/>
    <w:rsid w:val="00392522"/>
    <w:rsid w:val="00392568"/>
    <w:rsid w:val="00392A21"/>
    <w:rsid w:val="00392C5D"/>
    <w:rsid w:val="003931E5"/>
    <w:rsid w:val="00393631"/>
    <w:rsid w:val="00393BEB"/>
    <w:rsid w:val="00393D20"/>
    <w:rsid w:val="00393ED8"/>
    <w:rsid w:val="0039439C"/>
    <w:rsid w:val="0039490F"/>
    <w:rsid w:val="00394C26"/>
    <w:rsid w:val="00394F5F"/>
    <w:rsid w:val="00395332"/>
    <w:rsid w:val="00395413"/>
    <w:rsid w:val="003954CF"/>
    <w:rsid w:val="00395766"/>
    <w:rsid w:val="003958F8"/>
    <w:rsid w:val="00396151"/>
    <w:rsid w:val="0039632D"/>
    <w:rsid w:val="00396FDC"/>
    <w:rsid w:val="00397A96"/>
    <w:rsid w:val="003A084B"/>
    <w:rsid w:val="003A09B1"/>
    <w:rsid w:val="003A0C1A"/>
    <w:rsid w:val="003A120F"/>
    <w:rsid w:val="003A3409"/>
    <w:rsid w:val="003A346C"/>
    <w:rsid w:val="003A38D3"/>
    <w:rsid w:val="003A390D"/>
    <w:rsid w:val="003A3DFD"/>
    <w:rsid w:val="003A40C1"/>
    <w:rsid w:val="003A410A"/>
    <w:rsid w:val="003A498E"/>
    <w:rsid w:val="003A4B33"/>
    <w:rsid w:val="003A4FBC"/>
    <w:rsid w:val="003A5EAA"/>
    <w:rsid w:val="003A5F47"/>
    <w:rsid w:val="003A65D7"/>
    <w:rsid w:val="003A666E"/>
    <w:rsid w:val="003A679A"/>
    <w:rsid w:val="003A684C"/>
    <w:rsid w:val="003A6C10"/>
    <w:rsid w:val="003A6D67"/>
    <w:rsid w:val="003A7547"/>
    <w:rsid w:val="003A7587"/>
    <w:rsid w:val="003A7CC9"/>
    <w:rsid w:val="003B03B4"/>
    <w:rsid w:val="003B0635"/>
    <w:rsid w:val="003B0D4E"/>
    <w:rsid w:val="003B127D"/>
    <w:rsid w:val="003B147F"/>
    <w:rsid w:val="003B17C5"/>
    <w:rsid w:val="003B197E"/>
    <w:rsid w:val="003B1F15"/>
    <w:rsid w:val="003B28D1"/>
    <w:rsid w:val="003B2B30"/>
    <w:rsid w:val="003B2C4B"/>
    <w:rsid w:val="003B2E55"/>
    <w:rsid w:val="003B3C14"/>
    <w:rsid w:val="003B4660"/>
    <w:rsid w:val="003B4BE3"/>
    <w:rsid w:val="003B4F51"/>
    <w:rsid w:val="003B6DF2"/>
    <w:rsid w:val="003B6EA7"/>
    <w:rsid w:val="003B7168"/>
    <w:rsid w:val="003B73DB"/>
    <w:rsid w:val="003B773B"/>
    <w:rsid w:val="003B7827"/>
    <w:rsid w:val="003B7971"/>
    <w:rsid w:val="003B7C4B"/>
    <w:rsid w:val="003B7D3D"/>
    <w:rsid w:val="003C055F"/>
    <w:rsid w:val="003C078D"/>
    <w:rsid w:val="003C1C8C"/>
    <w:rsid w:val="003C1EAB"/>
    <w:rsid w:val="003C24FD"/>
    <w:rsid w:val="003C2709"/>
    <w:rsid w:val="003C2D8D"/>
    <w:rsid w:val="003C2E05"/>
    <w:rsid w:val="003C323D"/>
    <w:rsid w:val="003C443B"/>
    <w:rsid w:val="003C4516"/>
    <w:rsid w:val="003C5135"/>
    <w:rsid w:val="003C52B9"/>
    <w:rsid w:val="003C5A06"/>
    <w:rsid w:val="003C613B"/>
    <w:rsid w:val="003C65A3"/>
    <w:rsid w:val="003C684D"/>
    <w:rsid w:val="003C6936"/>
    <w:rsid w:val="003C6944"/>
    <w:rsid w:val="003C6A61"/>
    <w:rsid w:val="003C6FBD"/>
    <w:rsid w:val="003C725F"/>
    <w:rsid w:val="003C72DA"/>
    <w:rsid w:val="003C7434"/>
    <w:rsid w:val="003C7DDF"/>
    <w:rsid w:val="003D0838"/>
    <w:rsid w:val="003D0951"/>
    <w:rsid w:val="003D0F1F"/>
    <w:rsid w:val="003D11EB"/>
    <w:rsid w:val="003D1B44"/>
    <w:rsid w:val="003D1D11"/>
    <w:rsid w:val="003D1DCE"/>
    <w:rsid w:val="003D1E38"/>
    <w:rsid w:val="003D2153"/>
    <w:rsid w:val="003D21AA"/>
    <w:rsid w:val="003D23BA"/>
    <w:rsid w:val="003D2465"/>
    <w:rsid w:val="003D2D83"/>
    <w:rsid w:val="003D3500"/>
    <w:rsid w:val="003D3659"/>
    <w:rsid w:val="003D3AAC"/>
    <w:rsid w:val="003D4001"/>
    <w:rsid w:val="003D40CD"/>
    <w:rsid w:val="003D4128"/>
    <w:rsid w:val="003D4254"/>
    <w:rsid w:val="003D45A9"/>
    <w:rsid w:val="003D4638"/>
    <w:rsid w:val="003D4943"/>
    <w:rsid w:val="003D4C05"/>
    <w:rsid w:val="003D51A0"/>
    <w:rsid w:val="003D585C"/>
    <w:rsid w:val="003D625C"/>
    <w:rsid w:val="003D6375"/>
    <w:rsid w:val="003D6438"/>
    <w:rsid w:val="003D6700"/>
    <w:rsid w:val="003D674E"/>
    <w:rsid w:val="003D6829"/>
    <w:rsid w:val="003D72DC"/>
    <w:rsid w:val="003D743F"/>
    <w:rsid w:val="003D7BB6"/>
    <w:rsid w:val="003E0178"/>
    <w:rsid w:val="003E0197"/>
    <w:rsid w:val="003E0235"/>
    <w:rsid w:val="003E0265"/>
    <w:rsid w:val="003E02C2"/>
    <w:rsid w:val="003E02DF"/>
    <w:rsid w:val="003E0A45"/>
    <w:rsid w:val="003E0E88"/>
    <w:rsid w:val="003E12B0"/>
    <w:rsid w:val="003E13C7"/>
    <w:rsid w:val="003E1584"/>
    <w:rsid w:val="003E1762"/>
    <w:rsid w:val="003E19AB"/>
    <w:rsid w:val="003E200D"/>
    <w:rsid w:val="003E26C0"/>
    <w:rsid w:val="003E2F4E"/>
    <w:rsid w:val="003E34D3"/>
    <w:rsid w:val="003E4409"/>
    <w:rsid w:val="003E4959"/>
    <w:rsid w:val="003E4976"/>
    <w:rsid w:val="003E4AFB"/>
    <w:rsid w:val="003E533C"/>
    <w:rsid w:val="003E54FC"/>
    <w:rsid w:val="003E5846"/>
    <w:rsid w:val="003E5EEF"/>
    <w:rsid w:val="003E60F7"/>
    <w:rsid w:val="003E632B"/>
    <w:rsid w:val="003E686E"/>
    <w:rsid w:val="003E7C7B"/>
    <w:rsid w:val="003F022A"/>
    <w:rsid w:val="003F05B2"/>
    <w:rsid w:val="003F06FF"/>
    <w:rsid w:val="003F0AD3"/>
    <w:rsid w:val="003F0F03"/>
    <w:rsid w:val="003F16B8"/>
    <w:rsid w:val="003F1B0E"/>
    <w:rsid w:val="003F1E9D"/>
    <w:rsid w:val="003F21D2"/>
    <w:rsid w:val="003F2297"/>
    <w:rsid w:val="003F2B8F"/>
    <w:rsid w:val="003F3420"/>
    <w:rsid w:val="003F4572"/>
    <w:rsid w:val="003F4946"/>
    <w:rsid w:val="003F4BD7"/>
    <w:rsid w:val="003F528F"/>
    <w:rsid w:val="003F5382"/>
    <w:rsid w:val="003F57A8"/>
    <w:rsid w:val="003F5D6A"/>
    <w:rsid w:val="003F62E0"/>
    <w:rsid w:val="003F6B35"/>
    <w:rsid w:val="003F6F7E"/>
    <w:rsid w:val="003F74BC"/>
    <w:rsid w:val="003F7D55"/>
    <w:rsid w:val="00400049"/>
    <w:rsid w:val="00400085"/>
    <w:rsid w:val="00400D8F"/>
    <w:rsid w:val="00400F77"/>
    <w:rsid w:val="004011FE"/>
    <w:rsid w:val="00401367"/>
    <w:rsid w:val="00401481"/>
    <w:rsid w:val="004016B0"/>
    <w:rsid w:val="00401EF6"/>
    <w:rsid w:val="0040202A"/>
    <w:rsid w:val="0040363D"/>
    <w:rsid w:val="00403771"/>
    <w:rsid w:val="00403E86"/>
    <w:rsid w:val="00404E21"/>
    <w:rsid w:val="00405259"/>
    <w:rsid w:val="00405B94"/>
    <w:rsid w:val="00406A2F"/>
    <w:rsid w:val="00406B40"/>
    <w:rsid w:val="0040702F"/>
    <w:rsid w:val="004070EC"/>
    <w:rsid w:val="00407219"/>
    <w:rsid w:val="004075F1"/>
    <w:rsid w:val="00410307"/>
    <w:rsid w:val="0041063A"/>
    <w:rsid w:val="00410968"/>
    <w:rsid w:val="00410F5B"/>
    <w:rsid w:val="004111C1"/>
    <w:rsid w:val="00411431"/>
    <w:rsid w:val="00411548"/>
    <w:rsid w:val="00411AE8"/>
    <w:rsid w:val="00411D5D"/>
    <w:rsid w:val="00411ECB"/>
    <w:rsid w:val="00412179"/>
    <w:rsid w:val="004125D1"/>
    <w:rsid w:val="00412642"/>
    <w:rsid w:val="00412702"/>
    <w:rsid w:val="0041314D"/>
    <w:rsid w:val="0041400D"/>
    <w:rsid w:val="00414621"/>
    <w:rsid w:val="00414BD3"/>
    <w:rsid w:val="00414F59"/>
    <w:rsid w:val="0041514C"/>
    <w:rsid w:val="004153BF"/>
    <w:rsid w:val="004155ED"/>
    <w:rsid w:val="00415624"/>
    <w:rsid w:val="00415AE0"/>
    <w:rsid w:val="00415C72"/>
    <w:rsid w:val="0041610A"/>
    <w:rsid w:val="00416891"/>
    <w:rsid w:val="004173AB"/>
    <w:rsid w:val="0042010D"/>
    <w:rsid w:val="00420252"/>
    <w:rsid w:val="0042027B"/>
    <w:rsid w:val="004202E3"/>
    <w:rsid w:val="00420FBA"/>
    <w:rsid w:val="00420FF2"/>
    <w:rsid w:val="00421107"/>
    <w:rsid w:val="00421205"/>
    <w:rsid w:val="004212FE"/>
    <w:rsid w:val="00421429"/>
    <w:rsid w:val="00421B63"/>
    <w:rsid w:val="00421F37"/>
    <w:rsid w:val="0042225E"/>
    <w:rsid w:val="0042255D"/>
    <w:rsid w:val="00422574"/>
    <w:rsid w:val="00422610"/>
    <w:rsid w:val="00422785"/>
    <w:rsid w:val="0042299E"/>
    <w:rsid w:val="00423370"/>
    <w:rsid w:val="004233AF"/>
    <w:rsid w:val="00423C37"/>
    <w:rsid w:val="00423DB5"/>
    <w:rsid w:val="00424520"/>
    <w:rsid w:val="00425F08"/>
    <w:rsid w:val="004261E4"/>
    <w:rsid w:val="004266E5"/>
    <w:rsid w:val="00426CB6"/>
    <w:rsid w:val="00426D90"/>
    <w:rsid w:val="004275C1"/>
    <w:rsid w:val="0042779B"/>
    <w:rsid w:val="00427A2B"/>
    <w:rsid w:val="00427C0B"/>
    <w:rsid w:val="00427DA0"/>
    <w:rsid w:val="00427E60"/>
    <w:rsid w:val="0043028A"/>
    <w:rsid w:val="004303C6"/>
    <w:rsid w:val="00431185"/>
    <w:rsid w:val="0043193C"/>
    <w:rsid w:val="00431D51"/>
    <w:rsid w:val="00432133"/>
    <w:rsid w:val="00432173"/>
    <w:rsid w:val="00432253"/>
    <w:rsid w:val="00432358"/>
    <w:rsid w:val="004324CC"/>
    <w:rsid w:val="00432A45"/>
    <w:rsid w:val="00432C51"/>
    <w:rsid w:val="00432C5F"/>
    <w:rsid w:val="00433131"/>
    <w:rsid w:val="00433849"/>
    <w:rsid w:val="00433E60"/>
    <w:rsid w:val="0043405A"/>
    <w:rsid w:val="004344E1"/>
    <w:rsid w:val="00435104"/>
    <w:rsid w:val="00435318"/>
    <w:rsid w:val="00436147"/>
    <w:rsid w:val="00436C7D"/>
    <w:rsid w:val="00436D31"/>
    <w:rsid w:val="00436D74"/>
    <w:rsid w:val="00437206"/>
    <w:rsid w:val="00437972"/>
    <w:rsid w:val="004379A9"/>
    <w:rsid w:val="00437EC1"/>
    <w:rsid w:val="00437FF3"/>
    <w:rsid w:val="0044042D"/>
    <w:rsid w:val="00440A9E"/>
    <w:rsid w:val="00440B4C"/>
    <w:rsid w:val="00441810"/>
    <w:rsid w:val="004418EC"/>
    <w:rsid w:val="00441925"/>
    <w:rsid w:val="00441ADC"/>
    <w:rsid w:val="00441ADF"/>
    <w:rsid w:val="004423B1"/>
    <w:rsid w:val="004424F3"/>
    <w:rsid w:val="00442967"/>
    <w:rsid w:val="00443857"/>
    <w:rsid w:val="00443A05"/>
    <w:rsid w:val="00443AEA"/>
    <w:rsid w:val="00443FC2"/>
    <w:rsid w:val="004440EE"/>
    <w:rsid w:val="00444B22"/>
    <w:rsid w:val="00444F6E"/>
    <w:rsid w:val="00445801"/>
    <w:rsid w:val="00445975"/>
    <w:rsid w:val="00445B45"/>
    <w:rsid w:val="004469AE"/>
    <w:rsid w:val="00446D03"/>
    <w:rsid w:val="00446E15"/>
    <w:rsid w:val="00446E5F"/>
    <w:rsid w:val="0044764E"/>
    <w:rsid w:val="0044768C"/>
    <w:rsid w:val="0044784F"/>
    <w:rsid w:val="00447DDC"/>
    <w:rsid w:val="00447F7A"/>
    <w:rsid w:val="0045034F"/>
    <w:rsid w:val="00451046"/>
    <w:rsid w:val="004511B6"/>
    <w:rsid w:val="00451416"/>
    <w:rsid w:val="00451D01"/>
    <w:rsid w:val="0045259C"/>
    <w:rsid w:val="00452F01"/>
    <w:rsid w:val="004538FC"/>
    <w:rsid w:val="00453A6B"/>
    <w:rsid w:val="00453A75"/>
    <w:rsid w:val="0045444C"/>
    <w:rsid w:val="004548FB"/>
    <w:rsid w:val="00454E18"/>
    <w:rsid w:val="0045508E"/>
    <w:rsid w:val="00455258"/>
    <w:rsid w:val="00455E0D"/>
    <w:rsid w:val="0045649D"/>
    <w:rsid w:val="004564B9"/>
    <w:rsid w:val="00456686"/>
    <w:rsid w:val="00456997"/>
    <w:rsid w:val="0045765D"/>
    <w:rsid w:val="00457747"/>
    <w:rsid w:val="00460465"/>
    <w:rsid w:val="004610B4"/>
    <w:rsid w:val="00461F18"/>
    <w:rsid w:val="00462322"/>
    <w:rsid w:val="00462719"/>
    <w:rsid w:val="00462F57"/>
    <w:rsid w:val="004634F3"/>
    <w:rsid w:val="00463681"/>
    <w:rsid w:val="00463799"/>
    <w:rsid w:val="0046379F"/>
    <w:rsid w:val="00463BEF"/>
    <w:rsid w:val="0046473E"/>
    <w:rsid w:val="0046495D"/>
    <w:rsid w:val="00464993"/>
    <w:rsid w:val="004658F5"/>
    <w:rsid w:val="00465B0F"/>
    <w:rsid w:val="00465B11"/>
    <w:rsid w:val="00465BB6"/>
    <w:rsid w:val="00465D68"/>
    <w:rsid w:val="00466216"/>
    <w:rsid w:val="0046643D"/>
    <w:rsid w:val="004665DF"/>
    <w:rsid w:val="0046700B"/>
    <w:rsid w:val="00467353"/>
    <w:rsid w:val="00467392"/>
    <w:rsid w:val="004678D2"/>
    <w:rsid w:val="0047001C"/>
    <w:rsid w:val="00470584"/>
    <w:rsid w:val="004706C3"/>
    <w:rsid w:val="00470737"/>
    <w:rsid w:val="004712AE"/>
    <w:rsid w:val="00471CB4"/>
    <w:rsid w:val="004724E0"/>
    <w:rsid w:val="00472619"/>
    <w:rsid w:val="004729C5"/>
    <w:rsid w:val="00472A43"/>
    <w:rsid w:val="00472B82"/>
    <w:rsid w:val="00473558"/>
    <w:rsid w:val="0047403F"/>
    <w:rsid w:val="004744EC"/>
    <w:rsid w:val="00474618"/>
    <w:rsid w:val="00474930"/>
    <w:rsid w:val="00474C0E"/>
    <w:rsid w:val="00474D01"/>
    <w:rsid w:val="00475AD3"/>
    <w:rsid w:val="00475DEA"/>
    <w:rsid w:val="004766FC"/>
    <w:rsid w:val="00477011"/>
    <w:rsid w:val="004771B1"/>
    <w:rsid w:val="004775F6"/>
    <w:rsid w:val="00477A01"/>
    <w:rsid w:val="00477D37"/>
    <w:rsid w:val="004803F5"/>
    <w:rsid w:val="00480464"/>
    <w:rsid w:val="00480B1F"/>
    <w:rsid w:val="0048139B"/>
    <w:rsid w:val="004813C1"/>
    <w:rsid w:val="00481541"/>
    <w:rsid w:val="00481AE7"/>
    <w:rsid w:val="00481B5F"/>
    <w:rsid w:val="00481CA7"/>
    <w:rsid w:val="00481F6A"/>
    <w:rsid w:val="0048229C"/>
    <w:rsid w:val="00482348"/>
    <w:rsid w:val="0048238C"/>
    <w:rsid w:val="00482518"/>
    <w:rsid w:val="00483083"/>
    <w:rsid w:val="00483244"/>
    <w:rsid w:val="0048381F"/>
    <w:rsid w:val="004843E0"/>
    <w:rsid w:val="00484772"/>
    <w:rsid w:val="00484E55"/>
    <w:rsid w:val="00484F3A"/>
    <w:rsid w:val="00484F5E"/>
    <w:rsid w:val="00485233"/>
    <w:rsid w:val="00485825"/>
    <w:rsid w:val="004859C3"/>
    <w:rsid w:val="00485A4D"/>
    <w:rsid w:val="00485AA4"/>
    <w:rsid w:val="00485AA8"/>
    <w:rsid w:val="00486131"/>
    <w:rsid w:val="00486389"/>
    <w:rsid w:val="004868C9"/>
    <w:rsid w:val="00486FE1"/>
    <w:rsid w:val="0049009B"/>
    <w:rsid w:val="0049034A"/>
    <w:rsid w:val="004908EF"/>
    <w:rsid w:val="00490FD2"/>
    <w:rsid w:val="00491482"/>
    <w:rsid w:val="004915B9"/>
    <w:rsid w:val="004916AF"/>
    <w:rsid w:val="00491B78"/>
    <w:rsid w:val="00491EEE"/>
    <w:rsid w:val="00491F68"/>
    <w:rsid w:val="00491FD2"/>
    <w:rsid w:val="004927B5"/>
    <w:rsid w:val="00492827"/>
    <w:rsid w:val="00492B6F"/>
    <w:rsid w:val="00492C90"/>
    <w:rsid w:val="00492DA3"/>
    <w:rsid w:val="004931C3"/>
    <w:rsid w:val="004932BF"/>
    <w:rsid w:val="0049335A"/>
    <w:rsid w:val="0049385A"/>
    <w:rsid w:val="00493E1E"/>
    <w:rsid w:val="004949E4"/>
    <w:rsid w:val="00494A3F"/>
    <w:rsid w:val="004952B6"/>
    <w:rsid w:val="004956B8"/>
    <w:rsid w:val="00496E42"/>
    <w:rsid w:val="0049704F"/>
    <w:rsid w:val="00497C16"/>
    <w:rsid w:val="004A01BA"/>
    <w:rsid w:val="004A05F4"/>
    <w:rsid w:val="004A0600"/>
    <w:rsid w:val="004A0864"/>
    <w:rsid w:val="004A0B3B"/>
    <w:rsid w:val="004A0BA7"/>
    <w:rsid w:val="004A1256"/>
    <w:rsid w:val="004A1729"/>
    <w:rsid w:val="004A1859"/>
    <w:rsid w:val="004A2375"/>
    <w:rsid w:val="004A4275"/>
    <w:rsid w:val="004A4547"/>
    <w:rsid w:val="004A47C5"/>
    <w:rsid w:val="004A4E00"/>
    <w:rsid w:val="004A4F67"/>
    <w:rsid w:val="004A5448"/>
    <w:rsid w:val="004A5724"/>
    <w:rsid w:val="004A5927"/>
    <w:rsid w:val="004A6326"/>
    <w:rsid w:val="004A6D69"/>
    <w:rsid w:val="004A6F71"/>
    <w:rsid w:val="004A702E"/>
    <w:rsid w:val="004A7E65"/>
    <w:rsid w:val="004A7F30"/>
    <w:rsid w:val="004B04F6"/>
    <w:rsid w:val="004B0599"/>
    <w:rsid w:val="004B06CF"/>
    <w:rsid w:val="004B0722"/>
    <w:rsid w:val="004B0C6C"/>
    <w:rsid w:val="004B12CD"/>
    <w:rsid w:val="004B1569"/>
    <w:rsid w:val="004B182B"/>
    <w:rsid w:val="004B1B7F"/>
    <w:rsid w:val="004B1CAB"/>
    <w:rsid w:val="004B2ADF"/>
    <w:rsid w:val="004B2B00"/>
    <w:rsid w:val="004B2B05"/>
    <w:rsid w:val="004B2DB6"/>
    <w:rsid w:val="004B4511"/>
    <w:rsid w:val="004B6179"/>
    <w:rsid w:val="004B6B89"/>
    <w:rsid w:val="004B6CA7"/>
    <w:rsid w:val="004B6DC2"/>
    <w:rsid w:val="004B707F"/>
    <w:rsid w:val="004B71ED"/>
    <w:rsid w:val="004B7375"/>
    <w:rsid w:val="004B73A5"/>
    <w:rsid w:val="004B7829"/>
    <w:rsid w:val="004B7CD6"/>
    <w:rsid w:val="004C0116"/>
    <w:rsid w:val="004C061B"/>
    <w:rsid w:val="004C070A"/>
    <w:rsid w:val="004C0933"/>
    <w:rsid w:val="004C097F"/>
    <w:rsid w:val="004C0A7E"/>
    <w:rsid w:val="004C100E"/>
    <w:rsid w:val="004C1132"/>
    <w:rsid w:val="004C1247"/>
    <w:rsid w:val="004C17FC"/>
    <w:rsid w:val="004C2305"/>
    <w:rsid w:val="004C2658"/>
    <w:rsid w:val="004C2886"/>
    <w:rsid w:val="004C296A"/>
    <w:rsid w:val="004C2C2D"/>
    <w:rsid w:val="004C324B"/>
    <w:rsid w:val="004C333B"/>
    <w:rsid w:val="004C37FB"/>
    <w:rsid w:val="004C3BAF"/>
    <w:rsid w:val="004C3C79"/>
    <w:rsid w:val="004C403E"/>
    <w:rsid w:val="004C4482"/>
    <w:rsid w:val="004C4728"/>
    <w:rsid w:val="004C4816"/>
    <w:rsid w:val="004C4ECA"/>
    <w:rsid w:val="004C4F9C"/>
    <w:rsid w:val="004C50C4"/>
    <w:rsid w:val="004C5326"/>
    <w:rsid w:val="004C5E15"/>
    <w:rsid w:val="004C6108"/>
    <w:rsid w:val="004C61E5"/>
    <w:rsid w:val="004C621D"/>
    <w:rsid w:val="004C6970"/>
    <w:rsid w:val="004C6A02"/>
    <w:rsid w:val="004C70CE"/>
    <w:rsid w:val="004C7187"/>
    <w:rsid w:val="004C7251"/>
    <w:rsid w:val="004C72A9"/>
    <w:rsid w:val="004C7315"/>
    <w:rsid w:val="004C7488"/>
    <w:rsid w:val="004C77DA"/>
    <w:rsid w:val="004C78FC"/>
    <w:rsid w:val="004D04B6"/>
    <w:rsid w:val="004D074D"/>
    <w:rsid w:val="004D0762"/>
    <w:rsid w:val="004D1B91"/>
    <w:rsid w:val="004D242D"/>
    <w:rsid w:val="004D26EC"/>
    <w:rsid w:val="004D2911"/>
    <w:rsid w:val="004D2C38"/>
    <w:rsid w:val="004D37DA"/>
    <w:rsid w:val="004D3827"/>
    <w:rsid w:val="004D3E5F"/>
    <w:rsid w:val="004D421E"/>
    <w:rsid w:val="004D4367"/>
    <w:rsid w:val="004D4489"/>
    <w:rsid w:val="004D5410"/>
    <w:rsid w:val="004D5479"/>
    <w:rsid w:val="004D57C3"/>
    <w:rsid w:val="004D652B"/>
    <w:rsid w:val="004D6F40"/>
    <w:rsid w:val="004D71B2"/>
    <w:rsid w:val="004D7397"/>
    <w:rsid w:val="004D7A01"/>
    <w:rsid w:val="004E1A05"/>
    <w:rsid w:val="004E1E21"/>
    <w:rsid w:val="004E1ED7"/>
    <w:rsid w:val="004E1FBB"/>
    <w:rsid w:val="004E20EA"/>
    <w:rsid w:val="004E2467"/>
    <w:rsid w:val="004E2C32"/>
    <w:rsid w:val="004E3178"/>
    <w:rsid w:val="004E3487"/>
    <w:rsid w:val="004E34A9"/>
    <w:rsid w:val="004E3C87"/>
    <w:rsid w:val="004E3D6B"/>
    <w:rsid w:val="004E4093"/>
    <w:rsid w:val="004E4095"/>
    <w:rsid w:val="004E46D2"/>
    <w:rsid w:val="004E5146"/>
    <w:rsid w:val="004E51DF"/>
    <w:rsid w:val="004E553F"/>
    <w:rsid w:val="004E58C1"/>
    <w:rsid w:val="004E5D4C"/>
    <w:rsid w:val="004E5ED3"/>
    <w:rsid w:val="004E6046"/>
    <w:rsid w:val="004E608A"/>
    <w:rsid w:val="004E6DC6"/>
    <w:rsid w:val="004E7015"/>
    <w:rsid w:val="004E72B9"/>
    <w:rsid w:val="004E72D4"/>
    <w:rsid w:val="004F0366"/>
    <w:rsid w:val="004F0416"/>
    <w:rsid w:val="004F050D"/>
    <w:rsid w:val="004F116D"/>
    <w:rsid w:val="004F1186"/>
    <w:rsid w:val="004F11D8"/>
    <w:rsid w:val="004F1245"/>
    <w:rsid w:val="004F13BB"/>
    <w:rsid w:val="004F1AE0"/>
    <w:rsid w:val="004F1D6C"/>
    <w:rsid w:val="004F2007"/>
    <w:rsid w:val="004F2859"/>
    <w:rsid w:val="004F2C49"/>
    <w:rsid w:val="004F2CB8"/>
    <w:rsid w:val="004F2FCB"/>
    <w:rsid w:val="004F3168"/>
    <w:rsid w:val="004F3506"/>
    <w:rsid w:val="004F3C76"/>
    <w:rsid w:val="004F460F"/>
    <w:rsid w:val="004F47DD"/>
    <w:rsid w:val="004F4CB1"/>
    <w:rsid w:val="004F4CE7"/>
    <w:rsid w:val="004F533E"/>
    <w:rsid w:val="004F6B06"/>
    <w:rsid w:val="004F6EFE"/>
    <w:rsid w:val="0050089D"/>
    <w:rsid w:val="005009D5"/>
    <w:rsid w:val="00500A6C"/>
    <w:rsid w:val="00501495"/>
    <w:rsid w:val="005014B4"/>
    <w:rsid w:val="005016C4"/>
    <w:rsid w:val="005017A2"/>
    <w:rsid w:val="00502924"/>
    <w:rsid w:val="00503896"/>
    <w:rsid w:val="00503C54"/>
    <w:rsid w:val="00503D9B"/>
    <w:rsid w:val="00503EDF"/>
    <w:rsid w:val="005051B6"/>
    <w:rsid w:val="005053EF"/>
    <w:rsid w:val="00505B53"/>
    <w:rsid w:val="00505E6C"/>
    <w:rsid w:val="005064E5"/>
    <w:rsid w:val="00506D85"/>
    <w:rsid w:val="00507693"/>
    <w:rsid w:val="00507D6E"/>
    <w:rsid w:val="00507DA8"/>
    <w:rsid w:val="005101B1"/>
    <w:rsid w:val="00510304"/>
    <w:rsid w:val="005106F9"/>
    <w:rsid w:val="005108FD"/>
    <w:rsid w:val="005110E9"/>
    <w:rsid w:val="00511605"/>
    <w:rsid w:val="0051181F"/>
    <w:rsid w:val="005118F2"/>
    <w:rsid w:val="0051207A"/>
    <w:rsid w:val="005127BD"/>
    <w:rsid w:val="00513152"/>
    <w:rsid w:val="0051357E"/>
    <w:rsid w:val="00513894"/>
    <w:rsid w:val="005140A2"/>
    <w:rsid w:val="00514553"/>
    <w:rsid w:val="005145D3"/>
    <w:rsid w:val="00514898"/>
    <w:rsid w:val="00514B83"/>
    <w:rsid w:val="00515116"/>
    <w:rsid w:val="00515211"/>
    <w:rsid w:val="005159A5"/>
    <w:rsid w:val="00515A42"/>
    <w:rsid w:val="00516283"/>
    <w:rsid w:val="00516A3F"/>
    <w:rsid w:val="00516EC3"/>
    <w:rsid w:val="005170D0"/>
    <w:rsid w:val="005171AE"/>
    <w:rsid w:val="005171B7"/>
    <w:rsid w:val="00517721"/>
    <w:rsid w:val="00517BF2"/>
    <w:rsid w:val="00517D74"/>
    <w:rsid w:val="00517F27"/>
    <w:rsid w:val="00520083"/>
    <w:rsid w:val="005206D5"/>
    <w:rsid w:val="00520CC8"/>
    <w:rsid w:val="00520DD7"/>
    <w:rsid w:val="00521716"/>
    <w:rsid w:val="00521A41"/>
    <w:rsid w:val="005221B4"/>
    <w:rsid w:val="00522E32"/>
    <w:rsid w:val="00522E92"/>
    <w:rsid w:val="00522EC8"/>
    <w:rsid w:val="00523B1F"/>
    <w:rsid w:val="00523C23"/>
    <w:rsid w:val="0052430B"/>
    <w:rsid w:val="00524462"/>
    <w:rsid w:val="00524D65"/>
    <w:rsid w:val="0052519E"/>
    <w:rsid w:val="00525462"/>
    <w:rsid w:val="0052576B"/>
    <w:rsid w:val="00530312"/>
    <w:rsid w:val="0053041D"/>
    <w:rsid w:val="0053063C"/>
    <w:rsid w:val="00531114"/>
    <w:rsid w:val="005321E2"/>
    <w:rsid w:val="00532439"/>
    <w:rsid w:val="005328E9"/>
    <w:rsid w:val="005328FD"/>
    <w:rsid w:val="00533D9B"/>
    <w:rsid w:val="005345DC"/>
    <w:rsid w:val="005345F0"/>
    <w:rsid w:val="005347CF"/>
    <w:rsid w:val="00534B61"/>
    <w:rsid w:val="00534D01"/>
    <w:rsid w:val="00535035"/>
    <w:rsid w:val="00535112"/>
    <w:rsid w:val="00535308"/>
    <w:rsid w:val="00535395"/>
    <w:rsid w:val="00535401"/>
    <w:rsid w:val="00535757"/>
    <w:rsid w:val="00535C46"/>
    <w:rsid w:val="005360A9"/>
    <w:rsid w:val="005366DD"/>
    <w:rsid w:val="0053730A"/>
    <w:rsid w:val="005376E3"/>
    <w:rsid w:val="005413EC"/>
    <w:rsid w:val="00541C47"/>
    <w:rsid w:val="00541FC2"/>
    <w:rsid w:val="00542238"/>
    <w:rsid w:val="0054242E"/>
    <w:rsid w:val="0054261E"/>
    <w:rsid w:val="00542AFA"/>
    <w:rsid w:val="00542B9B"/>
    <w:rsid w:val="00542FDD"/>
    <w:rsid w:val="005430F1"/>
    <w:rsid w:val="00543ED7"/>
    <w:rsid w:val="00544177"/>
    <w:rsid w:val="005447FF"/>
    <w:rsid w:val="005448E6"/>
    <w:rsid w:val="00544A41"/>
    <w:rsid w:val="00544A46"/>
    <w:rsid w:val="00544A68"/>
    <w:rsid w:val="00544E47"/>
    <w:rsid w:val="00544EA8"/>
    <w:rsid w:val="0054556D"/>
    <w:rsid w:val="0054587C"/>
    <w:rsid w:val="00545A77"/>
    <w:rsid w:val="005465F5"/>
    <w:rsid w:val="0054663F"/>
    <w:rsid w:val="005469EE"/>
    <w:rsid w:val="00547076"/>
    <w:rsid w:val="0054733C"/>
    <w:rsid w:val="00547751"/>
    <w:rsid w:val="00550588"/>
    <w:rsid w:val="00550727"/>
    <w:rsid w:val="00550D5C"/>
    <w:rsid w:val="00550FF7"/>
    <w:rsid w:val="005512E2"/>
    <w:rsid w:val="00551A64"/>
    <w:rsid w:val="00551C1D"/>
    <w:rsid w:val="005520E1"/>
    <w:rsid w:val="0055246F"/>
    <w:rsid w:val="00552568"/>
    <w:rsid w:val="00552622"/>
    <w:rsid w:val="0055280E"/>
    <w:rsid w:val="005529F3"/>
    <w:rsid w:val="00552A59"/>
    <w:rsid w:val="00552B22"/>
    <w:rsid w:val="00552C81"/>
    <w:rsid w:val="00552D94"/>
    <w:rsid w:val="0055306B"/>
    <w:rsid w:val="005532D0"/>
    <w:rsid w:val="005538C6"/>
    <w:rsid w:val="00553B25"/>
    <w:rsid w:val="00553C0B"/>
    <w:rsid w:val="00553CC9"/>
    <w:rsid w:val="005543CF"/>
    <w:rsid w:val="00554AC4"/>
    <w:rsid w:val="00554B3E"/>
    <w:rsid w:val="00554C73"/>
    <w:rsid w:val="00554D96"/>
    <w:rsid w:val="0055561B"/>
    <w:rsid w:val="00555DDF"/>
    <w:rsid w:val="00555E92"/>
    <w:rsid w:val="00556266"/>
    <w:rsid w:val="005562F9"/>
    <w:rsid w:val="005567C1"/>
    <w:rsid w:val="0055691F"/>
    <w:rsid w:val="00556A0F"/>
    <w:rsid w:val="00556C6F"/>
    <w:rsid w:val="005572BB"/>
    <w:rsid w:val="00560042"/>
    <w:rsid w:val="005600AE"/>
    <w:rsid w:val="005604B1"/>
    <w:rsid w:val="00560BCB"/>
    <w:rsid w:val="00560D80"/>
    <w:rsid w:val="005611FE"/>
    <w:rsid w:val="0056139A"/>
    <w:rsid w:val="005613F6"/>
    <w:rsid w:val="005615A9"/>
    <w:rsid w:val="005617A9"/>
    <w:rsid w:val="00561941"/>
    <w:rsid w:val="00561CA1"/>
    <w:rsid w:val="00561CFB"/>
    <w:rsid w:val="00562512"/>
    <w:rsid w:val="00562FDA"/>
    <w:rsid w:val="00562FF2"/>
    <w:rsid w:val="005630BA"/>
    <w:rsid w:val="005633F9"/>
    <w:rsid w:val="0056363D"/>
    <w:rsid w:val="00563B2F"/>
    <w:rsid w:val="00563C1A"/>
    <w:rsid w:val="00564520"/>
    <w:rsid w:val="00565152"/>
    <w:rsid w:val="0056577C"/>
    <w:rsid w:val="0056606D"/>
    <w:rsid w:val="00566543"/>
    <w:rsid w:val="005667D5"/>
    <w:rsid w:val="00566C91"/>
    <w:rsid w:val="00567CAD"/>
    <w:rsid w:val="0057023E"/>
    <w:rsid w:val="00570E53"/>
    <w:rsid w:val="00570F96"/>
    <w:rsid w:val="00571A31"/>
    <w:rsid w:val="00571CA4"/>
    <w:rsid w:val="005722D2"/>
    <w:rsid w:val="0057253D"/>
    <w:rsid w:val="005727EA"/>
    <w:rsid w:val="0057291A"/>
    <w:rsid w:val="00572C9F"/>
    <w:rsid w:val="00572E39"/>
    <w:rsid w:val="00573D53"/>
    <w:rsid w:val="00575064"/>
    <w:rsid w:val="00575289"/>
    <w:rsid w:val="00575E45"/>
    <w:rsid w:val="00576B72"/>
    <w:rsid w:val="00576C0A"/>
    <w:rsid w:val="00576C76"/>
    <w:rsid w:val="00576DA6"/>
    <w:rsid w:val="00576F61"/>
    <w:rsid w:val="005771D4"/>
    <w:rsid w:val="005775E7"/>
    <w:rsid w:val="0057781E"/>
    <w:rsid w:val="00577C36"/>
    <w:rsid w:val="00577F4F"/>
    <w:rsid w:val="00580083"/>
    <w:rsid w:val="0058069A"/>
    <w:rsid w:val="005809DF"/>
    <w:rsid w:val="005809E5"/>
    <w:rsid w:val="0058131F"/>
    <w:rsid w:val="00581F69"/>
    <w:rsid w:val="0058235E"/>
    <w:rsid w:val="0058254C"/>
    <w:rsid w:val="00582947"/>
    <w:rsid w:val="00582AF1"/>
    <w:rsid w:val="00583949"/>
    <w:rsid w:val="00583DE8"/>
    <w:rsid w:val="00584519"/>
    <w:rsid w:val="00584556"/>
    <w:rsid w:val="00587522"/>
    <w:rsid w:val="00590209"/>
    <w:rsid w:val="00590638"/>
    <w:rsid w:val="00591027"/>
    <w:rsid w:val="005912AF"/>
    <w:rsid w:val="0059157A"/>
    <w:rsid w:val="00591602"/>
    <w:rsid w:val="005916EB"/>
    <w:rsid w:val="005919AB"/>
    <w:rsid w:val="00591DC4"/>
    <w:rsid w:val="00592AA7"/>
    <w:rsid w:val="00593539"/>
    <w:rsid w:val="00594380"/>
    <w:rsid w:val="0059475C"/>
    <w:rsid w:val="00595243"/>
    <w:rsid w:val="00595568"/>
    <w:rsid w:val="00595578"/>
    <w:rsid w:val="00595A5B"/>
    <w:rsid w:val="00595CA2"/>
    <w:rsid w:val="00595D5A"/>
    <w:rsid w:val="00596042"/>
    <w:rsid w:val="0059626C"/>
    <w:rsid w:val="0059718A"/>
    <w:rsid w:val="00597CEC"/>
    <w:rsid w:val="005A0651"/>
    <w:rsid w:val="005A0F40"/>
    <w:rsid w:val="005A1B1C"/>
    <w:rsid w:val="005A2FEB"/>
    <w:rsid w:val="005A3874"/>
    <w:rsid w:val="005A4753"/>
    <w:rsid w:val="005A4BBB"/>
    <w:rsid w:val="005A58EF"/>
    <w:rsid w:val="005A5A19"/>
    <w:rsid w:val="005A5BDF"/>
    <w:rsid w:val="005A5CD7"/>
    <w:rsid w:val="005A6499"/>
    <w:rsid w:val="005A656B"/>
    <w:rsid w:val="005A6AE8"/>
    <w:rsid w:val="005A7A57"/>
    <w:rsid w:val="005A7E0E"/>
    <w:rsid w:val="005B01D9"/>
    <w:rsid w:val="005B05B6"/>
    <w:rsid w:val="005B0E26"/>
    <w:rsid w:val="005B0E5E"/>
    <w:rsid w:val="005B0F63"/>
    <w:rsid w:val="005B139C"/>
    <w:rsid w:val="005B14E3"/>
    <w:rsid w:val="005B17F8"/>
    <w:rsid w:val="005B192E"/>
    <w:rsid w:val="005B38C9"/>
    <w:rsid w:val="005B39CC"/>
    <w:rsid w:val="005B3A47"/>
    <w:rsid w:val="005B404C"/>
    <w:rsid w:val="005B41B3"/>
    <w:rsid w:val="005B424E"/>
    <w:rsid w:val="005B4C28"/>
    <w:rsid w:val="005B4D81"/>
    <w:rsid w:val="005B5B09"/>
    <w:rsid w:val="005B5DC5"/>
    <w:rsid w:val="005B5F15"/>
    <w:rsid w:val="005B64C9"/>
    <w:rsid w:val="005B6BB6"/>
    <w:rsid w:val="005B711B"/>
    <w:rsid w:val="005B7407"/>
    <w:rsid w:val="005B757F"/>
    <w:rsid w:val="005B7BFB"/>
    <w:rsid w:val="005B7C0E"/>
    <w:rsid w:val="005B7E50"/>
    <w:rsid w:val="005C01E7"/>
    <w:rsid w:val="005C0DAB"/>
    <w:rsid w:val="005C1111"/>
    <w:rsid w:val="005C1255"/>
    <w:rsid w:val="005C1333"/>
    <w:rsid w:val="005C175C"/>
    <w:rsid w:val="005C17E9"/>
    <w:rsid w:val="005C21AF"/>
    <w:rsid w:val="005C252D"/>
    <w:rsid w:val="005C2C30"/>
    <w:rsid w:val="005C2D57"/>
    <w:rsid w:val="005C344B"/>
    <w:rsid w:val="005C359C"/>
    <w:rsid w:val="005C3FB8"/>
    <w:rsid w:val="005C4272"/>
    <w:rsid w:val="005C4319"/>
    <w:rsid w:val="005C46AE"/>
    <w:rsid w:val="005C4B4D"/>
    <w:rsid w:val="005C5120"/>
    <w:rsid w:val="005C562B"/>
    <w:rsid w:val="005C57E8"/>
    <w:rsid w:val="005C5AB9"/>
    <w:rsid w:val="005C60D4"/>
    <w:rsid w:val="005C61D4"/>
    <w:rsid w:val="005C6661"/>
    <w:rsid w:val="005C6ABF"/>
    <w:rsid w:val="005C6B9B"/>
    <w:rsid w:val="005C6BEB"/>
    <w:rsid w:val="005C6C27"/>
    <w:rsid w:val="005C716B"/>
    <w:rsid w:val="005C745D"/>
    <w:rsid w:val="005C7B37"/>
    <w:rsid w:val="005D009B"/>
    <w:rsid w:val="005D0F58"/>
    <w:rsid w:val="005D15B5"/>
    <w:rsid w:val="005D1616"/>
    <w:rsid w:val="005D16EE"/>
    <w:rsid w:val="005D20D9"/>
    <w:rsid w:val="005D2799"/>
    <w:rsid w:val="005D2923"/>
    <w:rsid w:val="005D2C04"/>
    <w:rsid w:val="005D3AD7"/>
    <w:rsid w:val="005D3DCC"/>
    <w:rsid w:val="005D40BA"/>
    <w:rsid w:val="005D41FE"/>
    <w:rsid w:val="005D4259"/>
    <w:rsid w:val="005D4355"/>
    <w:rsid w:val="005D43AA"/>
    <w:rsid w:val="005D45FF"/>
    <w:rsid w:val="005D48D6"/>
    <w:rsid w:val="005D4D72"/>
    <w:rsid w:val="005D4EBB"/>
    <w:rsid w:val="005D5222"/>
    <w:rsid w:val="005D5498"/>
    <w:rsid w:val="005D5763"/>
    <w:rsid w:val="005D598C"/>
    <w:rsid w:val="005D5A16"/>
    <w:rsid w:val="005D5EF6"/>
    <w:rsid w:val="005D6BE5"/>
    <w:rsid w:val="005D6C0A"/>
    <w:rsid w:val="005D6C13"/>
    <w:rsid w:val="005D7020"/>
    <w:rsid w:val="005D72F6"/>
    <w:rsid w:val="005D7339"/>
    <w:rsid w:val="005E0285"/>
    <w:rsid w:val="005E0556"/>
    <w:rsid w:val="005E0FB4"/>
    <w:rsid w:val="005E2283"/>
    <w:rsid w:val="005E2CDA"/>
    <w:rsid w:val="005E2D71"/>
    <w:rsid w:val="005E3096"/>
    <w:rsid w:val="005E418A"/>
    <w:rsid w:val="005E420E"/>
    <w:rsid w:val="005E452A"/>
    <w:rsid w:val="005E49F6"/>
    <w:rsid w:val="005E4A07"/>
    <w:rsid w:val="005E4AFE"/>
    <w:rsid w:val="005E5159"/>
    <w:rsid w:val="005E5714"/>
    <w:rsid w:val="005E5B23"/>
    <w:rsid w:val="005E5BC8"/>
    <w:rsid w:val="005E5D15"/>
    <w:rsid w:val="005E66EB"/>
    <w:rsid w:val="005E6794"/>
    <w:rsid w:val="005E6946"/>
    <w:rsid w:val="005E69B9"/>
    <w:rsid w:val="005E716E"/>
    <w:rsid w:val="005E7AE2"/>
    <w:rsid w:val="005F08ED"/>
    <w:rsid w:val="005F0EE3"/>
    <w:rsid w:val="005F0F47"/>
    <w:rsid w:val="005F1A7B"/>
    <w:rsid w:val="005F1EAE"/>
    <w:rsid w:val="005F22F0"/>
    <w:rsid w:val="005F24D2"/>
    <w:rsid w:val="005F28AE"/>
    <w:rsid w:val="005F333C"/>
    <w:rsid w:val="005F3758"/>
    <w:rsid w:val="005F3AE8"/>
    <w:rsid w:val="005F40C8"/>
    <w:rsid w:val="005F44C1"/>
    <w:rsid w:val="005F4547"/>
    <w:rsid w:val="005F48A4"/>
    <w:rsid w:val="005F4A6C"/>
    <w:rsid w:val="005F4ECE"/>
    <w:rsid w:val="005F5242"/>
    <w:rsid w:val="005F5741"/>
    <w:rsid w:val="005F59E1"/>
    <w:rsid w:val="005F5DFA"/>
    <w:rsid w:val="005F6838"/>
    <w:rsid w:val="005F689F"/>
    <w:rsid w:val="005F6DB3"/>
    <w:rsid w:val="005F6DC7"/>
    <w:rsid w:val="005F797F"/>
    <w:rsid w:val="005F7CC2"/>
    <w:rsid w:val="005F7F6C"/>
    <w:rsid w:val="00600073"/>
    <w:rsid w:val="00600280"/>
    <w:rsid w:val="00600C12"/>
    <w:rsid w:val="00600F97"/>
    <w:rsid w:val="00601031"/>
    <w:rsid w:val="00601101"/>
    <w:rsid w:val="0060121E"/>
    <w:rsid w:val="0060123C"/>
    <w:rsid w:val="006013FB"/>
    <w:rsid w:val="00601518"/>
    <w:rsid w:val="0060186F"/>
    <w:rsid w:val="00601A20"/>
    <w:rsid w:val="00601AFD"/>
    <w:rsid w:val="00602134"/>
    <w:rsid w:val="00602144"/>
    <w:rsid w:val="0060242E"/>
    <w:rsid w:val="00602FC1"/>
    <w:rsid w:val="00603353"/>
    <w:rsid w:val="006033D7"/>
    <w:rsid w:val="00603738"/>
    <w:rsid w:val="00603DEB"/>
    <w:rsid w:val="0060446F"/>
    <w:rsid w:val="006048BA"/>
    <w:rsid w:val="00604B80"/>
    <w:rsid w:val="00604F45"/>
    <w:rsid w:val="00605373"/>
    <w:rsid w:val="00605793"/>
    <w:rsid w:val="006057DF"/>
    <w:rsid w:val="0060632C"/>
    <w:rsid w:val="0060774A"/>
    <w:rsid w:val="006108B0"/>
    <w:rsid w:val="00610ED8"/>
    <w:rsid w:val="00610F74"/>
    <w:rsid w:val="0061106F"/>
    <w:rsid w:val="006114E1"/>
    <w:rsid w:val="00612B6A"/>
    <w:rsid w:val="00612BFF"/>
    <w:rsid w:val="00612CD4"/>
    <w:rsid w:val="00613146"/>
    <w:rsid w:val="006135B2"/>
    <w:rsid w:val="00613885"/>
    <w:rsid w:val="00614083"/>
    <w:rsid w:val="006143BA"/>
    <w:rsid w:val="006148C8"/>
    <w:rsid w:val="006149F4"/>
    <w:rsid w:val="00614F67"/>
    <w:rsid w:val="00615239"/>
    <w:rsid w:val="00615554"/>
    <w:rsid w:val="0061562B"/>
    <w:rsid w:val="006157D4"/>
    <w:rsid w:val="0061584E"/>
    <w:rsid w:val="00615B9C"/>
    <w:rsid w:val="00615C41"/>
    <w:rsid w:val="0061646A"/>
    <w:rsid w:val="006165E2"/>
    <w:rsid w:val="00616B1D"/>
    <w:rsid w:val="00616DAA"/>
    <w:rsid w:val="00616F83"/>
    <w:rsid w:val="0061769F"/>
    <w:rsid w:val="0061773A"/>
    <w:rsid w:val="006179C6"/>
    <w:rsid w:val="00617E4F"/>
    <w:rsid w:val="00620EC4"/>
    <w:rsid w:val="006212AB"/>
    <w:rsid w:val="00621522"/>
    <w:rsid w:val="00621BC1"/>
    <w:rsid w:val="00622167"/>
    <w:rsid w:val="00622185"/>
    <w:rsid w:val="006224B6"/>
    <w:rsid w:val="0062251D"/>
    <w:rsid w:val="00622766"/>
    <w:rsid w:val="00622B81"/>
    <w:rsid w:val="00622C3C"/>
    <w:rsid w:val="00622D1F"/>
    <w:rsid w:val="00622D99"/>
    <w:rsid w:val="00623413"/>
    <w:rsid w:val="00623819"/>
    <w:rsid w:val="00623BC1"/>
    <w:rsid w:val="006247AF"/>
    <w:rsid w:val="0062484A"/>
    <w:rsid w:val="006248C3"/>
    <w:rsid w:val="0062493D"/>
    <w:rsid w:val="00624AB4"/>
    <w:rsid w:val="00624DC2"/>
    <w:rsid w:val="00625521"/>
    <w:rsid w:val="006256F1"/>
    <w:rsid w:val="00625D99"/>
    <w:rsid w:val="0062643C"/>
    <w:rsid w:val="006268EA"/>
    <w:rsid w:val="00626FAC"/>
    <w:rsid w:val="00627290"/>
    <w:rsid w:val="00627334"/>
    <w:rsid w:val="00627569"/>
    <w:rsid w:val="0063033D"/>
    <w:rsid w:val="006306B2"/>
    <w:rsid w:val="00630AED"/>
    <w:rsid w:val="00631213"/>
    <w:rsid w:val="006318B1"/>
    <w:rsid w:val="006319D2"/>
    <w:rsid w:val="00631F83"/>
    <w:rsid w:val="00632791"/>
    <w:rsid w:val="006328D9"/>
    <w:rsid w:val="00632B4C"/>
    <w:rsid w:val="00632BBD"/>
    <w:rsid w:val="00632C1F"/>
    <w:rsid w:val="00633544"/>
    <w:rsid w:val="006335BE"/>
    <w:rsid w:val="00634279"/>
    <w:rsid w:val="006344E6"/>
    <w:rsid w:val="0063455D"/>
    <w:rsid w:val="0063473C"/>
    <w:rsid w:val="00634988"/>
    <w:rsid w:val="00634EC3"/>
    <w:rsid w:val="00635D6D"/>
    <w:rsid w:val="00635F3F"/>
    <w:rsid w:val="006361FC"/>
    <w:rsid w:val="006362BC"/>
    <w:rsid w:val="006371EC"/>
    <w:rsid w:val="0063730E"/>
    <w:rsid w:val="006401D8"/>
    <w:rsid w:val="00640B78"/>
    <w:rsid w:val="00640C1D"/>
    <w:rsid w:val="00640CFF"/>
    <w:rsid w:val="00641030"/>
    <w:rsid w:val="006417DB"/>
    <w:rsid w:val="006421EC"/>
    <w:rsid w:val="00642CE2"/>
    <w:rsid w:val="00643193"/>
    <w:rsid w:val="00643B38"/>
    <w:rsid w:val="00643B98"/>
    <w:rsid w:val="00643D7C"/>
    <w:rsid w:val="00644781"/>
    <w:rsid w:val="006449B9"/>
    <w:rsid w:val="00644CB4"/>
    <w:rsid w:val="00644E93"/>
    <w:rsid w:val="006453F7"/>
    <w:rsid w:val="00645E2D"/>
    <w:rsid w:val="00645E58"/>
    <w:rsid w:val="0064647D"/>
    <w:rsid w:val="006466AD"/>
    <w:rsid w:val="00646716"/>
    <w:rsid w:val="00646B23"/>
    <w:rsid w:val="00646CEE"/>
    <w:rsid w:val="00646EA7"/>
    <w:rsid w:val="0064771F"/>
    <w:rsid w:val="0064797A"/>
    <w:rsid w:val="00647AA3"/>
    <w:rsid w:val="006503DB"/>
    <w:rsid w:val="00650418"/>
    <w:rsid w:val="00650C80"/>
    <w:rsid w:val="00651877"/>
    <w:rsid w:val="00651AC0"/>
    <w:rsid w:val="00651B90"/>
    <w:rsid w:val="00651CC6"/>
    <w:rsid w:val="00651F38"/>
    <w:rsid w:val="00652E29"/>
    <w:rsid w:val="0065345F"/>
    <w:rsid w:val="006535A4"/>
    <w:rsid w:val="00653AB1"/>
    <w:rsid w:val="00653C17"/>
    <w:rsid w:val="00653E21"/>
    <w:rsid w:val="00653F72"/>
    <w:rsid w:val="00653F88"/>
    <w:rsid w:val="0065401B"/>
    <w:rsid w:val="0065481D"/>
    <w:rsid w:val="00654A5A"/>
    <w:rsid w:val="00655037"/>
    <w:rsid w:val="006558FF"/>
    <w:rsid w:val="00655BB5"/>
    <w:rsid w:val="00655D3E"/>
    <w:rsid w:val="0065691B"/>
    <w:rsid w:val="00657011"/>
    <w:rsid w:val="00657346"/>
    <w:rsid w:val="00657369"/>
    <w:rsid w:val="006578A8"/>
    <w:rsid w:val="00657DF3"/>
    <w:rsid w:val="00660663"/>
    <w:rsid w:val="00660988"/>
    <w:rsid w:val="00660BF3"/>
    <w:rsid w:val="00661948"/>
    <w:rsid w:val="0066235D"/>
    <w:rsid w:val="00662C48"/>
    <w:rsid w:val="00663299"/>
    <w:rsid w:val="00663946"/>
    <w:rsid w:val="00663B07"/>
    <w:rsid w:val="006648B6"/>
    <w:rsid w:val="00664A94"/>
    <w:rsid w:val="0066510C"/>
    <w:rsid w:val="006652D7"/>
    <w:rsid w:val="006652E9"/>
    <w:rsid w:val="0066653D"/>
    <w:rsid w:val="00666ACE"/>
    <w:rsid w:val="00667BA0"/>
    <w:rsid w:val="00670311"/>
    <w:rsid w:val="00670358"/>
    <w:rsid w:val="006704C3"/>
    <w:rsid w:val="0067080F"/>
    <w:rsid w:val="00670A0B"/>
    <w:rsid w:val="00670EA5"/>
    <w:rsid w:val="00670F04"/>
    <w:rsid w:val="0067136F"/>
    <w:rsid w:val="00671F55"/>
    <w:rsid w:val="00672183"/>
    <w:rsid w:val="00672276"/>
    <w:rsid w:val="0067239E"/>
    <w:rsid w:val="00673057"/>
    <w:rsid w:val="006738FD"/>
    <w:rsid w:val="00673AAF"/>
    <w:rsid w:val="00673F85"/>
    <w:rsid w:val="00673FFC"/>
    <w:rsid w:val="006740FF"/>
    <w:rsid w:val="006746F4"/>
    <w:rsid w:val="00674B94"/>
    <w:rsid w:val="006752CD"/>
    <w:rsid w:val="00675DC6"/>
    <w:rsid w:val="00676272"/>
    <w:rsid w:val="00676470"/>
    <w:rsid w:val="006769BF"/>
    <w:rsid w:val="006778F6"/>
    <w:rsid w:val="00677C01"/>
    <w:rsid w:val="00677DB3"/>
    <w:rsid w:val="0068061F"/>
    <w:rsid w:val="006806EE"/>
    <w:rsid w:val="00680B07"/>
    <w:rsid w:val="006818AA"/>
    <w:rsid w:val="0068249E"/>
    <w:rsid w:val="00682582"/>
    <w:rsid w:val="006827EB"/>
    <w:rsid w:val="00682C47"/>
    <w:rsid w:val="00683898"/>
    <w:rsid w:val="00683B2F"/>
    <w:rsid w:val="00684B3C"/>
    <w:rsid w:val="006854E5"/>
    <w:rsid w:val="00685A76"/>
    <w:rsid w:val="00685C5A"/>
    <w:rsid w:val="006866F9"/>
    <w:rsid w:val="006867A9"/>
    <w:rsid w:val="0068687C"/>
    <w:rsid w:val="00686A58"/>
    <w:rsid w:val="00686F2C"/>
    <w:rsid w:val="006870B3"/>
    <w:rsid w:val="00687448"/>
    <w:rsid w:val="0069039F"/>
    <w:rsid w:val="006905CC"/>
    <w:rsid w:val="00691916"/>
    <w:rsid w:val="00691B34"/>
    <w:rsid w:val="00691B73"/>
    <w:rsid w:val="00691C82"/>
    <w:rsid w:val="0069239B"/>
    <w:rsid w:val="006923F4"/>
    <w:rsid w:val="00692750"/>
    <w:rsid w:val="00692D78"/>
    <w:rsid w:val="00692DB8"/>
    <w:rsid w:val="0069315D"/>
    <w:rsid w:val="006931A6"/>
    <w:rsid w:val="006933DA"/>
    <w:rsid w:val="00693491"/>
    <w:rsid w:val="0069393E"/>
    <w:rsid w:val="00694221"/>
    <w:rsid w:val="0069476E"/>
    <w:rsid w:val="00694C2B"/>
    <w:rsid w:val="00695015"/>
    <w:rsid w:val="00695260"/>
    <w:rsid w:val="00695278"/>
    <w:rsid w:val="00695558"/>
    <w:rsid w:val="006955DC"/>
    <w:rsid w:val="00695630"/>
    <w:rsid w:val="0069595B"/>
    <w:rsid w:val="00695B09"/>
    <w:rsid w:val="00696C28"/>
    <w:rsid w:val="00696DF2"/>
    <w:rsid w:val="00696F70"/>
    <w:rsid w:val="006A0B98"/>
    <w:rsid w:val="006A0E26"/>
    <w:rsid w:val="006A0EF7"/>
    <w:rsid w:val="006A19F4"/>
    <w:rsid w:val="006A24D1"/>
    <w:rsid w:val="006A3238"/>
    <w:rsid w:val="006A32A4"/>
    <w:rsid w:val="006A344B"/>
    <w:rsid w:val="006A39A0"/>
    <w:rsid w:val="006A3CBE"/>
    <w:rsid w:val="006A407F"/>
    <w:rsid w:val="006A436A"/>
    <w:rsid w:val="006A44C4"/>
    <w:rsid w:val="006A4541"/>
    <w:rsid w:val="006A4735"/>
    <w:rsid w:val="006A4AE7"/>
    <w:rsid w:val="006A4AFA"/>
    <w:rsid w:val="006A4B0C"/>
    <w:rsid w:val="006A4C67"/>
    <w:rsid w:val="006A5509"/>
    <w:rsid w:val="006A56A6"/>
    <w:rsid w:val="006A578B"/>
    <w:rsid w:val="006A5BC1"/>
    <w:rsid w:val="006A5C71"/>
    <w:rsid w:val="006A6368"/>
    <w:rsid w:val="006A64A2"/>
    <w:rsid w:val="006A65FD"/>
    <w:rsid w:val="006A66DA"/>
    <w:rsid w:val="006A6A3A"/>
    <w:rsid w:val="006A6C99"/>
    <w:rsid w:val="006A7186"/>
    <w:rsid w:val="006A7541"/>
    <w:rsid w:val="006A7B3A"/>
    <w:rsid w:val="006B0ABA"/>
    <w:rsid w:val="006B0E7E"/>
    <w:rsid w:val="006B1042"/>
    <w:rsid w:val="006B138F"/>
    <w:rsid w:val="006B142E"/>
    <w:rsid w:val="006B1E9C"/>
    <w:rsid w:val="006B2309"/>
    <w:rsid w:val="006B2990"/>
    <w:rsid w:val="006B2BD5"/>
    <w:rsid w:val="006B2E5A"/>
    <w:rsid w:val="006B35C4"/>
    <w:rsid w:val="006B3E68"/>
    <w:rsid w:val="006B4245"/>
    <w:rsid w:val="006B4C10"/>
    <w:rsid w:val="006B5163"/>
    <w:rsid w:val="006B55CE"/>
    <w:rsid w:val="006B587A"/>
    <w:rsid w:val="006B5912"/>
    <w:rsid w:val="006B5B6D"/>
    <w:rsid w:val="006B6367"/>
    <w:rsid w:val="006B6797"/>
    <w:rsid w:val="006B696A"/>
    <w:rsid w:val="006B6E1B"/>
    <w:rsid w:val="006B7650"/>
    <w:rsid w:val="006B79D4"/>
    <w:rsid w:val="006B7C31"/>
    <w:rsid w:val="006C043A"/>
    <w:rsid w:val="006C08AF"/>
    <w:rsid w:val="006C09EA"/>
    <w:rsid w:val="006C0D11"/>
    <w:rsid w:val="006C183A"/>
    <w:rsid w:val="006C1900"/>
    <w:rsid w:val="006C1F87"/>
    <w:rsid w:val="006C2075"/>
    <w:rsid w:val="006C2788"/>
    <w:rsid w:val="006C2A2A"/>
    <w:rsid w:val="006C2B45"/>
    <w:rsid w:val="006C3524"/>
    <w:rsid w:val="006C45E7"/>
    <w:rsid w:val="006C494A"/>
    <w:rsid w:val="006C49AB"/>
    <w:rsid w:val="006C4C6B"/>
    <w:rsid w:val="006C5BBE"/>
    <w:rsid w:val="006C5F80"/>
    <w:rsid w:val="006C6475"/>
    <w:rsid w:val="006C673A"/>
    <w:rsid w:val="006C6ECB"/>
    <w:rsid w:val="006C70CA"/>
    <w:rsid w:val="006C74D4"/>
    <w:rsid w:val="006C7AA7"/>
    <w:rsid w:val="006D006F"/>
    <w:rsid w:val="006D02B2"/>
    <w:rsid w:val="006D0562"/>
    <w:rsid w:val="006D059B"/>
    <w:rsid w:val="006D0706"/>
    <w:rsid w:val="006D08ED"/>
    <w:rsid w:val="006D0CD6"/>
    <w:rsid w:val="006D0EAB"/>
    <w:rsid w:val="006D11A2"/>
    <w:rsid w:val="006D1468"/>
    <w:rsid w:val="006D190E"/>
    <w:rsid w:val="006D19F9"/>
    <w:rsid w:val="006D1E13"/>
    <w:rsid w:val="006D1FC3"/>
    <w:rsid w:val="006D2153"/>
    <w:rsid w:val="006D26EB"/>
    <w:rsid w:val="006D30FA"/>
    <w:rsid w:val="006D38E0"/>
    <w:rsid w:val="006D3B99"/>
    <w:rsid w:val="006D3C7D"/>
    <w:rsid w:val="006D3ED7"/>
    <w:rsid w:val="006D4035"/>
    <w:rsid w:val="006D43F1"/>
    <w:rsid w:val="006D5023"/>
    <w:rsid w:val="006D505C"/>
    <w:rsid w:val="006D531C"/>
    <w:rsid w:val="006D535E"/>
    <w:rsid w:val="006D5864"/>
    <w:rsid w:val="006D5DA1"/>
    <w:rsid w:val="006D648A"/>
    <w:rsid w:val="006D656C"/>
    <w:rsid w:val="006D67C5"/>
    <w:rsid w:val="006D69E7"/>
    <w:rsid w:val="006D6A6F"/>
    <w:rsid w:val="006D6C30"/>
    <w:rsid w:val="006D6C7E"/>
    <w:rsid w:val="006D7023"/>
    <w:rsid w:val="006D7175"/>
    <w:rsid w:val="006D7201"/>
    <w:rsid w:val="006D7C7D"/>
    <w:rsid w:val="006D7CDF"/>
    <w:rsid w:val="006D7D66"/>
    <w:rsid w:val="006E03DF"/>
    <w:rsid w:val="006E0604"/>
    <w:rsid w:val="006E06D0"/>
    <w:rsid w:val="006E0A3C"/>
    <w:rsid w:val="006E11C9"/>
    <w:rsid w:val="006E17C1"/>
    <w:rsid w:val="006E17F6"/>
    <w:rsid w:val="006E1E48"/>
    <w:rsid w:val="006E1FA8"/>
    <w:rsid w:val="006E25A6"/>
    <w:rsid w:val="006E3156"/>
    <w:rsid w:val="006E33E1"/>
    <w:rsid w:val="006E3F5A"/>
    <w:rsid w:val="006E4286"/>
    <w:rsid w:val="006E4ACC"/>
    <w:rsid w:val="006E4B12"/>
    <w:rsid w:val="006E4C3A"/>
    <w:rsid w:val="006E4DB1"/>
    <w:rsid w:val="006E5660"/>
    <w:rsid w:val="006E56B3"/>
    <w:rsid w:val="006E6185"/>
    <w:rsid w:val="006E66DF"/>
    <w:rsid w:val="006E69F6"/>
    <w:rsid w:val="006E6E50"/>
    <w:rsid w:val="006E7ACA"/>
    <w:rsid w:val="006E7B56"/>
    <w:rsid w:val="006E7DA3"/>
    <w:rsid w:val="006F0376"/>
    <w:rsid w:val="006F0633"/>
    <w:rsid w:val="006F0979"/>
    <w:rsid w:val="006F0C98"/>
    <w:rsid w:val="006F1A6A"/>
    <w:rsid w:val="006F1BDB"/>
    <w:rsid w:val="006F1EFD"/>
    <w:rsid w:val="006F1F8D"/>
    <w:rsid w:val="006F2556"/>
    <w:rsid w:val="006F28B4"/>
    <w:rsid w:val="006F2D60"/>
    <w:rsid w:val="006F2F49"/>
    <w:rsid w:val="006F3CF8"/>
    <w:rsid w:val="006F3D6E"/>
    <w:rsid w:val="006F45F3"/>
    <w:rsid w:val="006F4673"/>
    <w:rsid w:val="006F4B24"/>
    <w:rsid w:val="006F52C5"/>
    <w:rsid w:val="006F530E"/>
    <w:rsid w:val="006F66DD"/>
    <w:rsid w:val="006F70B1"/>
    <w:rsid w:val="006F7560"/>
    <w:rsid w:val="006F7C67"/>
    <w:rsid w:val="0070025B"/>
    <w:rsid w:val="00700BB8"/>
    <w:rsid w:val="00700EA9"/>
    <w:rsid w:val="0070109B"/>
    <w:rsid w:val="007013E7"/>
    <w:rsid w:val="00701BE5"/>
    <w:rsid w:val="00702522"/>
    <w:rsid w:val="00702B52"/>
    <w:rsid w:val="00703685"/>
    <w:rsid w:val="00704181"/>
    <w:rsid w:val="007041D6"/>
    <w:rsid w:val="007050BE"/>
    <w:rsid w:val="00705360"/>
    <w:rsid w:val="00705989"/>
    <w:rsid w:val="0070614D"/>
    <w:rsid w:val="007061D4"/>
    <w:rsid w:val="00706412"/>
    <w:rsid w:val="00706637"/>
    <w:rsid w:val="007069A1"/>
    <w:rsid w:val="00706A05"/>
    <w:rsid w:val="00706C24"/>
    <w:rsid w:val="00706D56"/>
    <w:rsid w:val="007072C2"/>
    <w:rsid w:val="00710008"/>
    <w:rsid w:val="007100EE"/>
    <w:rsid w:val="0071089E"/>
    <w:rsid w:val="0071093E"/>
    <w:rsid w:val="00710D70"/>
    <w:rsid w:val="007113F9"/>
    <w:rsid w:val="00711D65"/>
    <w:rsid w:val="00712A13"/>
    <w:rsid w:val="00712AFB"/>
    <w:rsid w:val="00712E4B"/>
    <w:rsid w:val="007131E2"/>
    <w:rsid w:val="00713BBB"/>
    <w:rsid w:val="0071414B"/>
    <w:rsid w:val="0071440D"/>
    <w:rsid w:val="00714A62"/>
    <w:rsid w:val="00715132"/>
    <w:rsid w:val="007154D6"/>
    <w:rsid w:val="007157EE"/>
    <w:rsid w:val="00715C2C"/>
    <w:rsid w:val="00716444"/>
    <w:rsid w:val="007178FB"/>
    <w:rsid w:val="00720153"/>
    <w:rsid w:val="00720411"/>
    <w:rsid w:val="00720A76"/>
    <w:rsid w:val="00721056"/>
    <w:rsid w:val="007212CF"/>
    <w:rsid w:val="007216F5"/>
    <w:rsid w:val="007218E7"/>
    <w:rsid w:val="00721A36"/>
    <w:rsid w:val="00721B5C"/>
    <w:rsid w:val="00721C34"/>
    <w:rsid w:val="007225F3"/>
    <w:rsid w:val="00722985"/>
    <w:rsid w:val="007230D6"/>
    <w:rsid w:val="0072351E"/>
    <w:rsid w:val="007236C2"/>
    <w:rsid w:val="007239F6"/>
    <w:rsid w:val="00723C2F"/>
    <w:rsid w:val="00724E6B"/>
    <w:rsid w:val="00724FF6"/>
    <w:rsid w:val="0072560F"/>
    <w:rsid w:val="007256B4"/>
    <w:rsid w:val="00725FF6"/>
    <w:rsid w:val="00726692"/>
    <w:rsid w:val="0072679A"/>
    <w:rsid w:val="007267C3"/>
    <w:rsid w:val="00726C00"/>
    <w:rsid w:val="007276C7"/>
    <w:rsid w:val="007278EB"/>
    <w:rsid w:val="00727F04"/>
    <w:rsid w:val="00730224"/>
    <w:rsid w:val="00730A8E"/>
    <w:rsid w:val="00730D9C"/>
    <w:rsid w:val="00730EB2"/>
    <w:rsid w:val="007310EB"/>
    <w:rsid w:val="007313A0"/>
    <w:rsid w:val="007314F8"/>
    <w:rsid w:val="007316CC"/>
    <w:rsid w:val="00731FEF"/>
    <w:rsid w:val="007324E5"/>
    <w:rsid w:val="0073298A"/>
    <w:rsid w:val="00732A20"/>
    <w:rsid w:val="00732C7B"/>
    <w:rsid w:val="00732E7D"/>
    <w:rsid w:val="00732F21"/>
    <w:rsid w:val="00733082"/>
    <w:rsid w:val="0073313B"/>
    <w:rsid w:val="007332DA"/>
    <w:rsid w:val="00733395"/>
    <w:rsid w:val="0073365B"/>
    <w:rsid w:val="00733926"/>
    <w:rsid w:val="00733A3B"/>
    <w:rsid w:val="00733D36"/>
    <w:rsid w:val="007345BF"/>
    <w:rsid w:val="007351AD"/>
    <w:rsid w:val="00735BA1"/>
    <w:rsid w:val="00735EF5"/>
    <w:rsid w:val="00736088"/>
    <w:rsid w:val="007360C7"/>
    <w:rsid w:val="0073619D"/>
    <w:rsid w:val="00736B5A"/>
    <w:rsid w:val="00736B92"/>
    <w:rsid w:val="00737024"/>
    <w:rsid w:val="00737752"/>
    <w:rsid w:val="00737865"/>
    <w:rsid w:val="0073789D"/>
    <w:rsid w:val="00737BC5"/>
    <w:rsid w:val="0074037C"/>
    <w:rsid w:val="0074044C"/>
    <w:rsid w:val="0074071A"/>
    <w:rsid w:val="00740AA7"/>
    <w:rsid w:val="00740CAC"/>
    <w:rsid w:val="00740E44"/>
    <w:rsid w:val="007413A6"/>
    <w:rsid w:val="007413D4"/>
    <w:rsid w:val="00741EFB"/>
    <w:rsid w:val="007427DA"/>
    <w:rsid w:val="007430E3"/>
    <w:rsid w:val="007430F7"/>
    <w:rsid w:val="007431D5"/>
    <w:rsid w:val="007432B1"/>
    <w:rsid w:val="007434B0"/>
    <w:rsid w:val="0074389B"/>
    <w:rsid w:val="00743B43"/>
    <w:rsid w:val="00744317"/>
    <w:rsid w:val="00744357"/>
    <w:rsid w:val="007444DF"/>
    <w:rsid w:val="00744645"/>
    <w:rsid w:val="007447BA"/>
    <w:rsid w:val="007448DC"/>
    <w:rsid w:val="00745138"/>
    <w:rsid w:val="007455F9"/>
    <w:rsid w:val="007457A9"/>
    <w:rsid w:val="00745989"/>
    <w:rsid w:val="00745EE8"/>
    <w:rsid w:val="007462DE"/>
    <w:rsid w:val="0074693C"/>
    <w:rsid w:val="00746C2B"/>
    <w:rsid w:val="00746F2D"/>
    <w:rsid w:val="00747065"/>
    <w:rsid w:val="007473AA"/>
    <w:rsid w:val="00747451"/>
    <w:rsid w:val="00747817"/>
    <w:rsid w:val="00747B41"/>
    <w:rsid w:val="00747E7E"/>
    <w:rsid w:val="00750746"/>
    <w:rsid w:val="00750AF8"/>
    <w:rsid w:val="0075114C"/>
    <w:rsid w:val="00751473"/>
    <w:rsid w:val="00751645"/>
    <w:rsid w:val="00751A50"/>
    <w:rsid w:val="00751AE0"/>
    <w:rsid w:val="00751B76"/>
    <w:rsid w:val="00751F70"/>
    <w:rsid w:val="00752020"/>
    <w:rsid w:val="0075224A"/>
    <w:rsid w:val="007546A8"/>
    <w:rsid w:val="00754A6F"/>
    <w:rsid w:val="00754C8E"/>
    <w:rsid w:val="00754FD1"/>
    <w:rsid w:val="007553F9"/>
    <w:rsid w:val="00756010"/>
    <w:rsid w:val="0075646E"/>
    <w:rsid w:val="00756572"/>
    <w:rsid w:val="007567A2"/>
    <w:rsid w:val="0075754F"/>
    <w:rsid w:val="00757604"/>
    <w:rsid w:val="007608F4"/>
    <w:rsid w:val="0076094C"/>
    <w:rsid w:val="007609F7"/>
    <w:rsid w:val="007619FB"/>
    <w:rsid w:val="00761CA5"/>
    <w:rsid w:val="00761D03"/>
    <w:rsid w:val="00762553"/>
    <w:rsid w:val="007626BC"/>
    <w:rsid w:val="007629AD"/>
    <w:rsid w:val="007629D8"/>
    <w:rsid w:val="00762A47"/>
    <w:rsid w:val="00763510"/>
    <w:rsid w:val="00763515"/>
    <w:rsid w:val="00763604"/>
    <w:rsid w:val="007637E4"/>
    <w:rsid w:val="0076390D"/>
    <w:rsid w:val="00763A75"/>
    <w:rsid w:val="007640C9"/>
    <w:rsid w:val="00764506"/>
    <w:rsid w:val="00764513"/>
    <w:rsid w:val="00764F84"/>
    <w:rsid w:val="00765351"/>
    <w:rsid w:val="00765D2A"/>
    <w:rsid w:val="007664B0"/>
    <w:rsid w:val="0076690C"/>
    <w:rsid w:val="00766ED6"/>
    <w:rsid w:val="007671CF"/>
    <w:rsid w:val="007678FE"/>
    <w:rsid w:val="007679BB"/>
    <w:rsid w:val="00770920"/>
    <w:rsid w:val="00770AF8"/>
    <w:rsid w:val="00770BFD"/>
    <w:rsid w:val="00770F49"/>
    <w:rsid w:val="00770FA3"/>
    <w:rsid w:val="007711A9"/>
    <w:rsid w:val="007713E3"/>
    <w:rsid w:val="00771431"/>
    <w:rsid w:val="007715FA"/>
    <w:rsid w:val="00771910"/>
    <w:rsid w:val="00772394"/>
    <w:rsid w:val="0077291F"/>
    <w:rsid w:val="0077319B"/>
    <w:rsid w:val="007733D6"/>
    <w:rsid w:val="007733DA"/>
    <w:rsid w:val="007734A9"/>
    <w:rsid w:val="00773662"/>
    <w:rsid w:val="007737FB"/>
    <w:rsid w:val="00773F22"/>
    <w:rsid w:val="00774208"/>
    <w:rsid w:val="0077431B"/>
    <w:rsid w:val="00774355"/>
    <w:rsid w:val="00774859"/>
    <w:rsid w:val="00774A24"/>
    <w:rsid w:val="00774B93"/>
    <w:rsid w:val="007757D0"/>
    <w:rsid w:val="00775991"/>
    <w:rsid w:val="00775FED"/>
    <w:rsid w:val="00776060"/>
    <w:rsid w:val="007762C4"/>
    <w:rsid w:val="007764D9"/>
    <w:rsid w:val="0077672B"/>
    <w:rsid w:val="00776A85"/>
    <w:rsid w:val="00776D82"/>
    <w:rsid w:val="00776DB9"/>
    <w:rsid w:val="007774B8"/>
    <w:rsid w:val="00777C57"/>
    <w:rsid w:val="007802C4"/>
    <w:rsid w:val="00780831"/>
    <w:rsid w:val="00780EA2"/>
    <w:rsid w:val="00782716"/>
    <w:rsid w:val="00782A8A"/>
    <w:rsid w:val="00783037"/>
    <w:rsid w:val="00783349"/>
    <w:rsid w:val="007837A2"/>
    <w:rsid w:val="00783BB1"/>
    <w:rsid w:val="00783CFE"/>
    <w:rsid w:val="00784392"/>
    <w:rsid w:val="0078471A"/>
    <w:rsid w:val="007853D5"/>
    <w:rsid w:val="007853E9"/>
    <w:rsid w:val="00785737"/>
    <w:rsid w:val="00785B12"/>
    <w:rsid w:val="00785CC3"/>
    <w:rsid w:val="007863D2"/>
    <w:rsid w:val="0078669B"/>
    <w:rsid w:val="00786D30"/>
    <w:rsid w:val="007876A4"/>
    <w:rsid w:val="00787D43"/>
    <w:rsid w:val="00787E41"/>
    <w:rsid w:val="00787EA0"/>
    <w:rsid w:val="00790CC3"/>
    <w:rsid w:val="0079145C"/>
    <w:rsid w:val="0079154A"/>
    <w:rsid w:val="00791587"/>
    <w:rsid w:val="0079164A"/>
    <w:rsid w:val="007916AB"/>
    <w:rsid w:val="00791730"/>
    <w:rsid w:val="007917A6"/>
    <w:rsid w:val="00791A04"/>
    <w:rsid w:val="00792186"/>
    <w:rsid w:val="007921F0"/>
    <w:rsid w:val="00793272"/>
    <w:rsid w:val="00793F2E"/>
    <w:rsid w:val="00793FC2"/>
    <w:rsid w:val="00794088"/>
    <w:rsid w:val="00794120"/>
    <w:rsid w:val="007944C5"/>
    <w:rsid w:val="00796DCB"/>
    <w:rsid w:val="00796E42"/>
    <w:rsid w:val="00797A8D"/>
    <w:rsid w:val="00797EBE"/>
    <w:rsid w:val="007A05B5"/>
    <w:rsid w:val="007A0704"/>
    <w:rsid w:val="007A126E"/>
    <w:rsid w:val="007A14C3"/>
    <w:rsid w:val="007A1623"/>
    <w:rsid w:val="007A1BAA"/>
    <w:rsid w:val="007A1CC6"/>
    <w:rsid w:val="007A1DE3"/>
    <w:rsid w:val="007A1EAA"/>
    <w:rsid w:val="007A2642"/>
    <w:rsid w:val="007A269D"/>
    <w:rsid w:val="007A26E5"/>
    <w:rsid w:val="007A2961"/>
    <w:rsid w:val="007A2B4E"/>
    <w:rsid w:val="007A3271"/>
    <w:rsid w:val="007A3396"/>
    <w:rsid w:val="007A41D3"/>
    <w:rsid w:val="007A4280"/>
    <w:rsid w:val="007A45D7"/>
    <w:rsid w:val="007A515D"/>
    <w:rsid w:val="007A55C9"/>
    <w:rsid w:val="007A56A4"/>
    <w:rsid w:val="007A5704"/>
    <w:rsid w:val="007A5B4A"/>
    <w:rsid w:val="007A6163"/>
    <w:rsid w:val="007A6261"/>
    <w:rsid w:val="007A6627"/>
    <w:rsid w:val="007A727A"/>
    <w:rsid w:val="007A7B5C"/>
    <w:rsid w:val="007B0D09"/>
    <w:rsid w:val="007B0F88"/>
    <w:rsid w:val="007B14DE"/>
    <w:rsid w:val="007B1ED3"/>
    <w:rsid w:val="007B2938"/>
    <w:rsid w:val="007B3662"/>
    <w:rsid w:val="007B3F17"/>
    <w:rsid w:val="007B41A7"/>
    <w:rsid w:val="007B538A"/>
    <w:rsid w:val="007B5B25"/>
    <w:rsid w:val="007B5B90"/>
    <w:rsid w:val="007B65B4"/>
    <w:rsid w:val="007B6797"/>
    <w:rsid w:val="007B718E"/>
    <w:rsid w:val="007B72A5"/>
    <w:rsid w:val="007B7725"/>
    <w:rsid w:val="007B788F"/>
    <w:rsid w:val="007B7913"/>
    <w:rsid w:val="007B7B58"/>
    <w:rsid w:val="007B7C38"/>
    <w:rsid w:val="007B7D6C"/>
    <w:rsid w:val="007B7FD8"/>
    <w:rsid w:val="007C02C1"/>
    <w:rsid w:val="007C0557"/>
    <w:rsid w:val="007C2A05"/>
    <w:rsid w:val="007C3640"/>
    <w:rsid w:val="007C3641"/>
    <w:rsid w:val="007C3C8D"/>
    <w:rsid w:val="007C47D8"/>
    <w:rsid w:val="007C48F6"/>
    <w:rsid w:val="007C4E0A"/>
    <w:rsid w:val="007C4E5C"/>
    <w:rsid w:val="007C50CF"/>
    <w:rsid w:val="007C510E"/>
    <w:rsid w:val="007C536D"/>
    <w:rsid w:val="007C556F"/>
    <w:rsid w:val="007C56A5"/>
    <w:rsid w:val="007C586F"/>
    <w:rsid w:val="007C62E7"/>
    <w:rsid w:val="007C63F0"/>
    <w:rsid w:val="007C6F85"/>
    <w:rsid w:val="007C79A1"/>
    <w:rsid w:val="007C7A8A"/>
    <w:rsid w:val="007C7B99"/>
    <w:rsid w:val="007D0694"/>
    <w:rsid w:val="007D0AF8"/>
    <w:rsid w:val="007D0D0D"/>
    <w:rsid w:val="007D0FAC"/>
    <w:rsid w:val="007D1DF8"/>
    <w:rsid w:val="007D3505"/>
    <w:rsid w:val="007D3698"/>
    <w:rsid w:val="007D38DF"/>
    <w:rsid w:val="007D3936"/>
    <w:rsid w:val="007D39C9"/>
    <w:rsid w:val="007D3B89"/>
    <w:rsid w:val="007D4582"/>
    <w:rsid w:val="007D5118"/>
    <w:rsid w:val="007D6111"/>
    <w:rsid w:val="007D6213"/>
    <w:rsid w:val="007D640F"/>
    <w:rsid w:val="007D674A"/>
    <w:rsid w:val="007D6913"/>
    <w:rsid w:val="007D6943"/>
    <w:rsid w:val="007D6CAF"/>
    <w:rsid w:val="007D6E9B"/>
    <w:rsid w:val="007D6EAB"/>
    <w:rsid w:val="007D712E"/>
    <w:rsid w:val="007D713B"/>
    <w:rsid w:val="007D7568"/>
    <w:rsid w:val="007D7BC0"/>
    <w:rsid w:val="007E014A"/>
    <w:rsid w:val="007E0373"/>
    <w:rsid w:val="007E0DA1"/>
    <w:rsid w:val="007E0E4A"/>
    <w:rsid w:val="007E1567"/>
    <w:rsid w:val="007E1ADD"/>
    <w:rsid w:val="007E2206"/>
    <w:rsid w:val="007E250A"/>
    <w:rsid w:val="007E265C"/>
    <w:rsid w:val="007E27FC"/>
    <w:rsid w:val="007E313D"/>
    <w:rsid w:val="007E3837"/>
    <w:rsid w:val="007E3DE9"/>
    <w:rsid w:val="007E40D9"/>
    <w:rsid w:val="007E4DCE"/>
    <w:rsid w:val="007E5024"/>
    <w:rsid w:val="007E51BA"/>
    <w:rsid w:val="007E57CC"/>
    <w:rsid w:val="007E59B5"/>
    <w:rsid w:val="007E5A73"/>
    <w:rsid w:val="007E6233"/>
    <w:rsid w:val="007E6350"/>
    <w:rsid w:val="007E691C"/>
    <w:rsid w:val="007F0158"/>
    <w:rsid w:val="007F034C"/>
    <w:rsid w:val="007F051D"/>
    <w:rsid w:val="007F0887"/>
    <w:rsid w:val="007F08BC"/>
    <w:rsid w:val="007F1289"/>
    <w:rsid w:val="007F14AC"/>
    <w:rsid w:val="007F2121"/>
    <w:rsid w:val="007F284B"/>
    <w:rsid w:val="007F2A5B"/>
    <w:rsid w:val="007F2E26"/>
    <w:rsid w:val="007F3FFA"/>
    <w:rsid w:val="007F4083"/>
    <w:rsid w:val="007F4BC1"/>
    <w:rsid w:val="007F4BEE"/>
    <w:rsid w:val="007F4C43"/>
    <w:rsid w:val="007F4CE0"/>
    <w:rsid w:val="007F4CFD"/>
    <w:rsid w:val="007F4DB5"/>
    <w:rsid w:val="007F4DE4"/>
    <w:rsid w:val="007F4F44"/>
    <w:rsid w:val="007F4FBD"/>
    <w:rsid w:val="007F500D"/>
    <w:rsid w:val="007F55F8"/>
    <w:rsid w:val="007F6279"/>
    <w:rsid w:val="007F6756"/>
    <w:rsid w:val="007F743E"/>
    <w:rsid w:val="007F77ED"/>
    <w:rsid w:val="007F7C3A"/>
    <w:rsid w:val="007F7D08"/>
    <w:rsid w:val="0080005F"/>
    <w:rsid w:val="008007AB"/>
    <w:rsid w:val="00800D90"/>
    <w:rsid w:val="00801133"/>
    <w:rsid w:val="00801533"/>
    <w:rsid w:val="00801AA9"/>
    <w:rsid w:val="00801B0E"/>
    <w:rsid w:val="00801EDB"/>
    <w:rsid w:val="00801F56"/>
    <w:rsid w:val="00802309"/>
    <w:rsid w:val="00802536"/>
    <w:rsid w:val="00802725"/>
    <w:rsid w:val="0080290B"/>
    <w:rsid w:val="00802CC4"/>
    <w:rsid w:val="00802CDE"/>
    <w:rsid w:val="00802EC1"/>
    <w:rsid w:val="00803771"/>
    <w:rsid w:val="00803775"/>
    <w:rsid w:val="008037F9"/>
    <w:rsid w:val="008040D9"/>
    <w:rsid w:val="008044C6"/>
    <w:rsid w:val="00805064"/>
    <w:rsid w:val="00805601"/>
    <w:rsid w:val="008056F5"/>
    <w:rsid w:val="00805768"/>
    <w:rsid w:val="00806632"/>
    <w:rsid w:val="00806ACB"/>
    <w:rsid w:val="00807AF1"/>
    <w:rsid w:val="00807B8A"/>
    <w:rsid w:val="00807DED"/>
    <w:rsid w:val="008101EC"/>
    <w:rsid w:val="008102AE"/>
    <w:rsid w:val="00811323"/>
    <w:rsid w:val="008114C6"/>
    <w:rsid w:val="008115BD"/>
    <w:rsid w:val="00811E7B"/>
    <w:rsid w:val="00811E9E"/>
    <w:rsid w:val="008124A1"/>
    <w:rsid w:val="008129E2"/>
    <w:rsid w:val="00812A4D"/>
    <w:rsid w:val="00813B27"/>
    <w:rsid w:val="00813E8A"/>
    <w:rsid w:val="0081421C"/>
    <w:rsid w:val="008152D1"/>
    <w:rsid w:val="00815712"/>
    <w:rsid w:val="00815B2F"/>
    <w:rsid w:val="00815D70"/>
    <w:rsid w:val="00815E1D"/>
    <w:rsid w:val="008161D3"/>
    <w:rsid w:val="008163CE"/>
    <w:rsid w:val="008165A7"/>
    <w:rsid w:val="008166C3"/>
    <w:rsid w:val="00816FC0"/>
    <w:rsid w:val="0081722B"/>
    <w:rsid w:val="00817AC4"/>
    <w:rsid w:val="00817D41"/>
    <w:rsid w:val="00817ED5"/>
    <w:rsid w:val="00820373"/>
    <w:rsid w:val="00820880"/>
    <w:rsid w:val="008211E3"/>
    <w:rsid w:val="0082151F"/>
    <w:rsid w:val="00821C14"/>
    <w:rsid w:val="00821C2D"/>
    <w:rsid w:val="00821DA7"/>
    <w:rsid w:val="0082244B"/>
    <w:rsid w:val="008225DC"/>
    <w:rsid w:val="00822FF8"/>
    <w:rsid w:val="00823210"/>
    <w:rsid w:val="00823309"/>
    <w:rsid w:val="00823F56"/>
    <w:rsid w:val="00824EE8"/>
    <w:rsid w:val="008253D4"/>
    <w:rsid w:val="0082593D"/>
    <w:rsid w:val="00826A2D"/>
    <w:rsid w:val="00827429"/>
    <w:rsid w:val="008279AC"/>
    <w:rsid w:val="0083047E"/>
    <w:rsid w:val="00830C1A"/>
    <w:rsid w:val="00830E41"/>
    <w:rsid w:val="0083114C"/>
    <w:rsid w:val="0083169D"/>
    <w:rsid w:val="00831AED"/>
    <w:rsid w:val="00831B7B"/>
    <w:rsid w:val="0083200B"/>
    <w:rsid w:val="008320C9"/>
    <w:rsid w:val="00832E26"/>
    <w:rsid w:val="0083386B"/>
    <w:rsid w:val="00833ADD"/>
    <w:rsid w:val="00833BAD"/>
    <w:rsid w:val="00833BBC"/>
    <w:rsid w:val="00833CCD"/>
    <w:rsid w:val="008350DA"/>
    <w:rsid w:val="0083533F"/>
    <w:rsid w:val="00835A32"/>
    <w:rsid w:val="00836703"/>
    <w:rsid w:val="0083737D"/>
    <w:rsid w:val="00837564"/>
    <w:rsid w:val="00840A5A"/>
    <w:rsid w:val="00840ADE"/>
    <w:rsid w:val="0084148E"/>
    <w:rsid w:val="00841C39"/>
    <w:rsid w:val="0084289B"/>
    <w:rsid w:val="00842F74"/>
    <w:rsid w:val="00843038"/>
    <w:rsid w:val="0084313C"/>
    <w:rsid w:val="00843348"/>
    <w:rsid w:val="00843DA3"/>
    <w:rsid w:val="0084400F"/>
    <w:rsid w:val="008441E9"/>
    <w:rsid w:val="0084454E"/>
    <w:rsid w:val="00844E15"/>
    <w:rsid w:val="00845390"/>
    <w:rsid w:val="00845710"/>
    <w:rsid w:val="00845DA1"/>
    <w:rsid w:val="00845FD5"/>
    <w:rsid w:val="00846898"/>
    <w:rsid w:val="00846B6B"/>
    <w:rsid w:val="00846D6C"/>
    <w:rsid w:val="00846D94"/>
    <w:rsid w:val="008470F3"/>
    <w:rsid w:val="0084753B"/>
    <w:rsid w:val="0084786A"/>
    <w:rsid w:val="00847A8E"/>
    <w:rsid w:val="00847C37"/>
    <w:rsid w:val="00847C39"/>
    <w:rsid w:val="00847F4E"/>
    <w:rsid w:val="00850155"/>
    <w:rsid w:val="00850F47"/>
    <w:rsid w:val="008515C8"/>
    <w:rsid w:val="008516F1"/>
    <w:rsid w:val="00852B60"/>
    <w:rsid w:val="00852CF2"/>
    <w:rsid w:val="00852DD7"/>
    <w:rsid w:val="0085320D"/>
    <w:rsid w:val="008537FC"/>
    <w:rsid w:val="0085404D"/>
    <w:rsid w:val="00854531"/>
    <w:rsid w:val="00855899"/>
    <w:rsid w:val="00855F50"/>
    <w:rsid w:val="0085622D"/>
    <w:rsid w:val="00856424"/>
    <w:rsid w:val="008565FD"/>
    <w:rsid w:val="00856F40"/>
    <w:rsid w:val="00857220"/>
    <w:rsid w:val="008576FE"/>
    <w:rsid w:val="00857CDF"/>
    <w:rsid w:val="00857E92"/>
    <w:rsid w:val="00857EB1"/>
    <w:rsid w:val="0086094F"/>
    <w:rsid w:val="00860C27"/>
    <w:rsid w:val="00861106"/>
    <w:rsid w:val="00861A50"/>
    <w:rsid w:val="00861A66"/>
    <w:rsid w:val="00862025"/>
    <w:rsid w:val="008620B1"/>
    <w:rsid w:val="00862327"/>
    <w:rsid w:val="00862DAC"/>
    <w:rsid w:val="00862E72"/>
    <w:rsid w:val="00862FD4"/>
    <w:rsid w:val="008633D6"/>
    <w:rsid w:val="008636BC"/>
    <w:rsid w:val="0086392E"/>
    <w:rsid w:val="00863B82"/>
    <w:rsid w:val="00863C17"/>
    <w:rsid w:val="00864356"/>
    <w:rsid w:val="0086439D"/>
    <w:rsid w:val="0086445E"/>
    <w:rsid w:val="008646D4"/>
    <w:rsid w:val="00864EC0"/>
    <w:rsid w:val="008654A0"/>
    <w:rsid w:val="00865677"/>
    <w:rsid w:val="008667A1"/>
    <w:rsid w:val="00866DA2"/>
    <w:rsid w:val="008673A0"/>
    <w:rsid w:val="008675AA"/>
    <w:rsid w:val="00867807"/>
    <w:rsid w:val="00867AFD"/>
    <w:rsid w:val="00867B0F"/>
    <w:rsid w:val="008703FF"/>
    <w:rsid w:val="00870F8C"/>
    <w:rsid w:val="00871214"/>
    <w:rsid w:val="00871324"/>
    <w:rsid w:val="0087137A"/>
    <w:rsid w:val="00871615"/>
    <w:rsid w:val="0087177A"/>
    <w:rsid w:val="00871802"/>
    <w:rsid w:val="00871C31"/>
    <w:rsid w:val="00872013"/>
    <w:rsid w:val="008723BD"/>
    <w:rsid w:val="008727C3"/>
    <w:rsid w:val="00872844"/>
    <w:rsid w:val="00872A1C"/>
    <w:rsid w:val="00872B14"/>
    <w:rsid w:val="00873350"/>
    <w:rsid w:val="0087488E"/>
    <w:rsid w:val="00874946"/>
    <w:rsid w:val="00874A87"/>
    <w:rsid w:val="00874C82"/>
    <w:rsid w:val="00874FE7"/>
    <w:rsid w:val="008758D7"/>
    <w:rsid w:val="00875C37"/>
    <w:rsid w:val="00875EDF"/>
    <w:rsid w:val="00876075"/>
    <w:rsid w:val="008761B3"/>
    <w:rsid w:val="00876956"/>
    <w:rsid w:val="00876E0B"/>
    <w:rsid w:val="008771DD"/>
    <w:rsid w:val="0087757F"/>
    <w:rsid w:val="00877CBA"/>
    <w:rsid w:val="00880021"/>
    <w:rsid w:val="0088103F"/>
    <w:rsid w:val="00881B14"/>
    <w:rsid w:val="00881D1C"/>
    <w:rsid w:val="00881D56"/>
    <w:rsid w:val="00881F4E"/>
    <w:rsid w:val="008821A1"/>
    <w:rsid w:val="00882AF9"/>
    <w:rsid w:val="00882DCF"/>
    <w:rsid w:val="00882E70"/>
    <w:rsid w:val="008836CB"/>
    <w:rsid w:val="00883C26"/>
    <w:rsid w:val="00883C27"/>
    <w:rsid w:val="00884078"/>
    <w:rsid w:val="00884360"/>
    <w:rsid w:val="008843D8"/>
    <w:rsid w:val="00884DA6"/>
    <w:rsid w:val="00885581"/>
    <w:rsid w:val="00885FDC"/>
    <w:rsid w:val="00886063"/>
    <w:rsid w:val="00886847"/>
    <w:rsid w:val="00886DE7"/>
    <w:rsid w:val="00890114"/>
    <w:rsid w:val="0089025D"/>
    <w:rsid w:val="00890A7B"/>
    <w:rsid w:val="00890D67"/>
    <w:rsid w:val="00890F8A"/>
    <w:rsid w:val="00891762"/>
    <w:rsid w:val="00891A55"/>
    <w:rsid w:val="0089208D"/>
    <w:rsid w:val="0089262A"/>
    <w:rsid w:val="0089295E"/>
    <w:rsid w:val="008929FD"/>
    <w:rsid w:val="00892B55"/>
    <w:rsid w:val="00892EB3"/>
    <w:rsid w:val="008930A1"/>
    <w:rsid w:val="0089319E"/>
    <w:rsid w:val="008945AE"/>
    <w:rsid w:val="008948B3"/>
    <w:rsid w:val="008949E5"/>
    <w:rsid w:val="00894A6D"/>
    <w:rsid w:val="0089561B"/>
    <w:rsid w:val="00895FF3"/>
    <w:rsid w:val="0089614E"/>
    <w:rsid w:val="00896A92"/>
    <w:rsid w:val="00896C95"/>
    <w:rsid w:val="008970A8"/>
    <w:rsid w:val="0089790E"/>
    <w:rsid w:val="00897ACD"/>
    <w:rsid w:val="00897C33"/>
    <w:rsid w:val="00897F10"/>
    <w:rsid w:val="008A00A3"/>
    <w:rsid w:val="008A01CD"/>
    <w:rsid w:val="008A0879"/>
    <w:rsid w:val="008A0889"/>
    <w:rsid w:val="008A0A38"/>
    <w:rsid w:val="008A0BDF"/>
    <w:rsid w:val="008A14A5"/>
    <w:rsid w:val="008A19A8"/>
    <w:rsid w:val="008A2412"/>
    <w:rsid w:val="008A2B97"/>
    <w:rsid w:val="008A2C54"/>
    <w:rsid w:val="008A327B"/>
    <w:rsid w:val="008A34F4"/>
    <w:rsid w:val="008A39D5"/>
    <w:rsid w:val="008A3C08"/>
    <w:rsid w:val="008A426A"/>
    <w:rsid w:val="008A4683"/>
    <w:rsid w:val="008A4B31"/>
    <w:rsid w:val="008A4C94"/>
    <w:rsid w:val="008A56BB"/>
    <w:rsid w:val="008A5AAF"/>
    <w:rsid w:val="008A5B78"/>
    <w:rsid w:val="008A5DFF"/>
    <w:rsid w:val="008A6035"/>
    <w:rsid w:val="008A6CB1"/>
    <w:rsid w:val="008A6E10"/>
    <w:rsid w:val="008A6EC9"/>
    <w:rsid w:val="008A763E"/>
    <w:rsid w:val="008A77BB"/>
    <w:rsid w:val="008B00BB"/>
    <w:rsid w:val="008B0352"/>
    <w:rsid w:val="008B08E9"/>
    <w:rsid w:val="008B15D6"/>
    <w:rsid w:val="008B1CEE"/>
    <w:rsid w:val="008B2497"/>
    <w:rsid w:val="008B2BA2"/>
    <w:rsid w:val="008B306F"/>
    <w:rsid w:val="008B3191"/>
    <w:rsid w:val="008B330C"/>
    <w:rsid w:val="008B4556"/>
    <w:rsid w:val="008B46F3"/>
    <w:rsid w:val="008B494C"/>
    <w:rsid w:val="008B4D81"/>
    <w:rsid w:val="008B54F8"/>
    <w:rsid w:val="008B5A0B"/>
    <w:rsid w:val="008B61AC"/>
    <w:rsid w:val="008B6E4E"/>
    <w:rsid w:val="008B71E9"/>
    <w:rsid w:val="008B71F8"/>
    <w:rsid w:val="008B7E21"/>
    <w:rsid w:val="008B7F16"/>
    <w:rsid w:val="008C00B6"/>
    <w:rsid w:val="008C01B1"/>
    <w:rsid w:val="008C0C49"/>
    <w:rsid w:val="008C0D36"/>
    <w:rsid w:val="008C17D8"/>
    <w:rsid w:val="008C1AD3"/>
    <w:rsid w:val="008C1DCC"/>
    <w:rsid w:val="008C1DF3"/>
    <w:rsid w:val="008C241B"/>
    <w:rsid w:val="008C263D"/>
    <w:rsid w:val="008C2CC4"/>
    <w:rsid w:val="008C2D4A"/>
    <w:rsid w:val="008C3037"/>
    <w:rsid w:val="008C319D"/>
    <w:rsid w:val="008C34F5"/>
    <w:rsid w:val="008C3639"/>
    <w:rsid w:val="008C3D07"/>
    <w:rsid w:val="008C3D59"/>
    <w:rsid w:val="008C4265"/>
    <w:rsid w:val="008C45BA"/>
    <w:rsid w:val="008C4641"/>
    <w:rsid w:val="008C480A"/>
    <w:rsid w:val="008C4A49"/>
    <w:rsid w:val="008C57BE"/>
    <w:rsid w:val="008C6189"/>
    <w:rsid w:val="008C642D"/>
    <w:rsid w:val="008C6D53"/>
    <w:rsid w:val="008C7156"/>
    <w:rsid w:val="008C7C31"/>
    <w:rsid w:val="008C7D19"/>
    <w:rsid w:val="008D00E3"/>
    <w:rsid w:val="008D014E"/>
    <w:rsid w:val="008D15FC"/>
    <w:rsid w:val="008D16D6"/>
    <w:rsid w:val="008D20E7"/>
    <w:rsid w:val="008D29B3"/>
    <w:rsid w:val="008D3311"/>
    <w:rsid w:val="008D3AF5"/>
    <w:rsid w:val="008D3EB4"/>
    <w:rsid w:val="008D4209"/>
    <w:rsid w:val="008D448A"/>
    <w:rsid w:val="008D4D8D"/>
    <w:rsid w:val="008D541C"/>
    <w:rsid w:val="008D5621"/>
    <w:rsid w:val="008D64E1"/>
    <w:rsid w:val="008D7769"/>
    <w:rsid w:val="008D79D6"/>
    <w:rsid w:val="008D79F7"/>
    <w:rsid w:val="008E00D9"/>
    <w:rsid w:val="008E0829"/>
    <w:rsid w:val="008E12C2"/>
    <w:rsid w:val="008E13B7"/>
    <w:rsid w:val="008E1536"/>
    <w:rsid w:val="008E1928"/>
    <w:rsid w:val="008E1B24"/>
    <w:rsid w:val="008E1D8F"/>
    <w:rsid w:val="008E1E8B"/>
    <w:rsid w:val="008E2A06"/>
    <w:rsid w:val="008E2C6A"/>
    <w:rsid w:val="008E2F43"/>
    <w:rsid w:val="008E2FB8"/>
    <w:rsid w:val="008E304C"/>
    <w:rsid w:val="008E3230"/>
    <w:rsid w:val="008E368E"/>
    <w:rsid w:val="008E36C1"/>
    <w:rsid w:val="008E3F5D"/>
    <w:rsid w:val="008E3F78"/>
    <w:rsid w:val="008E4A95"/>
    <w:rsid w:val="008E4D77"/>
    <w:rsid w:val="008E50F9"/>
    <w:rsid w:val="008E560F"/>
    <w:rsid w:val="008E5655"/>
    <w:rsid w:val="008E5F5F"/>
    <w:rsid w:val="008E625B"/>
    <w:rsid w:val="008E631D"/>
    <w:rsid w:val="008E751F"/>
    <w:rsid w:val="008E75C6"/>
    <w:rsid w:val="008E7698"/>
    <w:rsid w:val="008E7911"/>
    <w:rsid w:val="008E792D"/>
    <w:rsid w:val="008E7CBE"/>
    <w:rsid w:val="008E7F09"/>
    <w:rsid w:val="008F04CE"/>
    <w:rsid w:val="008F0893"/>
    <w:rsid w:val="008F1296"/>
    <w:rsid w:val="008F1AE9"/>
    <w:rsid w:val="008F1F2B"/>
    <w:rsid w:val="008F2927"/>
    <w:rsid w:val="008F3858"/>
    <w:rsid w:val="008F38FE"/>
    <w:rsid w:val="008F3C39"/>
    <w:rsid w:val="008F448A"/>
    <w:rsid w:val="008F45C3"/>
    <w:rsid w:val="008F4A26"/>
    <w:rsid w:val="008F541E"/>
    <w:rsid w:val="008F56AF"/>
    <w:rsid w:val="008F6040"/>
    <w:rsid w:val="008F63E5"/>
    <w:rsid w:val="008F64AE"/>
    <w:rsid w:val="008F6588"/>
    <w:rsid w:val="008F6CA1"/>
    <w:rsid w:val="008F78C7"/>
    <w:rsid w:val="0090004E"/>
    <w:rsid w:val="00900281"/>
    <w:rsid w:val="00900617"/>
    <w:rsid w:val="0090102E"/>
    <w:rsid w:val="009011DA"/>
    <w:rsid w:val="00901711"/>
    <w:rsid w:val="009018F5"/>
    <w:rsid w:val="009020A0"/>
    <w:rsid w:val="00902333"/>
    <w:rsid w:val="009025BE"/>
    <w:rsid w:val="00902D48"/>
    <w:rsid w:val="00903802"/>
    <w:rsid w:val="00903E7C"/>
    <w:rsid w:val="00904329"/>
    <w:rsid w:val="00904532"/>
    <w:rsid w:val="00905A21"/>
    <w:rsid w:val="00906016"/>
    <w:rsid w:val="0090617C"/>
    <w:rsid w:val="00906F16"/>
    <w:rsid w:val="009070D6"/>
    <w:rsid w:val="0090727F"/>
    <w:rsid w:val="009074C0"/>
    <w:rsid w:val="009078A3"/>
    <w:rsid w:val="009079F3"/>
    <w:rsid w:val="00907B29"/>
    <w:rsid w:val="00910563"/>
    <w:rsid w:val="00910822"/>
    <w:rsid w:val="00910ABC"/>
    <w:rsid w:val="00910C69"/>
    <w:rsid w:val="00910D99"/>
    <w:rsid w:val="0091101C"/>
    <w:rsid w:val="00911540"/>
    <w:rsid w:val="009116DC"/>
    <w:rsid w:val="009117DB"/>
    <w:rsid w:val="00911AB8"/>
    <w:rsid w:val="00911C2E"/>
    <w:rsid w:val="00911C76"/>
    <w:rsid w:val="00911D96"/>
    <w:rsid w:val="00912171"/>
    <w:rsid w:val="00912E7D"/>
    <w:rsid w:val="0091321B"/>
    <w:rsid w:val="00914828"/>
    <w:rsid w:val="0091557A"/>
    <w:rsid w:val="009155E1"/>
    <w:rsid w:val="00916238"/>
    <w:rsid w:val="00916BE4"/>
    <w:rsid w:val="00916E14"/>
    <w:rsid w:val="00916E19"/>
    <w:rsid w:val="009173DC"/>
    <w:rsid w:val="0091759D"/>
    <w:rsid w:val="00917DE4"/>
    <w:rsid w:val="00920265"/>
    <w:rsid w:val="00920B19"/>
    <w:rsid w:val="00920C6B"/>
    <w:rsid w:val="00920F8D"/>
    <w:rsid w:val="0092119C"/>
    <w:rsid w:val="00921511"/>
    <w:rsid w:val="009215C2"/>
    <w:rsid w:val="009215D5"/>
    <w:rsid w:val="0092180F"/>
    <w:rsid w:val="0092186C"/>
    <w:rsid w:val="00921B49"/>
    <w:rsid w:val="00921EF1"/>
    <w:rsid w:val="00921FA2"/>
    <w:rsid w:val="00922281"/>
    <w:rsid w:val="00923376"/>
    <w:rsid w:val="009237E9"/>
    <w:rsid w:val="00924C70"/>
    <w:rsid w:val="00924DAB"/>
    <w:rsid w:val="00924ECF"/>
    <w:rsid w:val="009253AF"/>
    <w:rsid w:val="00925950"/>
    <w:rsid w:val="00925AB4"/>
    <w:rsid w:val="00925B5F"/>
    <w:rsid w:val="00926658"/>
    <w:rsid w:val="00926786"/>
    <w:rsid w:val="009268F1"/>
    <w:rsid w:val="00926A49"/>
    <w:rsid w:val="00926DC6"/>
    <w:rsid w:val="009275A0"/>
    <w:rsid w:val="00927651"/>
    <w:rsid w:val="00927CB4"/>
    <w:rsid w:val="00927F3A"/>
    <w:rsid w:val="00927F8C"/>
    <w:rsid w:val="00930B05"/>
    <w:rsid w:val="00930C82"/>
    <w:rsid w:val="00930EAA"/>
    <w:rsid w:val="00930F20"/>
    <w:rsid w:val="00930FCD"/>
    <w:rsid w:val="00932796"/>
    <w:rsid w:val="00932AF6"/>
    <w:rsid w:val="00932F91"/>
    <w:rsid w:val="00933295"/>
    <w:rsid w:val="009336D1"/>
    <w:rsid w:val="00933752"/>
    <w:rsid w:val="0093393F"/>
    <w:rsid w:val="00933F38"/>
    <w:rsid w:val="00934419"/>
    <w:rsid w:val="009348B5"/>
    <w:rsid w:val="00934A93"/>
    <w:rsid w:val="00934F9B"/>
    <w:rsid w:val="009357BD"/>
    <w:rsid w:val="009359FF"/>
    <w:rsid w:val="00935A93"/>
    <w:rsid w:val="00935B74"/>
    <w:rsid w:val="00935DD1"/>
    <w:rsid w:val="009367C9"/>
    <w:rsid w:val="00936A3B"/>
    <w:rsid w:val="009379E0"/>
    <w:rsid w:val="00937BA4"/>
    <w:rsid w:val="00937DDF"/>
    <w:rsid w:val="009406D3"/>
    <w:rsid w:val="00940AEC"/>
    <w:rsid w:val="00940AF8"/>
    <w:rsid w:val="00940C53"/>
    <w:rsid w:val="00940F6B"/>
    <w:rsid w:val="0094119C"/>
    <w:rsid w:val="00941FAD"/>
    <w:rsid w:val="0094226C"/>
    <w:rsid w:val="00942683"/>
    <w:rsid w:val="009429C4"/>
    <w:rsid w:val="00942CFB"/>
    <w:rsid w:val="00942DA5"/>
    <w:rsid w:val="00942DB9"/>
    <w:rsid w:val="009430A3"/>
    <w:rsid w:val="009441DE"/>
    <w:rsid w:val="00944B1A"/>
    <w:rsid w:val="00944DC7"/>
    <w:rsid w:val="00945184"/>
    <w:rsid w:val="009458A5"/>
    <w:rsid w:val="00946D47"/>
    <w:rsid w:val="00946F08"/>
    <w:rsid w:val="009476D2"/>
    <w:rsid w:val="0094795B"/>
    <w:rsid w:val="00950333"/>
    <w:rsid w:val="00951A96"/>
    <w:rsid w:val="0095225F"/>
    <w:rsid w:val="009530CA"/>
    <w:rsid w:val="009534AC"/>
    <w:rsid w:val="00954331"/>
    <w:rsid w:val="00954544"/>
    <w:rsid w:val="0095464F"/>
    <w:rsid w:val="0095480D"/>
    <w:rsid w:val="00954C10"/>
    <w:rsid w:val="009552B9"/>
    <w:rsid w:val="009557A2"/>
    <w:rsid w:val="00955EFB"/>
    <w:rsid w:val="00956BB6"/>
    <w:rsid w:val="00956DBD"/>
    <w:rsid w:val="0095703D"/>
    <w:rsid w:val="0095726B"/>
    <w:rsid w:val="00957875"/>
    <w:rsid w:val="00957E8C"/>
    <w:rsid w:val="0096024A"/>
    <w:rsid w:val="00960714"/>
    <w:rsid w:val="0096083F"/>
    <w:rsid w:val="00960943"/>
    <w:rsid w:val="00960F69"/>
    <w:rsid w:val="009613D4"/>
    <w:rsid w:val="0096296C"/>
    <w:rsid w:val="00962BDB"/>
    <w:rsid w:val="009641A9"/>
    <w:rsid w:val="0096420F"/>
    <w:rsid w:val="00964694"/>
    <w:rsid w:val="00964ED8"/>
    <w:rsid w:val="009652A8"/>
    <w:rsid w:val="009653A4"/>
    <w:rsid w:val="009655DA"/>
    <w:rsid w:val="009656FC"/>
    <w:rsid w:val="009662D3"/>
    <w:rsid w:val="0096652A"/>
    <w:rsid w:val="00966B51"/>
    <w:rsid w:val="00970987"/>
    <w:rsid w:val="0097116F"/>
    <w:rsid w:val="009713CF"/>
    <w:rsid w:val="00971F08"/>
    <w:rsid w:val="00971F36"/>
    <w:rsid w:val="0097208D"/>
    <w:rsid w:val="00972151"/>
    <w:rsid w:val="0097246D"/>
    <w:rsid w:val="00972471"/>
    <w:rsid w:val="00972CA5"/>
    <w:rsid w:val="00973253"/>
    <w:rsid w:val="0097364D"/>
    <w:rsid w:val="00973778"/>
    <w:rsid w:val="009737B9"/>
    <w:rsid w:val="00973C66"/>
    <w:rsid w:val="00973D07"/>
    <w:rsid w:val="00973DAB"/>
    <w:rsid w:val="00973FCB"/>
    <w:rsid w:val="009745B3"/>
    <w:rsid w:val="0097465B"/>
    <w:rsid w:val="009746DD"/>
    <w:rsid w:val="00974B44"/>
    <w:rsid w:val="00974C41"/>
    <w:rsid w:val="00974F9D"/>
    <w:rsid w:val="00975096"/>
    <w:rsid w:val="00975200"/>
    <w:rsid w:val="00975276"/>
    <w:rsid w:val="009756D2"/>
    <w:rsid w:val="00975901"/>
    <w:rsid w:val="00975B52"/>
    <w:rsid w:val="00975DBE"/>
    <w:rsid w:val="00976750"/>
    <w:rsid w:val="00976BBA"/>
    <w:rsid w:val="00976F33"/>
    <w:rsid w:val="00977325"/>
    <w:rsid w:val="009806E0"/>
    <w:rsid w:val="00980AFE"/>
    <w:rsid w:val="00980F91"/>
    <w:rsid w:val="0098110B"/>
    <w:rsid w:val="0098123F"/>
    <w:rsid w:val="00981D6D"/>
    <w:rsid w:val="00981F40"/>
    <w:rsid w:val="009821C6"/>
    <w:rsid w:val="00982315"/>
    <w:rsid w:val="00982414"/>
    <w:rsid w:val="00982DD8"/>
    <w:rsid w:val="00982F28"/>
    <w:rsid w:val="0098338D"/>
    <w:rsid w:val="0098354F"/>
    <w:rsid w:val="0098375C"/>
    <w:rsid w:val="009839CA"/>
    <w:rsid w:val="00983F03"/>
    <w:rsid w:val="00983F5A"/>
    <w:rsid w:val="009841E1"/>
    <w:rsid w:val="00984CF7"/>
    <w:rsid w:val="009853DB"/>
    <w:rsid w:val="0098589F"/>
    <w:rsid w:val="00985EC7"/>
    <w:rsid w:val="009864DD"/>
    <w:rsid w:val="00986A43"/>
    <w:rsid w:val="00986E4F"/>
    <w:rsid w:val="00987057"/>
    <w:rsid w:val="009872B1"/>
    <w:rsid w:val="0098741E"/>
    <w:rsid w:val="009908BA"/>
    <w:rsid w:val="009909BC"/>
    <w:rsid w:val="00990C75"/>
    <w:rsid w:val="0099148C"/>
    <w:rsid w:val="0099148E"/>
    <w:rsid w:val="009918B8"/>
    <w:rsid w:val="00991C5E"/>
    <w:rsid w:val="009920F0"/>
    <w:rsid w:val="009925E6"/>
    <w:rsid w:val="00992942"/>
    <w:rsid w:val="00992CA7"/>
    <w:rsid w:val="00992FB4"/>
    <w:rsid w:val="009930AE"/>
    <w:rsid w:val="0099310A"/>
    <w:rsid w:val="00993B92"/>
    <w:rsid w:val="00993BF6"/>
    <w:rsid w:val="00993C0B"/>
    <w:rsid w:val="00993EDE"/>
    <w:rsid w:val="00993FAC"/>
    <w:rsid w:val="009943FB"/>
    <w:rsid w:val="009945BD"/>
    <w:rsid w:val="0099476F"/>
    <w:rsid w:val="009947CF"/>
    <w:rsid w:val="00995454"/>
    <w:rsid w:val="00995CE6"/>
    <w:rsid w:val="00995DFD"/>
    <w:rsid w:val="00995F62"/>
    <w:rsid w:val="0099632F"/>
    <w:rsid w:val="00996E42"/>
    <w:rsid w:val="0099755A"/>
    <w:rsid w:val="00997569"/>
    <w:rsid w:val="0099799D"/>
    <w:rsid w:val="009A01D4"/>
    <w:rsid w:val="009A03BD"/>
    <w:rsid w:val="009A0666"/>
    <w:rsid w:val="009A0683"/>
    <w:rsid w:val="009A1211"/>
    <w:rsid w:val="009A15B2"/>
    <w:rsid w:val="009A1669"/>
    <w:rsid w:val="009A1845"/>
    <w:rsid w:val="009A1DF8"/>
    <w:rsid w:val="009A2208"/>
    <w:rsid w:val="009A2308"/>
    <w:rsid w:val="009A2DB3"/>
    <w:rsid w:val="009A2EDA"/>
    <w:rsid w:val="009A341C"/>
    <w:rsid w:val="009A35D6"/>
    <w:rsid w:val="009A3AA2"/>
    <w:rsid w:val="009A3AE8"/>
    <w:rsid w:val="009A3B16"/>
    <w:rsid w:val="009A3E56"/>
    <w:rsid w:val="009A3FE8"/>
    <w:rsid w:val="009A4AC4"/>
    <w:rsid w:val="009A4BFF"/>
    <w:rsid w:val="009A556B"/>
    <w:rsid w:val="009A5632"/>
    <w:rsid w:val="009A5732"/>
    <w:rsid w:val="009A5765"/>
    <w:rsid w:val="009A5C0E"/>
    <w:rsid w:val="009A5C26"/>
    <w:rsid w:val="009A6035"/>
    <w:rsid w:val="009A6275"/>
    <w:rsid w:val="009A6359"/>
    <w:rsid w:val="009A64A8"/>
    <w:rsid w:val="009A6987"/>
    <w:rsid w:val="009A6B75"/>
    <w:rsid w:val="009A6BB8"/>
    <w:rsid w:val="009A6E21"/>
    <w:rsid w:val="009A7477"/>
    <w:rsid w:val="009A76DB"/>
    <w:rsid w:val="009A78F8"/>
    <w:rsid w:val="009A7A38"/>
    <w:rsid w:val="009A7BE7"/>
    <w:rsid w:val="009A7EF2"/>
    <w:rsid w:val="009B12FA"/>
    <w:rsid w:val="009B1428"/>
    <w:rsid w:val="009B17E2"/>
    <w:rsid w:val="009B1994"/>
    <w:rsid w:val="009B19F0"/>
    <w:rsid w:val="009B1A5C"/>
    <w:rsid w:val="009B1B00"/>
    <w:rsid w:val="009B247E"/>
    <w:rsid w:val="009B3745"/>
    <w:rsid w:val="009B3C65"/>
    <w:rsid w:val="009B4102"/>
    <w:rsid w:val="009B411D"/>
    <w:rsid w:val="009B44A9"/>
    <w:rsid w:val="009B5918"/>
    <w:rsid w:val="009B5DA0"/>
    <w:rsid w:val="009B6A45"/>
    <w:rsid w:val="009B7581"/>
    <w:rsid w:val="009B75A2"/>
    <w:rsid w:val="009B771C"/>
    <w:rsid w:val="009B7E2C"/>
    <w:rsid w:val="009C0086"/>
    <w:rsid w:val="009C04C0"/>
    <w:rsid w:val="009C0EB7"/>
    <w:rsid w:val="009C113F"/>
    <w:rsid w:val="009C1911"/>
    <w:rsid w:val="009C1AFA"/>
    <w:rsid w:val="009C265F"/>
    <w:rsid w:val="009C2837"/>
    <w:rsid w:val="009C2DF2"/>
    <w:rsid w:val="009C2F9C"/>
    <w:rsid w:val="009C3245"/>
    <w:rsid w:val="009C35ED"/>
    <w:rsid w:val="009C3A82"/>
    <w:rsid w:val="009C3AAE"/>
    <w:rsid w:val="009C44DA"/>
    <w:rsid w:val="009C47AC"/>
    <w:rsid w:val="009C47DC"/>
    <w:rsid w:val="009C4F2D"/>
    <w:rsid w:val="009C4FC6"/>
    <w:rsid w:val="009C58EB"/>
    <w:rsid w:val="009C58F9"/>
    <w:rsid w:val="009C5CAD"/>
    <w:rsid w:val="009C5CBC"/>
    <w:rsid w:val="009C5D9D"/>
    <w:rsid w:val="009C64D3"/>
    <w:rsid w:val="009C69AC"/>
    <w:rsid w:val="009C6EDE"/>
    <w:rsid w:val="009C7588"/>
    <w:rsid w:val="009C7BA7"/>
    <w:rsid w:val="009D0A5E"/>
    <w:rsid w:val="009D0F29"/>
    <w:rsid w:val="009D1228"/>
    <w:rsid w:val="009D13E1"/>
    <w:rsid w:val="009D1BBA"/>
    <w:rsid w:val="009D2246"/>
    <w:rsid w:val="009D28B1"/>
    <w:rsid w:val="009D2CA1"/>
    <w:rsid w:val="009D3109"/>
    <w:rsid w:val="009D3689"/>
    <w:rsid w:val="009D3B40"/>
    <w:rsid w:val="009D3E7B"/>
    <w:rsid w:val="009D4030"/>
    <w:rsid w:val="009D421A"/>
    <w:rsid w:val="009D479A"/>
    <w:rsid w:val="009D48C5"/>
    <w:rsid w:val="009D4BB3"/>
    <w:rsid w:val="009D4E57"/>
    <w:rsid w:val="009D4FC7"/>
    <w:rsid w:val="009D50BF"/>
    <w:rsid w:val="009D59F3"/>
    <w:rsid w:val="009D5C96"/>
    <w:rsid w:val="009D6546"/>
    <w:rsid w:val="009D66B1"/>
    <w:rsid w:val="009D698C"/>
    <w:rsid w:val="009D6F53"/>
    <w:rsid w:val="009D7181"/>
    <w:rsid w:val="009D7201"/>
    <w:rsid w:val="009D757F"/>
    <w:rsid w:val="009D7E71"/>
    <w:rsid w:val="009D7F59"/>
    <w:rsid w:val="009E00AF"/>
    <w:rsid w:val="009E053F"/>
    <w:rsid w:val="009E0F7D"/>
    <w:rsid w:val="009E11FD"/>
    <w:rsid w:val="009E14B1"/>
    <w:rsid w:val="009E18BC"/>
    <w:rsid w:val="009E1EA9"/>
    <w:rsid w:val="009E1F21"/>
    <w:rsid w:val="009E200A"/>
    <w:rsid w:val="009E2215"/>
    <w:rsid w:val="009E24F9"/>
    <w:rsid w:val="009E25BA"/>
    <w:rsid w:val="009E2A82"/>
    <w:rsid w:val="009E2A9F"/>
    <w:rsid w:val="009E2BE0"/>
    <w:rsid w:val="009E3130"/>
    <w:rsid w:val="009E3350"/>
    <w:rsid w:val="009E3728"/>
    <w:rsid w:val="009E38FA"/>
    <w:rsid w:val="009E3D29"/>
    <w:rsid w:val="009E3DC3"/>
    <w:rsid w:val="009E4149"/>
    <w:rsid w:val="009E448C"/>
    <w:rsid w:val="009E4528"/>
    <w:rsid w:val="009E51FB"/>
    <w:rsid w:val="009E546C"/>
    <w:rsid w:val="009E5BCA"/>
    <w:rsid w:val="009E5C2E"/>
    <w:rsid w:val="009E6066"/>
    <w:rsid w:val="009E63FB"/>
    <w:rsid w:val="009E646E"/>
    <w:rsid w:val="009E6577"/>
    <w:rsid w:val="009E68FF"/>
    <w:rsid w:val="009E6C8F"/>
    <w:rsid w:val="009E705D"/>
    <w:rsid w:val="009F0169"/>
    <w:rsid w:val="009F01C3"/>
    <w:rsid w:val="009F06D9"/>
    <w:rsid w:val="009F06FC"/>
    <w:rsid w:val="009F0738"/>
    <w:rsid w:val="009F0814"/>
    <w:rsid w:val="009F09C3"/>
    <w:rsid w:val="009F0A94"/>
    <w:rsid w:val="009F0E7B"/>
    <w:rsid w:val="009F1239"/>
    <w:rsid w:val="009F136C"/>
    <w:rsid w:val="009F13AD"/>
    <w:rsid w:val="009F1624"/>
    <w:rsid w:val="009F1A87"/>
    <w:rsid w:val="009F237F"/>
    <w:rsid w:val="009F31F3"/>
    <w:rsid w:val="009F3358"/>
    <w:rsid w:val="009F33DA"/>
    <w:rsid w:val="009F33F7"/>
    <w:rsid w:val="009F3B9E"/>
    <w:rsid w:val="009F3C02"/>
    <w:rsid w:val="009F3E8A"/>
    <w:rsid w:val="009F3F98"/>
    <w:rsid w:val="009F3FE8"/>
    <w:rsid w:val="009F42AF"/>
    <w:rsid w:val="009F4959"/>
    <w:rsid w:val="009F4BEB"/>
    <w:rsid w:val="009F4C0E"/>
    <w:rsid w:val="009F4D2D"/>
    <w:rsid w:val="009F5103"/>
    <w:rsid w:val="009F516C"/>
    <w:rsid w:val="009F5549"/>
    <w:rsid w:val="009F6309"/>
    <w:rsid w:val="009F726B"/>
    <w:rsid w:val="009F7781"/>
    <w:rsid w:val="009F7A1F"/>
    <w:rsid w:val="00A005F8"/>
    <w:rsid w:val="00A0082F"/>
    <w:rsid w:val="00A01A23"/>
    <w:rsid w:val="00A020E1"/>
    <w:rsid w:val="00A023C1"/>
    <w:rsid w:val="00A03176"/>
    <w:rsid w:val="00A03316"/>
    <w:rsid w:val="00A03561"/>
    <w:rsid w:val="00A03D8D"/>
    <w:rsid w:val="00A04F26"/>
    <w:rsid w:val="00A05911"/>
    <w:rsid w:val="00A06011"/>
    <w:rsid w:val="00A06243"/>
    <w:rsid w:val="00A06F02"/>
    <w:rsid w:val="00A06F14"/>
    <w:rsid w:val="00A072CF"/>
    <w:rsid w:val="00A07576"/>
    <w:rsid w:val="00A076C5"/>
    <w:rsid w:val="00A07A23"/>
    <w:rsid w:val="00A07B55"/>
    <w:rsid w:val="00A07D4C"/>
    <w:rsid w:val="00A07E14"/>
    <w:rsid w:val="00A105C0"/>
    <w:rsid w:val="00A105CC"/>
    <w:rsid w:val="00A107CD"/>
    <w:rsid w:val="00A10CB2"/>
    <w:rsid w:val="00A11408"/>
    <w:rsid w:val="00A11487"/>
    <w:rsid w:val="00A115C5"/>
    <w:rsid w:val="00A1167F"/>
    <w:rsid w:val="00A1194F"/>
    <w:rsid w:val="00A11D2B"/>
    <w:rsid w:val="00A1207C"/>
    <w:rsid w:val="00A12CEA"/>
    <w:rsid w:val="00A13542"/>
    <w:rsid w:val="00A13897"/>
    <w:rsid w:val="00A138D9"/>
    <w:rsid w:val="00A139AF"/>
    <w:rsid w:val="00A13AE3"/>
    <w:rsid w:val="00A13D86"/>
    <w:rsid w:val="00A146C4"/>
    <w:rsid w:val="00A14DA7"/>
    <w:rsid w:val="00A14E09"/>
    <w:rsid w:val="00A150D2"/>
    <w:rsid w:val="00A15AB4"/>
    <w:rsid w:val="00A15ACF"/>
    <w:rsid w:val="00A15E39"/>
    <w:rsid w:val="00A16356"/>
    <w:rsid w:val="00A16C5C"/>
    <w:rsid w:val="00A16D12"/>
    <w:rsid w:val="00A1731B"/>
    <w:rsid w:val="00A17333"/>
    <w:rsid w:val="00A17645"/>
    <w:rsid w:val="00A17D80"/>
    <w:rsid w:val="00A17F02"/>
    <w:rsid w:val="00A210E1"/>
    <w:rsid w:val="00A2113D"/>
    <w:rsid w:val="00A21393"/>
    <w:rsid w:val="00A2190A"/>
    <w:rsid w:val="00A21D53"/>
    <w:rsid w:val="00A22FB5"/>
    <w:rsid w:val="00A23176"/>
    <w:rsid w:val="00A23301"/>
    <w:rsid w:val="00A234CB"/>
    <w:rsid w:val="00A24071"/>
    <w:rsid w:val="00A240F7"/>
    <w:rsid w:val="00A24E8F"/>
    <w:rsid w:val="00A2512D"/>
    <w:rsid w:val="00A2525D"/>
    <w:rsid w:val="00A25414"/>
    <w:rsid w:val="00A25656"/>
    <w:rsid w:val="00A258F7"/>
    <w:rsid w:val="00A259CC"/>
    <w:rsid w:val="00A25BE6"/>
    <w:rsid w:val="00A25D82"/>
    <w:rsid w:val="00A2668C"/>
    <w:rsid w:val="00A26B25"/>
    <w:rsid w:val="00A27187"/>
    <w:rsid w:val="00A2727B"/>
    <w:rsid w:val="00A273B4"/>
    <w:rsid w:val="00A27688"/>
    <w:rsid w:val="00A3014A"/>
    <w:rsid w:val="00A30198"/>
    <w:rsid w:val="00A30D95"/>
    <w:rsid w:val="00A30F7D"/>
    <w:rsid w:val="00A311D9"/>
    <w:rsid w:val="00A311DF"/>
    <w:rsid w:val="00A31237"/>
    <w:rsid w:val="00A318F1"/>
    <w:rsid w:val="00A318FB"/>
    <w:rsid w:val="00A31B2C"/>
    <w:rsid w:val="00A32114"/>
    <w:rsid w:val="00A3229E"/>
    <w:rsid w:val="00A32378"/>
    <w:rsid w:val="00A32861"/>
    <w:rsid w:val="00A32C73"/>
    <w:rsid w:val="00A32C96"/>
    <w:rsid w:val="00A33566"/>
    <w:rsid w:val="00A33608"/>
    <w:rsid w:val="00A33A80"/>
    <w:rsid w:val="00A33D63"/>
    <w:rsid w:val="00A33F3D"/>
    <w:rsid w:val="00A341B1"/>
    <w:rsid w:val="00A343D9"/>
    <w:rsid w:val="00A3482F"/>
    <w:rsid w:val="00A348B8"/>
    <w:rsid w:val="00A3514F"/>
    <w:rsid w:val="00A357A6"/>
    <w:rsid w:val="00A35891"/>
    <w:rsid w:val="00A3593F"/>
    <w:rsid w:val="00A35BBA"/>
    <w:rsid w:val="00A35DDE"/>
    <w:rsid w:val="00A36088"/>
    <w:rsid w:val="00A36184"/>
    <w:rsid w:val="00A364F4"/>
    <w:rsid w:val="00A366F3"/>
    <w:rsid w:val="00A36866"/>
    <w:rsid w:val="00A36E12"/>
    <w:rsid w:val="00A36F17"/>
    <w:rsid w:val="00A37118"/>
    <w:rsid w:val="00A378D7"/>
    <w:rsid w:val="00A37F1B"/>
    <w:rsid w:val="00A37FC3"/>
    <w:rsid w:val="00A402BA"/>
    <w:rsid w:val="00A40A3F"/>
    <w:rsid w:val="00A40E53"/>
    <w:rsid w:val="00A410FF"/>
    <w:rsid w:val="00A41125"/>
    <w:rsid w:val="00A413C1"/>
    <w:rsid w:val="00A417F9"/>
    <w:rsid w:val="00A4192D"/>
    <w:rsid w:val="00A41BAA"/>
    <w:rsid w:val="00A4243F"/>
    <w:rsid w:val="00A42C42"/>
    <w:rsid w:val="00A43326"/>
    <w:rsid w:val="00A437F2"/>
    <w:rsid w:val="00A43A56"/>
    <w:rsid w:val="00A43D58"/>
    <w:rsid w:val="00A443AF"/>
    <w:rsid w:val="00A4448A"/>
    <w:rsid w:val="00A44908"/>
    <w:rsid w:val="00A44B8C"/>
    <w:rsid w:val="00A44BC8"/>
    <w:rsid w:val="00A44E20"/>
    <w:rsid w:val="00A45369"/>
    <w:rsid w:val="00A457BA"/>
    <w:rsid w:val="00A45E53"/>
    <w:rsid w:val="00A4635A"/>
    <w:rsid w:val="00A46BA0"/>
    <w:rsid w:val="00A46ED3"/>
    <w:rsid w:val="00A470E3"/>
    <w:rsid w:val="00A477E4"/>
    <w:rsid w:val="00A4797C"/>
    <w:rsid w:val="00A479B7"/>
    <w:rsid w:val="00A5015D"/>
    <w:rsid w:val="00A5038C"/>
    <w:rsid w:val="00A506A9"/>
    <w:rsid w:val="00A50D99"/>
    <w:rsid w:val="00A513AC"/>
    <w:rsid w:val="00A52018"/>
    <w:rsid w:val="00A52039"/>
    <w:rsid w:val="00A5223A"/>
    <w:rsid w:val="00A52336"/>
    <w:rsid w:val="00A52B67"/>
    <w:rsid w:val="00A52D1E"/>
    <w:rsid w:val="00A52D5C"/>
    <w:rsid w:val="00A53543"/>
    <w:rsid w:val="00A5365A"/>
    <w:rsid w:val="00A536E5"/>
    <w:rsid w:val="00A5374C"/>
    <w:rsid w:val="00A53925"/>
    <w:rsid w:val="00A53D1F"/>
    <w:rsid w:val="00A53DE0"/>
    <w:rsid w:val="00A53EE5"/>
    <w:rsid w:val="00A54179"/>
    <w:rsid w:val="00A545B5"/>
    <w:rsid w:val="00A54F9D"/>
    <w:rsid w:val="00A55218"/>
    <w:rsid w:val="00A55349"/>
    <w:rsid w:val="00A55CF2"/>
    <w:rsid w:val="00A55DB4"/>
    <w:rsid w:val="00A55DCC"/>
    <w:rsid w:val="00A56162"/>
    <w:rsid w:val="00A5660E"/>
    <w:rsid w:val="00A569C1"/>
    <w:rsid w:val="00A57BCF"/>
    <w:rsid w:val="00A57DDE"/>
    <w:rsid w:val="00A6077B"/>
    <w:rsid w:val="00A6110B"/>
    <w:rsid w:val="00A6128D"/>
    <w:rsid w:val="00A61426"/>
    <w:rsid w:val="00A614BF"/>
    <w:rsid w:val="00A619FA"/>
    <w:rsid w:val="00A61A67"/>
    <w:rsid w:val="00A61AB7"/>
    <w:rsid w:val="00A61B2D"/>
    <w:rsid w:val="00A62391"/>
    <w:rsid w:val="00A6279E"/>
    <w:rsid w:val="00A627ED"/>
    <w:rsid w:val="00A628D7"/>
    <w:rsid w:val="00A6293D"/>
    <w:rsid w:val="00A62FD9"/>
    <w:rsid w:val="00A63269"/>
    <w:rsid w:val="00A632F9"/>
    <w:rsid w:val="00A63D11"/>
    <w:rsid w:val="00A6423B"/>
    <w:rsid w:val="00A6446F"/>
    <w:rsid w:val="00A645AC"/>
    <w:rsid w:val="00A64907"/>
    <w:rsid w:val="00A64A51"/>
    <w:rsid w:val="00A64E29"/>
    <w:rsid w:val="00A64EDC"/>
    <w:rsid w:val="00A6532F"/>
    <w:rsid w:val="00A65722"/>
    <w:rsid w:val="00A657B6"/>
    <w:rsid w:val="00A65982"/>
    <w:rsid w:val="00A66259"/>
    <w:rsid w:val="00A66277"/>
    <w:rsid w:val="00A66584"/>
    <w:rsid w:val="00A66870"/>
    <w:rsid w:val="00A66B14"/>
    <w:rsid w:val="00A6724E"/>
    <w:rsid w:val="00A677FD"/>
    <w:rsid w:val="00A7020A"/>
    <w:rsid w:val="00A702A5"/>
    <w:rsid w:val="00A702DE"/>
    <w:rsid w:val="00A7050B"/>
    <w:rsid w:val="00A70E36"/>
    <w:rsid w:val="00A711E6"/>
    <w:rsid w:val="00A71D03"/>
    <w:rsid w:val="00A725BD"/>
    <w:rsid w:val="00A72682"/>
    <w:rsid w:val="00A72B26"/>
    <w:rsid w:val="00A72B2D"/>
    <w:rsid w:val="00A72D0B"/>
    <w:rsid w:val="00A72F68"/>
    <w:rsid w:val="00A7327F"/>
    <w:rsid w:val="00A73D31"/>
    <w:rsid w:val="00A74430"/>
    <w:rsid w:val="00A758A6"/>
    <w:rsid w:val="00A75D72"/>
    <w:rsid w:val="00A75DC9"/>
    <w:rsid w:val="00A76563"/>
    <w:rsid w:val="00A765A3"/>
    <w:rsid w:val="00A77110"/>
    <w:rsid w:val="00A80425"/>
    <w:rsid w:val="00A804BE"/>
    <w:rsid w:val="00A8069F"/>
    <w:rsid w:val="00A807D1"/>
    <w:rsid w:val="00A80866"/>
    <w:rsid w:val="00A80A9E"/>
    <w:rsid w:val="00A80AF9"/>
    <w:rsid w:val="00A80C8A"/>
    <w:rsid w:val="00A80FF7"/>
    <w:rsid w:val="00A813BE"/>
    <w:rsid w:val="00A81BC1"/>
    <w:rsid w:val="00A822DC"/>
    <w:rsid w:val="00A82668"/>
    <w:rsid w:val="00A8295B"/>
    <w:rsid w:val="00A82FBB"/>
    <w:rsid w:val="00A83214"/>
    <w:rsid w:val="00A84D7D"/>
    <w:rsid w:val="00A850B0"/>
    <w:rsid w:val="00A85362"/>
    <w:rsid w:val="00A8548D"/>
    <w:rsid w:val="00A85B3C"/>
    <w:rsid w:val="00A85BD4"/>
    <w:rsid w:val="00A86332"/>
    <w:rsid w:val="00A867B6"/>
    <w:rsid w:val="00A868EA"/>
    <w:rsid w:val="00A8697F"/>
    <w:rsid w:val="00A86C19"/>
    <w:rsid w:val="00A8718F"/>
    <w:rsid w:val="00A87301"/>
    <w:rsid w:val="00A8732A"/>
    <w:rsid w:val="00A876C1"/>
    <w:rsid w:val="00A87A8A"/>
    <w:rsid w:val="00A87C7A"/>
    <w:rsid w:val="00A90023"/>
    <w:rsid w:val="00A900F8"/>
    <w:rsid w:val="00A9019A"/>
    <w:rsid w:val="00A90349"/>
    <w:rsid w:val="00A90373"/>
    <w:rsid w:val="00A90621"/>
    <w:rsid w:val="00A90916"/>
    <w:rsid w:val="00A91915"/>
    <w:rsid w:val="00A92583"/>
    <w:rsid w:val="00A92648"/>
    <w:rsid w:val="00A927EB"/>
    <w:rsid w:val="00A93166"/>
    <w:rsid w:val="00A93712"/>
    <w:rsid w:val="00A939B9"/>
    <w:rsid w:val="00A93ACB"/>
    <w:rsid w:val="00A93FF9"/>
    <w:rsid w:val="00A94667"/>
    <w:rsid w:val="00A95470"/>
    <w:rsid w:val="00A95588"/>
    <w:rsid w:val="00A95F2C"/>
    <w:rsid w:val="00A963FE"/>
    <w:rsid w:val="00A9655E"/>
    <w:rsid w:val="00A9694B"/>
    <w:rsid w:val="00A969BB"/>
    <w:rsid w:val="00A97328"/>
    <w:rsid w:val="00A9762C"/>
    <w:rsid w:val="00A979F0"/>
    <w:rsid w:val="00AA0651"/>
    <w:rsid w:val="00AA0952"/>
    <w:rsid w:val="00AA1012"/>
    <w:rsid w:val="00AA14F4"/>
    <w:rsid w:val="00AA1673"/>
    <w:rsid w:val="00AA1677"/>
    <w:rsid w:val="00AA1F03"/>
    <w:rsid w:val="00AA1FE3"/>
    <w:rsid w:val="00AA203E"/>
    <w:rsid w:val="00AA259F"/>
    <w:rsid w:val="00AA26B6"/>
    <w:rsid w:val="00AA2B73"/>
    <w:rsid w:val="00AA2BEA"/>
    <w:rsid w:val="00AA2D36"/>
    <w:rsid w:val="00AA2E87"/>
    <w:rsid w:val="00AA2F54"/>
    <w:rsid w:val="00AA317E"/>
    <w:rsid w:val="00AA31C0"/>
    <w:rsid w:val="00AA393D"/>
    <w:rsid w:val="00AA3FA2"/>
    <w:rsid w:val="00AA4034"/>
    <w:rsid w:val="00AA49D0"/>
    <w:rsid w:val="00AA4B3D"/>
    <w:rsid w:val="00AA4D71"/>
    <w:rsid w:val="00AA4D79"/>
    <w:rsid w:val="00AA5374"/>
    <w:rsid w:val="00AA58FC"/>
    <w:rsid w:val="00AA593A"/>
    <w:rsid w:val="00AA64B4"/>
    <w:rsid w:val="00AA65EF"/>
    <w:rsid w:val="00AA6D25"/>
    <w:rsid w:val="00AA7829"/>
    <w:rsid w:val="00AB038E"/>
    <w:rsid w:val="00AB0500"/>
    <w:rsid w:val="00AB142C"/>
    <w:rsid w:val="00AB15BA"/>
    <w:rsid w:val="00AB1A4E"/>
    <w:rsid w:val="00AB1B6A"/>
    <w:rsid w:val="00AB21A9"/>
    <w:rsid w:val="00AB270E"/>
    <w:rsid w:val="00AB278F"/>
    <w:rsid w:val="00AB297D"/>
    <w:rsid w:val="00AB2B3F"/>
    <w:rsid w:val="00AB3AA0"/>
    <w:rsid w:val="00AB3EBA"/>
    <w:rsid w:val="00AB408F"/>
    <w:rsid w:val="00AB4A3B"/>
    <w:rsid w:val="00AB4F1C"/>
    <w:rsid w:val="00AB52E3"/>
    <w:rsid w:val="00AB5701"/>
    <w:rsid w:val="00AB5F2A"/>
    <w:rsid w:val="00AB6B98"/>
    <w:rsid w:val="00AB7B9B"/>
    <w:rsid w:val="00AB7DE9"/>
    <w:rsid w:val="00AC0152"/>
    <w:rsid w:val="00AC04EF"/>
    <w:rsid w:val="00AC0AAA"/>
    <w:rsid w:val="00AC119C"/>
    <w:rsid w:val="00AC157F"/>
    <w:rsid w:val="00AC1E9A"/>
    <w:rsid w:val="00AC292A"/>
    <w:rsid w:val="00AC2BE2"/>
    <w:rsid w:val="00AC3074"/>
    <w:rsid w:val="00AC3236"/>
    <w:rsid w:val="00AC325A"/>
    <w:rsid w:val="00AC34F1"/>
    <w:rsid w:val="00AC3F00"/>
    <w:rsid w:val="00AC403D"/>
    <w:rsid w:val="00AC4D5E"/>
    <w:rsid w:val="00AC4DDC"/>
    <w:rsid w:val="00AC4DDD"/>
    <w:rsid w:val="00AC53BB"/>
    <w:rsid w:val="00AC552D"/>
    <w:rsid w:val="00AC584D"/>
    <w:rsid w:val="00AC5B3A"/>
    <w:rsid w:val="00AC6B33"/>
    <w:rsid w:val="00AC73DF"/>
    <w:rsid w:val="00AC7A35"/>
    <w:rsid w:val="00AC7AE6"/>
    <w:rsid w:val="00AC7BE2"/>
    <w:rsid w:val="00AD012F"/>
    <w:rsid w:val="00AD0452"/>
    <w:rsid w:val="00AD067F"/>
    <w:rsid w:val="00AD0845"/>
    <w:rsid w:val="00AD0D17"/>
    <w:rsid w:val="00AD10EF"/>
    <w:rsid w:val="00AD118D"/>
    <w:rsid w:val="00AD17AB"/>
    <w:rsid w:val="00AD1DFA"/>
    <w:rsid w:val="00AD209B"/>
    <w:rsid w:val="00AD2240"/>
    <w:rsid w:val="00AD24A1"/>
    <w:rsid w:val="00AD2D96"/>
    <w:rsid w:val="00AD36AB"/>
    <w:rsid w:val="00AD3AED"/>
    <w:rsid w:val="00AD3F49"/>
    <w:rsid w:val="00AD424B"/>
    <w:rsid w:val="00AD43A6"/>
    <w:rsid w:val="00AD547D"/>
    <w:rsid w:val="00AD5D4C"/>
    <w:rsid w:val="00AD61A9"/>
    <w:rsid w:val="00AD6654"/>
    <w:rsid w:val="00AD7713"/>
    <w:rsid w:val="00AD7FC5"/>
    <w:rsid w:val="00AE02E8"/>
    <w:rsid w:val="00AE06AB"/>
    <w:rsid w:val="00AE0A8A"/>
    <w:rsid w:val="00AE0BA2"/>
    <w:rsid w:val="00AE0BD6"/>
    <w:rsid w:val="00AE0E7A"/>
    <w:rsid w:val="00AE1266"/>
    <w:rsid w:val="00AE15A5"/>
    <w:rsid w:val="00AE176D"/>
    <w:rsid w:val="00AE194A"/>
    <w:rsid w:val="00AE1D3E"/>
    <w:rsid w:val="00AE1FA8"/>
    <w:rsid w:val="00AE229E"/>
    <w:rsid w:val="00AE2613"/>
    <w:rsid w:val="00AE2BC8"/>
    <w:rsid w:val="00AE2E74"/>
    <w:rsid w:val="00AE3A61"/>
    <w:rsid w:val="00AE440F"/>
    <w:rsid w:val="00AE465F"/>
    <w:rsid w:val="00AE533E"/>
    <w:rsid w:val="00AE6439"/>
    <w:rsid w:val="00AE65D8"/>
    <w:rsid w:val="00AE6808"/>
    <w:rsid w:val="00AE6FD0"/>
    <w:rsid w:val="00AE70DF"/>
    <w:rsid w:val="00AE74A9"/>
    <w:rsid w:val="00AE7816"/>
    <w:rsid w:val="00AE7B94"/>
    <w:rsid w:val="00AF0BDD"/>
    <w:rsid w:val="00AF18BE"/>
    <w:rsid w:val="00AF1F5F"/>
    <w:rsid w:val="00AF335D"/>
    <w:rsid w:val="00AF3570"/>
    <w:rsid w:val="00AF3C81"/>
    <w:rsid w:val="00AF3E6F"/>
    <w:rsid w:val="00AF40D0"/>
    <w:rsid w:val="00AF45ED"/>
    <w:rsid w:val="00AF464D"/>
    <w:rsid w:val="00AF567F"/>
    <w:rsid w:val="00AF60FB"/>
    <w:rsid w:val="00AF6421"/>
    <w:rsid w:val="00AF6565"/>
    <w:rsid w:val="00AF6618"/>
    <w:rsid w:val="00AF6B56"/>
    <w:rsid w:val="00AF6E55"/>
    <w:rsid w:val="00AF7B21"/>
    <w:rsid w:val="00B00A57"/>
    <w:rsid w:val="00B010AB"/>
    <w:rsid w:val="00B016C5"/>
    <w:rsid w:val="00B020A4"/>
    <w:rsid w:val="00B022CD"/>
    <w:rsid w:val="00B02382"/>
    <w:rsid w:val="00B02922"/>
    <w:rsid w:val="00B0300F"/>
    <w:rsid w:val="00B03079"/>
    <w:rsid w:val="00B0310E"/>
    <w:rsid w:val="00B03FEB"/>
    <w:rsid w:val="00B03FF9"/>
    <w:rsid w:val="00B043DF"/>
    <w:rsid w:val="00B04869"/>
    <w:rsid w:val="00B048B9"/>
    <w:rsid w:val="00B04F3C"/>
    <w:rsid w:val="00B04F4C"/>
    <w:rsid w:val="00B04FDE"/>
    <w:rsid w:val="00B06AFF"/>
    <w:rsid w:val="00B06E45"/>
    <w:rsid w:val="00B06F8D"/>
    <w:rsid w:val="00B0704F"/>
    <w:rsid w:val="00B070A3"/>
    <w:rsid w:val="00B070D0"/>
    <w:rsid w:val="00B072C6"/>
    <w:rsid w:val="00B073A4"/>
    <w:rsid w:val="00B10168"/>
    <w:rsid w:val="00B10A46"/>
    <w:rsid w:val="00B10E78"/>
    <w:rsid w:val="00B10EB4"/>
    <w:rsid w:val="00B114DB"/>
    <w:rsid w:val="00B124EB"/>
    <w:rsid w:val="00B12541"/>
    <w:rsid w:val="00B12FC2"/>
    <w:rsid w:val="00B132D9"/>
    <w:rsid w:val="00B13424"/>
    <w:rsid w:val="00B1360C"/>
    <w:rsid w:val="00B13A93"/>
    <w:rsid w:val="00B13C34"/>
    <w:rsid w:val="00B13DE4"/>
    <w:rsid w:val="00B1424D"/>
    <w:rsid w:val="00B14A52"/>
    <w:rsid w:val="00B14C22"/>
    <w:rsid w:val="00B15110"/>
    <w:rsid w:val="00B155AC"/>
    <w:rsid w:val="00B15B12"/>
    <w:rsid w:val="00B1628C"/>
    <w:rsid w:val="00B1628D"/>
    <w:rsid w:val="00B16755"/>
    <w:rsid w:val="00B16CCE"/>
    <w:rsid w:val="00B16EF6"/>
    <w:rsid w:val="00B17437"/>
    <w:rsid w:val="00B2005E"/>
    <w:rsid w:val="00B2014C"/>
    <w:rsid w:val="00B2037F"/>
    <w:rsid w:val="00B20B74"/>
    <w:rsid w:val="00B20D7E"/>
    <w:rsid w:val="00B21282"/>
    <w:rsid w:val="00B21496"/>
    <w:rsid w:val="00B2180B"/>
    <w:rsid w:val="00B21F79"/>
    <w:rsid w:val="00B220BF"/>
    <w:rsid w:val="00B2222A"/>
    <w:rsid w:val="00B225A8"/>
    <w:rsid w:val="00B22992"/>
    <w:rsid w:val="00B229FA"/>
    <w:rsid w:val="00B237F0"/>
    <w:rsid w:val="00B23916"/>
    <w:rsid w:val="00B23B34"/>
    <w:rsid w:val="00B23E67"/>
    <w:rsid w:val="00B253BA"/>
    <w:rsid w:val="00B25630"/>
    <w:rsid w:val="00B25643"/>
    <w:rsid w:val="00B25806"/>
    <w:rsid w:val="00B25D9B"/>
    <w:rsid w:val="00B26BBA"/>
    <w:rsid w:val="00B26ECE"/>
    <w:rsid w:val="00B2701A"/>
    <w:rsid w:val="00B2754D"/>
    <w:rsid w:val="00B30530"/>
    <w:rsid w:val="00B306E9"/>
    <w:rsid w:val="00B30C77"/>
    <w:rsid w:val="00B30EE6"/>
    <w:rsid w:val="00B313F2"/>
    <w:rsid w:val="00B31AEC"/>
    <w:rsid w:val="00B31B0E"/>
    <w:rsid w:val="00B31CC9"/>
    <w:rsid w:val="00B31EEE"/>
    <w:rsid w:val="00B32683"/>
    <w:rsid w:val="00B3277D"/>
    <w:rsid w:val="00B3307C"/>
    <w:rsid w:val="00B33438"/>
    <w:rsid w:val="00B337CB"/>
    <w:rsid w:val="00B33C54"/>
    <w:rsid w:val="00B33D35"/>
    <w:rsid w:val="00B344A4"/>
    <w:rsid w:val="00B34864"/>
    <w:rsid w:val="00B34AE1"/>
    <w:rsid w:val="00B34C70"/>
    <w:rsid w:val="00B35223"/>
    <w:rsid w:val="00B352C3"/>
    <w:rsid w:val="00B35857"/>
    <w:rsid w:val="00B35866"/>
    <w:rsid w:val="00B35A75"/>
    <w:rsid w:val="00B35C1A"/>
    <w:rsid w:val="00B360EA"/>
    <w:rsid w:val="00B361A4"/>
    <w:rsid w:val="00B36496"/>
    <w:rsid w:val="00B369DC"/>
    <w:rsid w:val="00B36C00"/>
    <w:rsid w:val="00B36CF7"/>
    <w:rsid w:val="00B36EDE"/>
    <w:rsid w:val="00B370DB"/>
    <w:rsid w:val="00B372BC"/>
    <w:rsid w:val="00B37B0A"/>
    <w:rsid w:val="00B41356"/>
    <w:rsid w:val="00B41392"/>
    <w:rsid w:val="00B41BA3"/>
    <w:rsid w:val="00B41CCD"/>
    <w:rsid w:val="00B42469"/>
    <w:rsid w:val="00B43456"/>
    <w:rsid w:val="00B435CF"/>
    <w:rsid w:val="00B43E6C"/>
    <w:rsid w:val="00B4403B"/>
    <w:rsid w:val="00B4412E"/>
    <w:rsid w:val="00B441EF"/>
    <w:rsid w:val="00B44219"/>
    <w:rsid w:val="00B44510"/>
    <w:rsid w:val="00B44841"/>
    <w:rsid w:val="00B449C7"/>
    <w:rsid w:val="00B45593"/>
    <w:rsid w:val="00B45CD7"/>
    <w:rsid w:val="00B45E44"/>
    <w:rsid w:val="00B4605F"/>
    <w:rsid w:val="00B46BAB"/>
    <w:rsid w:val="00B46C09"/>
    <w:rsid w:val="00B4725E"/>
    <w:rsid w:val="00B47392"/>
    <w:rsid w:val="00B47988"/>
    <w:rsid w:val="00B47F57"/>
    <w:rsid w:val="00B504E3"/>
    <w:rsid w:val="00B50528"/>
    <w:rsid w:val="00B50788"/>
    <w:rsid w:val="00B50C7B"/>
    <w:rsid w:val="00B50E17"/>
    <w:rsid w:val="00B50F67"/>
    <w:rsid w:val="00B512E6"/>
    <w:rsid w:val="00B51304"/>
    <w:rsid w:val="00B5138A"/>
    <w:rsid w:val="00B513AE"/>
    <w:rsid w:val="00B51738"/>
    <w:rsid w:val="00B51968"/>
    <w:rsid w:val="00B51A21"/>
    <w:rsid w:val="00B51A58"/>
    <w:rsid w:val="00B51C65"/>
    <w:rsid w:val="00B51D63"/>
    <w:rsid w:val="00B522AC"/>
    <w:rsid w:val="00B523A1"/>
    <w:rsid w:val="00B52AA5"/>
    <w:rsid w:val="00B52E94"/>
    <w:rsid w:val="00B53356"/>
    <w:rsid w:val="00B53A2A"/>
    <w:rsid w:val="00B53DDD"/>
    <w:rsid w:val="00B54825"/>
    <w:rsid w:val="00B54CB0"/>
    <w:rsid w:val="00B54D1A"/>
    <w:rsid w:val="00B54E0A"/>
    <w:rsid w:val="00B5530E"/>
    <w:rsid w:val="00B5547C"/>
    <w:rsid w:val="00B55F2A"/>
    <w:rsid w:val="00B55F6B"/>
    <w:rsid w:val="00B57000"/>
    <w:rsid w:val="00B570B6"/>
    <w:rsid w:val="00B574E3"/>
    <w:rsid w:val="00B57854"/>
    <w:rsid w:val="00B6007B"/>
    <w:rsid w:val="00B6033D"/>
    <w:rsid w:val="00B604EC"/>
    <w:rsid w:val="00B61224"/>
    <w:rsid w:val="00B6145D"/>
    <w:rsid w:val="00B61589"/>
    <w:rsid w:val="00B61807"/>
    <w:rsid w:val="00B61A4B"/>
    <w:rsid w:val="00B61DA2"/>
    <w:rsid w:val="00B61E5C"/>
    <w:rsid w:val="00B62042"/>
    <w:rsid w:val="00B62250"/>
    <w:rsid w:val="00B626F2"/>
    <w:rsid w:val="00B62E13"/>
    <w:rsid w:val="00B646DA"/>
    <w:rsid w:val="00B647ED"/>
    <w:rsid w:val="00B6540A"/>
    <w:rsid w:val="00B65D85"/>
    <w:rsid w:val="00B667CC"/>
    <w:rsid w:val="00B66A83"/>
    <w:rsid w:val="00B66CE2"/>
    <w:rsid w:val="00B66E61"/>
    <w:rsid w:val="00B670F2"/>
    <w:rsid w:val="00B671AF"/>
    <w:rsid w:val="00B674E1"/>
    <w:rsid w:val="00B67C7F"/>
    <w:rsid w:val="00B67D0B"/>
    <w:rsid w:val="00B67E6E"/>
    <w:rsid w:val="00B70054"/>
    <w:rsid w:val="00B703A4"/>
    <w:rsid w:val="00B7064B"/>
    <w:rsid w:val="00B711AA"/>
    <w:rsid w:val="00B7154E"/>
    <w:rsid w:val="00B71755"/>
    <w:rsid w:val="00B7181A"/>
    <w:rsid w:val="00B71E17"/>
    <w:rsid w:val="00B7298A"/>
    <w:rsid w:val="00B73179"/>
    <w:rsid w:val="00B736CD"/>
    <w:rsid w:val="00B7426E"/>
    <w:rsid w:val="00B74CAB"/>
    <w:rsid w:val="00B74F5C"/>
    <w:rsid w:val="00B75277"/>
    <w:rsid w:val="00B7546E"/>
    <w:rsid w:val="00B757E5"/>
    <w:rsid w:val="00B75BF6"/>
    <w:rsid w:val="00B76455"/>
    <w:rsid w:val="00B76970"/>
    <w:rsid w:val="00B77082"/>
    <w:rsid w:val="00B77342"/>
    <w:rsid w:val="00B775D7"/>
    <w:rsid w:val="00B7776A"/>
    <w:rsid w:val="00B77A01"/>
    <w:rsid w:val="00B77D66"/>
    <w:rsid w:val="00B77EC7"/>
    <w:rsid w:val="00B8003D"/>
    <w:rsid w:val="00B8013E"/>
    <w:rsid w:val="00B804E8"/>
    <w:rsid w:val="00B80E10"/>
    <w:rsid w:val="00B81E6D"/>
    <w:rsid w:val="00B82142"/>
    <w:rsid w:val="00B82228"/>
    <w:rsid w:val="00B8252C"/>
    <w:rsid w:val="00B82AA3"/>
    <w:rsid w:val="00B82CE9"/>
    <w:rsid w:val="00B83073"/>
    <w:rsid w:val="00B83AE9"/>
    <w:rsid w:val="00B83C5A"/>
    <w:rsid w:val="00B83E33"/>
    <w:rsid w:val="00B8403A"/>
    <w:rsid w:val="00B853E8"/>
    <w:rsid w:val="00B858F4"/>
    <w:rsid w:val="00B85905"/>
    <w:rsid w:val="00B85D70"/>
    <w:rsid w:val="00B85DB8"/>
    <w:rsid w:val="00B85FD8"/>
    <w:rsid w:val="00B86BAD"/>
    <w:rsid w:val="00B86C19"/>
    <w:rsid w:val="00B86E19"/>
    <w:rsid w:val="00B86EFB"/>
    <w:rsid w:val="00B870FE"/>
    <w:rsid w:val="00B87360"/>
    <w:rsid w:val="00B873C4"/>
    <w:rsid w:val="00B8743D"/>
    <w:rsid w:val="00B87631"/>
    <w:rsid w:val="00B87B1A"/>
    <w:rsid w:val="00B87CC2"/>
    <w:rsid w:val="00B87FB4"/>
    <w:rsid w:val="00B900F9"/>
    <w:rsid w:val="00B90524"/>
    <w:rsid w:val="00B9055A"/>
    <w:rsid w:val="00B908E4"/>
    <w:rsid w:val="00B90A36"/>
    <w:rsid w:val="00B91542"/>
    <w:rsid w:val="00B91C8F"/>
    <w:rsid w:val="00B91EA6"/>
    <w:rsid w:val="00B91EE0"/>
    <w:rsid w:val="00B91EF4"/>
    <w:rsid w:val="00B92110"/>
    <w:rsid w:val="00B92DDD"/>
    <w:rsid w:val="00B93016"/>
    <w:rsid w:val="00B933A9"/>
    <w:rsid w:val="00B93688"/>
    <w:rsid w:val="00B94092"/>
    <w:rsid w:val="00B94149"/>
    <w:rsid w:val="00B9419B"/>
    <w:rsid w:val="00B94563"/>
    <w:rsid w:val="00B946B2"/>
    <w:rsid w:val="00B9486D"/>
    <w:rsid w:val="00B9495C"/>
    <w:rsid w:val="00B957CB"/>
    <w:rsid w:val="00B964A6"/>
    <w:rsid w:val="00B96917"/>
    <w:rsid w:val="00B96B2A"/>
    <w:rsid w:val="00B96B78"/>
    <w:rsid w:val="00B96BE6"/>
    <w:rsid w:val="00B97B69"/>
    <w:rsid w:val="00BA10A2"/>
    <w:rsid w:val="00BA1157"/>
    <w:rsid w:val="00BA1402"/>
    <w:rsid w:val="00BA1A3F"/>
    <w:rsid w:val="00BA2105"/>
    <w:rsid w:val="00BA255E"/>
    <w:rsid w:val="00BA2B9A"/>
    <w:rsid w:val="00BA3BAB"/>
    <w:rsid w:val="00BA41DD"/>
    <w:rsid w:val="00BA46EF"/>
    <w:rsid w:val="00BA47A3"/>
    <w:rsid w:val="00BA4E92"/>
    <w:rsid w:val="00BA4F1B"/>
    <w:rsid w:val="00BA5D98"/>
    <w:rsid w:val="00BA60B5"/>
    <w:rsid w:val="00BA6229"/>
    <w:rsid w:val="00BA6CF2"/>
    <w:rsid w:val="00BA72CC"/>
    <w:rsid w:val="00BA73E3"/>
    <w:rsid w:val="00BA77D1"/>
    <w:rsid w:val="00BA78BF"/>
    <w:rsid w:val="00BA7C92"/>
    <w:rsid w:val="00BA7E47"/>
    <w:rsid w:val="00BA7ED4"/>
    <w:rsid w:val="00BB06A9"/>
    <w:rsid w:val="00BB071E"/>
    <w:rsid w:val="00BB085A"/>
    <w:rsid w:val="00BB0A67"/>
    <w:rsid w:val="00BB0B80"/>
    <w:rsid w:val="00BB0CC0"/>
    <w:rsid w:val="00BB0D52"/>
    <w:rsid w:val="00BB1566"/>
    <w:rsid w:val="00BB21AE"/>
    <w:rsid w:val="00BB2E9F"/>
    <w:rsid w:val="00BB2EE1"/>
    <w:rsid w:val="00BB2F50"/>
    <w:rsid w:val="00BB3087"/>
    <w:rsid w:val="00BB36A5"/>
    <w:rsid w:val="00BB37EA"/>
    <w:rsid w:val="00BB3BBC"/>
    <w:rsid w:val="00BB4126"/>
    <w:rsid w:val="00BB43C5"/>
    <w:rsid w:val="00BB441E"/>
    <w:rsid w:val="00BB44B7"/>
    <w:rsid w:val="00BB4B30"/>
    <w:rsid w:val="00BB4C00"/>
    <w:rsid w:val="00BB4C9B"/>
    <w:rsid w:val="00BB51E7"/>
    <w:rsid w:val="00BB554C"/>
    <w:rsid w:val="00BB599D"/>
    <w:rsid w:val="00BB59D1"/>
    <w:rsid w:val="00BB5A60"/>
    <w:rsid w:val="00BB5D5D"/>
    <w:rsid w:val="00BB626A"/>
    <w:rsid w:val="00BB6804"/>
    <w:rsid w:val="00BB7022"/>
    <w:rsid w:val="00BB7332"/>
    <w:rsid w:val="00BB7578"/>
    <w:rsid w:val="00BB7699"/>
    <w:rsid w:val="00BB770F"/>
    <w:rsid w:val="00BB7AEC"/>
    <w:rsid w:val="00BB7F42"/>
    <w:rsid w:val="00BC05DD"/>
    <w:rsid w:val="00BC06EE"/>
    <w:rsid w:val="00BC1306"/>
    <w:rsid w:val="00BC1478"/>
    <w:rsid w:val="00BC1A7A"/>
    <w:rsid w:val="00BC2614"/>
    <w:rsid w:val="00BC2B3B"/>
    <w:rsid w:val="00BC32CC"/>
    <w:rsid w:val="00BC363A"/>
    <w:rsid w:val="00BC3684"/>
    <w:rsid w:val="00BC4439"/>
    <w:rsid w:val="00BC51F6"/>
    <w:rsid w:val="00BC535F"/>
    <w:rsid w:val="00BC54A0"/>
    <w:rsid w:val="00BC563A"/>
    <w:rsid w:val="00BC6420"/>
    <w:rsid w:val="00BC6A7C"/>
    <w:rsid w:val="00BC6C37"/>
    <w:rsid w:val="00BC6C4F"/>
    <w:rsid w:val="00BC6EC7"/>
    <w:rsid w:val="00BC6F03"/>
    <w:rsid w:val="00BC7197"/>
    <w:rsid w:val="00BC7BAA"/>
    <w:rsid w:val="00BC7D40"/>
    <w:rsid w:val="00BC7E4A"/>
    <w:rsid w:val="00BC7EAF"/>
    <w:rsid w:val="00BD057E"/>
    <w:rsid w:val="00BD0917"/>
    <w:rsid w:val="00BD1082"/>
    <w:rsid w:val="00BD1A7F"/>
    <w:rsid w:val="00BD23A9"/>
    <w:rsid w:val="00BD2590"/>
    <w:rsid w:val="00BD2714"/>
    <w:rsid w:val="00BD2DE8"/>
    <w:rsid w:val="00BD37E8"/>
    <w:rsid w:val="00BD53F2"/>
    <w:rsid w:val="00BD5C10"/>
    <w:rsid w:val="00BD619C"/>
    <w:rsid w:val="00BD72A1"/>
    <w:rsid w:val="00BD7AEB"/>
    <w:rsid w:val="00BE083A"/>
    <w:rsid w:val="00BE2588"/>
    <w:rsid w:val="00BE279E"/>
    <w:rsid w:val="00BE2925"/>
    <w:rsid w:val="00BE2DC1"/>
    <w:rsid w:val="00BE2EAE"/>
    <w:rsid w:val="00BE2FAE"/>
    <w:rsid w:val="00BE3381"/>
    <w:rsid w:val="00BE33D8"/>
    <w:rsid w:val="00BE354E"/>
    <w:rsid w:val="00BE466A"/>
    <w:rsid w:val="00BE4DC4"/>
    <w:rsid w:val="00BE4E13"/>
    <w:rsid w:val="00BE4E92"/>
    <w:rsid w:val="00BE598C"/>
    <w:rsid w:val="00BE604C"/>
    <w:rsid w:val="00BE6228"/>
    <w:rsid w:val="00BE6510"/>
    <w:rsid w:val="00BE669E"/>
    <w:rsid w:val="00BE6869"/>
    <w:rsid w:val="00BE76B4"/>
    <w:rsid w:val="00BE7D55"/>
    <w:rsid w:val="00BF0005"/>
    <w:rsid w:val="00BF02C0"/>
    <w:rsid w:val="00BF0405"/>
    <w:rsid w:val="00BF0A71"/>
    <w:rsid w:val="00BF13CA"/>
    <w:rsid w:val="00BF13D7"/>
    <w:rsid w:val="00BF1684"/>
    <w:rsid w:val="00BF1DBA"/>
    <w:rsid w:val="00BF1DE1"/>
    <w:rsid w:val="00BF2580"/>
    <w:rsid w:val="00BF2C9A"/>
    <w:rsid w:val="00BF31E1"/>
    <w:rsid w:val="00BF32AA"/>
    <w:rsid w:val="00BF3A32"/>
    <w:rsid w:val="00BF3BF8"/>
    <w:rsid w:val="00BF3D85"/>
    <w:rsid w:val="00BF3F5B"/>
    <w:rsid w:val="00BF4AD5"/>
    <w:rsid w:val="00BF5403"/>
    <w:rsid w:val="00BF5451"/>
    <w:rsid w:val="00BF5CC9"/>
    <w:rsid w:val="00BF5D31"/>
    <w:rsid w:val="00BF6267"/>
    <w:rsid w:val="00BF677A"/>
    <w:rsid w:val="00BF6990"/>
    <w:rsid w:val="00BF6C1B"/>
    <w:rsid w:val="00BF6EF0"/>
    <w:rsid w:val="00BF70A8"/>
    <w:rsid w:val="00BF78C8"/>
    <w:rsid w:val="00C0018B"/>
    <w:rsid w:val="00C00212"/>
    <w:rsid w:val="00C00493"/>
    <w:rsid w:val="00C00677"/>
    <w:rsid w:val="00C01340"/>
    <w:rsid w:val="00C01D2C"/>
    <w:rsid w:val="00C0217B"/>
    <w:rsid w:val="00C02617"/>
    <w:rsid w:val="00C028ED"/>
    <w:rsid w:val="00C02A6F"/>
    <w:rsid w:val="00C02C59"/>
    <w:rsid w:val="00C0312A"/>
    <w:rsid w:val="00C0354F"/>
    <w:rsid w:val="00C04383"/>
    <w:rsid w:val="00C04DE9"/>
    <w:rsid w:val="00C05876"/>
    <w:rsid w:val="00C05985"/>
    <w:rsid w:val="00C06161"/>
    <w:rsid w:val="00C06A48"/>
    <w:rsid w:val="00C07913"/>
    <w:rsid w:val="00C07B0D"/>
    <w:rsid w:val="00C07CAE"/>
    <w:rsid w:val="00C10FBB"/>
    <w:rsid w:val="00C113CD"/>
    <w:rsid w:val="00C11B96"/>
    <w:rsid w:val="00C11F84"/>
    <w:rsid w:val="00C122F1"/>
    <w:rsid w:val="00C12661"/>
    <w:rsid w:val="00C12DEA"/>
    <w:rsid w:val="00C139E9"/>
    <w:rsid w:val="00C14429"/>
    <w:rsid w:val="00C1469B"/>
    <w:rsid w:val="00C14B3C"/>
    <w:rsid w:val="00C14FA2"/>
    <w:rsid w:val="00C15146"/>
    <w:rsid w:val="00C15513"/>
    <w:rsid w:val="00C157B0"/>
    <w:rsid w:val="00C15D6D"/>
    <w:rsid w:val="00C1615F"/>
    <w:rsid w:val="00C169D9"/>
    <w:rsid w:val="00C170CD"/>
    <w:rsid w:val="00C17D65"/>
    <w:rsid w:val="00C2028A"/>
    <w:rsid w:val="00C20679"/>
    <w:rsid w:val="00C20BC1"/>
    <w:rsid w:val="00C21C75"/>
    <w:rsid w:val="00C21EC2"/>
    <w:rsid w:val="00C2315E"/>
    <w:rsid w:val="00C23A9E"/>
    <w:rsid w:val="00C24527"/>
    <w:rsid w:val="00C24E11"/>
    <w:rsid w:val="00C24EE5"/>
    <w:rsid w:val="00C255F9"/>
    <w:rsid w:val="00C25A13"/>
    <w:rsid w:val="00C25EED"/>
    <w:rsid w:val="00C261FA"/>
    <w:rsid w:val="00C265B9"/>
    <w:rsid w:val="00C26999"/>
    <w:rsid w:val="00C26BFB"/>
    <w:rsid w:val="00C2779B"/>
    <w:rsid w:val="00C30D68"/>
    <w:rsid w:val="00C310D8"/>
    <w:rsid w:val="00C3170F"/>
    <w:rsid w:val="00C31A6D"/>
    <w:rsid w:val="00C31AC1"/>
    <w:rsid w:val="00C31BB9"/>
    <w:rsid w:val="00C326AD"/>
    <w:rsid w:val="00C33416"/>
    <w:rsid w:val="00C33735"/>
    <w:rsid w:val="00C34615"/>
    <w:rsid w:val="00C35262"/>
    <w:rsid w:val="00C355DE"/>
    <w:rsid w:val="00C35743"/>
    <w:rsid w:val="00C3579F"/>
    <w:rsid w:val="00C363DC"/>
    <w:rsid w:val="00C36793"/>
    <w:rsid w:val="00C37190"/>
    <w:rsid w:val="00C37B63"/>
    <w:rsid w:val="00C37EE9"/>
    <w:rsid w:val="00C4072B"/>
    <w:rsid w:val="00C4074E"/>
    <w:rsid w:val="00C40A87"/>
    <w:rsid w:val="00C40DD7"/>
    <w:rsid w:val="00C4116E"/>
    <w:rsid w:val="00C412B1"/>
    <w:rsid w:val="00C4171D"/>
    <w:rsid w:val="00C41975"/>
    <w:rsid w:val="00C42077"/>
    <w:rsid w:val="00C420A5"/>
    <w:rsid w:val="00C42395"/>
    <w:rsid w:val="00C42C8E"/>
    <w:rsid w:val="00C42DAD"/>
    <w:rsid w:val="00C42DC5"/>
    <w:rsid w:val="00C43087"/>
    <w:rsid w:val="00C43834"/>
    <w:rsid w:val="00C43858"/>
    <w:rsid w:val="00C43875"/>
    <w:rsid w:val="00C43A0A"/>
    <w:rsid w:val="00C43EA5"/>
    <w:rsid w:val="00C444E9"/>
    <w:rsid w:val="00C448A7"/>
    <w:rsid w:val="00C4594B"/>
    <w:rsid w:val="00C45EA0"/>
    <w:rsid w:val="00C46219"/>
    <w:rsid w:val="00C46CB2"/>
    <w:rsid w:val="00C46CD0"/>
    <w:rsid w:val="00C46CE8"/>
    <w:rsid w:val="00C46DB3"/>
    <w:rsid w:val="00C46DF8"/>
    <w:rsid w:val="00C46F32"/>
    <w:rsid w:val="00C4701A"/>
    <w:rsid w:val="00C47784"/>
    <w:rsid w:val="00C4790E"/>
    <w:rsid w:val="00C47C3A"/>
    <w:rsid w:val="00C47E65"/>
    <w:rsid w:val="00C47FFD"/>
    <w:rsid w:val="00C50160"/>
    <w:rsid w:val="00C5057A"/>
    <w:rsid w:val="00C50907"/>
    <w:rsid w:val="00C50BE6"/>
    <w:rsid w:val="00C5119C"/>
    <w:rsid w:val="00C512AE"/>
    <w:rsid w:val="00C51AE5"/>
    <w:rsid w:val="00C51CFC"/>
    <w:rsid w:val="00C51FE9"/>
    <w:rsid w:val="00C526DC"/>
    <w:rsid w:val="00C52BE0"/>
    <w:rsid w:val="00C53470"/>
    <w:rsid w:val="00C53480"/>
    <w:rsid w:val="00C53CFC"/>
    <w:rsid w:val="00C54416"/>
    <w:rsid w:val="00C54727"/>
    <w:rsid w:val="00C54B16"/>
    <w:rsid w:val="00C54B42"/>
    <w:rsid w:val="00C54D4A"/>
    <w:rsid w:val="00C54EFD"/>
    <w:rsid w:val="00C54F66"/>
    <w:rsid w:val="00C5502E"/>
    <w:rsid w:val="00C55683"/>
    <w:rsid w:val="00C55AB9"/>
    <w:rsid w:val="00C55B02"/>
    <w:rsid w:val="00C56393"/>
    <w:rsid w:val="00C565E4"/>
    <w:rsid w:val="00C56D45"/>
    <w:rsid w:val="00C56E30"/>
    <w:rsid w:val="00C56F6F"/>
    <w:rsid w:val="00C56FCC"/>
    <w:rsid w:val="00C60E59"/>
    <w:rsid w:val="00C612DD"/>
    <w:rsid w:val="00C623E0"/>
    <w:rsid w:val="00C624B2"/>
    <w:rsid w:val="00C62612"/>
    <w:rsid w:val="00C62759"/>
    <w:rsid w:val="00C627FD"/>
    <w:rsid w:val="00C62833"/>
    <w:rsid w:val="00C6309B"/>
    <w:rsid w:val="00C6394A"/>
    <w:rsid w:val="00C63F70"/>
    <w:rsid w:val="00C641D7"/>
    <w:rsid w:val="00C64A1B"/>
    <w:rsid w:val="00C64AF0"/>
    <w:rsid w:val="00C65498"/>
    <w:rsid w:val="00C669A0"/>
    <w:rsid w:val="00C669EB"/>
    <w:rsid w:val="00C66D3F"/>
    <w:rsid w:val="00C66E1D"/>
    <w:rsid w:val="00C67322"/>
    <w:rsid w:val="00C676D0"/>
    <w:rsid w:val="00C67860"/>
    <w:rsid w:val="00C67BBA"/>
    <w:rsid w:val="00C67FB6"/>
    <w:rsid w:val="00C70818"/>
    <w:rsid w:val="00C70EEC"/>
    <w:rsid w:val="00C713B1"/>
    <w:rsid w:val="00C7185E"/>
    <w:rsid w:val="00C71B4C"/>
    <w:rsid w:val="00C71FDF"/>
    <w:rsid w:val="00C72A50"/>
    <w:rsid w:val="00C72C0F"/>
    <w:rsid w:val="00C73510"/>
    <w:rsid w:val="00C73B46"/>
    <w:rsid w:val="00C73B60"/>
    <w:rsid w:val="00C73DFB"/>
    <w:rsid w:val="00C74236"/>
    <w:rsid w:val="00C7438C"/>
    <w:rsid w:val="00C7451B"/>
    <w:rsid w:val="00C74CDB"/>
    <w:rsid w:val="00C750E8"/>
    <w:rsid w:val="00C75108"/>
    <w:rsid w:val="00C75393"/>
    <w:rsid w:val="00C759A7"/>
    <w:rsid w:val="00C760A4"/>
    <w:rsid w:val="00C76690"/>
    <w:rsid w:val="00C770AF"/>
    <w:rsid w:val="00C776ED"/>
    <w:rsid w:val="00C77AD3"/>
    <w:rsid w:val="00C80FC2"/>
    <w:rsid w:val="00C81640"/>
    <w:rsid w:val="00C81D42"/>
    <w:rsid w:val="00C82465"/>
    <w:rsid w:val="00C82550"/>
    <w:rsid w:val="00C82801"/>
    <w:rsid w:val="00C82A6C"/>
    <w:rsid w:val="00C83127"/>
    <w:rsid w:val="00C8337F"/>
    <w:rsid w:val="00C835EA"/>
    <w:rsid w:val="00C83EEB"/>
    <w:rsid w:val="00C83FE9"/>
    <w:rsid w:val="00C84606"/>
    <w:rsid w:val="00C849E8"/>
    <w:rsid w:val="00C84A44"/>
    <w:rsid w:val="00C84DCC"/>
    <w:rsid w:val="00C84E17"/>
    <w:rsid w:val="00C8564F"/>
    <w:rsid w:val="00C857D7"/>
    <w:rsid w:val="00C85C1D"/>
    <w:rsid w:val="00C860B2"/>
    <w:rsid w:val="00C860CF"/>
    <w:rsid w:val="00C86EE3"/>
    <w:rsid w:val="00C87A77"/>
    <w:rsid w:val="00C87B51"/>
    <w:rsid w:val="00C9031B"/>
    <w:rsid w:val="00C90A85"/>
    <w:rsid w:val="00C90BFB"/>
    <w:rsid w:val="00C90C6B"/>
    <w:rsid w:val="00C90D7D"/>
    <w:rsid w:val="00C90DA5"/>
    <w:rsid w:val="00C90E10"/>
    <w:rsid w:val="00C913A7"/>
    <w:rsid w:val="00C913BE"/>
    <w:rsid w:val="00C91686"/>
    <w:rsid w:val="00C91712"/>
    <w:rsid w:val="00C92A75"/>
    <w:rsid w:val="00C92ADD"/>
    <w:rsid w:val="00C92F0D"/>
    <w:rsid w:val="00C936FF"/>
    <w:rsid w:val="00C93D56"/>
    <w:rsid w:val="00C9473B"/>
    <w:rsid w:val="00C949D5"/>
    <w:rsid w:val="00C94A8C"/>
    <w:rsid w:val="00C95558"/>
    <w:rsid w:val="00C95667"/>
    <w:rsid w:val="00C958C1"/>
    <w:rsid w:val="00C96229"/>
    <w:rsid w:val="00C96E49"/>
    <w:rsid w:val="00C9716F"/>
    <w:rsid w:val="00C97298"/>
    <w:rsid w:val="00C97351"/>
    <w:rsid w:val="00C97C81"/>
    <w:rsid w:val="00CA1458"/>
    <w:rsid w:val="00CA162B"/>
    <w:rsid w:val="00CA23CF"/>
    <w:rsid w:val="00CA2815"/>
    <w:rsid w:val="00CA31CD"/>
    <w:rsid w:val="00CA325C"/>
    <w:rsid w:val="00CA3CE9"/>
    <w:rsid w:val="00CA40FF"/>
    <w:rsid w:val="00CA4112"/>
    <w:rsid w:val="00CA4148"/>
    <w:rsid w:val="00CA442E"/>
    <w:rsid w:val="00CA4879"/>
    <w:rsid w:val="00CA4C56"/>
    <w:rsid w:val="00CA5724"/>
    <w:rsid w:val="00CA5CAF"/>
    <w:rsid w:val="00CA6034"/>
    <w:rsid w:val="00CA6551"/>
    <w:rsid w:val="00CA69BF"/>
    <w:rsid w:val="00CA6CCA"/>
    <w:rsid w:val="00CA78F9"/>
    <w:rsid w:val="00CB0BBF"/>
    <w:rsid w:val="00CB0CCE"/>
    <w:rsid w:val="00CB0CCF"/>
    <w:rsid w:val="00CB0EF5"/>
    <w:rsid w:val="00CB1FBF"/>
    <w:rsid w:val="00CB4507"/>
    <w:rsid w:val="00CB482A"/>
    <w:rsid w:val="00CB48B9"/>
    <w:rsid w:val="00CB4D46"/>
    <w:rsid w:val="00CB4F2E"/>
    <w:rsid w:val="00CB5486"/>
    <w:rsid w:val="00CB5D5D"/>
    <w:rsid w:val="00CB5FD3"/>
    <w:rsid w:val="00CB642B"/>
    <w:rsid w:val="00CB6B8D"/>
    <w:rsid w:val="00CB73CB"/>
    <w:rsid w:val="00CB7A77"/>
    <w:rsid w:val="00CC0046"/>
    <w:rsid w:val="00CC05AE"/>
    <w:rsid w:val="00CC0BEE"/>
    <w:rsid w:val="00CC11EC"/>
    <w:rsid w:val="00CC13B5"/>
    <w:rsid w:val="00CC24AD"/>
    <w:rsid w:val="00CC2911"/>
    <w:rsid w:val="00CC2DE9"/>
    <w:rsid w:val="00CC2E5C"/>
    <w:rsid w:val="00CC3351"/>
    <w:rsid w:val="00CC3A33"/>
    <w:rsid w:val="00CC3AEA"/>
    <w:rsid w:val="00CC3DAB"/>
    <w:rsid w:val="00CC48F4"/>
    <w:rsid w:val="00CC560B"/>
    <w:rsid w:val="00CC561F"/>
    <w:rsid w:val="00CC5F4C"/>
    <w:rsid w:val="00CC6790"/>
    <w:rsid w:val="00CC692E"/>
    <w:rsid w:val="00CC6CFA"/>
    <w:rsid w:val="00CC728F"/>
    <w:rsid w:val="00CC7634"/>
    <w:rsid w:val="00CC7C63"/>
    <w:rsid w:val="00CC7EC0"/>
    <w:rsid w:val="00CD0065"/>
    <w:rsid w:val="00CD0CCD"/>
    <w:rsid w:val="00CD16F6"/>
    <w:rsid w:val="00CD2280"/>
    <w:rsid w:val="00CD2781"/>
    <w:rsid w:val="00CD29A2"/>
    <w:rsid w:val="00CD31E5"/>
    <w:rsid w:val="00CD3964"/>
    <w:rsid w:val="00CD3F90"/>
    <w:rsid w:val="00CD43A1"/>
    <w:rsid w:val="00CD43CA"/>
    <w:rsid w:val="00CD43D3"/>
    <w:rsid w:val="00CD531A"/>
    <w:rsid w:val="00CD56F6"/>
    <w:rsid w:val="00CD5D21"/>
    <w:rsid w:val="00CD61DD"/>
    <w:rsid w:val="00CD62BB"/>
    <w:rsid w:val="00CD6C2C"/>
    <w:rsid w:val="00CD6E6E"/>
    <w:rsid w:val="00CD73D6"/>
    <w:rsid w:val="00CD7704"/>
    <w:rsid w:val="00CD7BC8"/>
    <w:rsid w:val="00CE0786"/>
    <w:rsid w:val="00CE0845"/>
    <w:rsid w:val="00CE08A0"/>
    <w:rsid w:val="00CE0DA5"/>
    <w:rsid w:val="00CE14AA"/>
    <w:rsid w:val="00CE1601"/>
    <w:rsid w:val="00CE1F7A"/>
    <w:rsid w:val="00CE2E67"/>
    <w:rsid w:val="00CE3471"/>
    <w:rsid w:val="00CE351F"/>
    <w:rsid w:val="00CE38AD"/>
    <w:rsid w:val="00CE3909"/>
    <w:rsid w:val="00CE395A"/>
    <w:rsid w:val="00CE3CF3"/>
    <w:rsid w:val="00CE3FAE"/>
    <w:rsid w:val="00CE4544"/>
    <w:rsid w:val="00CE4D68"/>
    <w:rsid w:val="00CE529F"/>
    <w:rsid w:val="00CE58AB"/>
    <w:rsid w:val="00CE593E"/>
    <w:rsid w:val="00CE6CF3"/>
    <w:rsid w:val="00CE72D6"/>
    <w:rsid w:val="00CE7C6D"/>
    <w:rsid w:val="00CE7D82"/>
    <w:rsid w:val="00CE7D8A"/>
    <w:rsid w:val="00CF0003"/>
    <w:rsid w:val="00CF0138"/>
    <w:rsid w:val="00CF03A1"/>
    <w:rsid w:val="00CF0473"/>
    <w:rsid w:val="00CF0FD4"/>
    <w:rsid w:val="00CF27C2"/>
    <w:rsid w:val="00CF3134"/>
    <w:rsid w:val="00CF325B"/>
    <w:rsid w:val="00CF3519"/>
    <w:rsid w:val="00CF3658"/>
    <w:rsid w:val="00CF3CEB"/>
    <w:rsid w:val="00CF494C"/>
    <w:rsid w:val="00CF5F3E"/>
    <w:rsid w:val="00CF632C"/>
    <w:rsid w:val="00CF6414"/>
    <w:rsid w:val="00CF69A6"/>
    <w:rsid w:val="00CF6E07"/>
    <w:rsid w:val="00CF70D1"/>
    <w:rsid w:val="00CF7636"/>
    <w:rsid w:val="00CF7B6B"/>
    <w:rsid w:val="00D001EF"/>
    <w:rsid w:val="00D00FC5"/>
    <w:rsid w:val="00D00FE5"/>
    <w:rsid w:val="00D014C5"/>
    <w:rsid w:val="00D01503"/>
    <w:rsid w:val="00D01AB6"/>
    <w:rsid w:val="00D02225"/>
    <w:rsid w:val="00D02379"/>
    <w:rsid w:val="00D025E4"/>
    <w:rsid w:val="00D0323D"/>
    <w:rsid w:val="00D03ABF"/>
    <w:rsid w:val="00D053DF"/>
    <w:rsid w:val="00D05482"/>
    <w:rsid w:val="00D055DF"/>
    <w:rsid w:val="00D05A72"/>
    <w:rsid w:val="00D05CE6"/>
    <w:rsid w:val="00D066AB"/>
    <w:rsid w:val="00D06845"/>
    <w:rsid w:val="00D06C7A"/>
    <w:rsid w:val="00D070CB"/>
    <w:rsid w:val="00D077F5"/>
    <w:rsid w:val="00D10143"/>
    <w:rsid w:val="00D10182"/>
    <w:rsid w:val="00D102EC"/>
    <w:rsid w:val="00D10AF8"/>
    <w:rsid w:val="00D112AB"/>
    <w:rsid w:val="00D116CB"/>
    <w:rsid w:val="00D118FF"/>
    <w:rsid w:val="00D11A36"/>
    <w:rsid w:val="00D11C1A"/>
    <w:rsid w:val="00D12119"/>
    <w:rsid w:val="00D12502"/>
    <w:rsid w:val="00D125CB"/>
    <w:rsid w:val="00D1273E"/>
    <w:rsid w:val="00D12B2F"/>
    <w:rsid w:val="00D133EC"/>
    <w:rsid w:val="00D134EE"/>
    <w:rsid w:val="00D135CF"/>
    <w:rsid w:val="00D136CA"/>
    <w:rsid w:val="00D137DB"/>
    <w:rsid w:val="00D13C2C"/>
    <w:rsid w:val="00D14876"/>
    <w:rsid w:val="00D14FE5"/>
    <w:rsid w:val="00D1568C"/>
    <w:rsid w:val="00D158B8"/>
    <w:rsid w:val="00D1646C"/>
    <w:rsid w:val="00D16B95"/>
    <w:rsid w:val="00D1709C"/>
    <w:rsid w:val="00D17298"/>
    <w:rsid w:val="00D172FE"/>
    <w:rsid w:val="00D179C3"/>
    <w:rsid w:val="00D20791"/>
    <w:rsid w:val="00D20935"/>
    <w:rsid w:val="00D21103"/>
    <w:rsid w:val="00D215C2"/>
    <w:rsid w:val="00D2166B"/>
    <w:rsid w:val="00D21C4F"/>
    <w:rsid w:val="00D23425"/>
    <w:rsid w:val="00D2365D"/>
    <w:rsid w:val="00D237B4"/>
    <w:rsid w:val="00D2401A"/>
    <w:rsid w:val="00D24488"/>
    <w:rsid w:val="00D2544E"/>
    <w:rsid w:val="00D25668"/>
    <w:rsid w:val="00D261E5"/>
    <w:rsid w:val="00D262AB"/>
    <w:rsid w:val="00D26554"/>
    <w:rsid w:val="00D26BA3"/>
    <w:rsid w:val="00D27210"/>
    <w:rsid w:val="00D27DC6"/>
    <w:rsid w:val="00D304D6"/>
    <w:rsid w:val="00D30648"/>
    <w:rsid w:val="00D30753"/>
    <w:rsid w:val="00D3090C"/>
    <w:rsid w:val="00D30DAC"/>
    <w:rsid w:val="00D31481"/>
    <w:rsid w:val="00D31530"/>
    <w:rsid w:val="00D315B6"/>
    <w:rsid w:val="00D3165B"/>
    <w:rsid w:val="00D31786"/>
    <w:rsid w:val="00D31AFC"/>
    <w:rsid w:val="00D32570"/>
    <w:rsid w:val="00D3259F"/>
    <w:rsid w:val="00D32AE4"/>
    <w:rsid w:val="00D32C5A"/>
    <w:rsid w:val="00D33110"/>
    <w:rsid w:val="00D33303"/>
    <w:rsid w:val="00D3335A"/>
    <w:rsid w:val="00D33DB2"/>
    <w:rsid w:val="00D33FEE"/>
    <w:rsid w:val="00D3415A"/>
    <w:rsid w:val="00D343AB"/>
    <w:rsid w:val="00D3449C"/>
    <w:rsid w:val="00D34C9B"/>
    <w:rsid w:val="00D35039"/>
    <w:rsid w:val="00D35B0E"/>
    <w:rsid w:val="00D364C6"/>
    <w:rsid w:val="00D3677E"/>
    <w:rsid w:val="00D371D2"/>
    <w:rsid w:val="00D37AB4"/>
    <w:rsid w:val="00D403B0"/>
    <w:rsid w:val="00D403B8"/>
    <w:rsid w:val="00D406DE"/>
    <w:rsid w:val="00D40893"/>
    <w:rsid w:val="00D40B1F"/>
    <w:rsid w:val="00D410CF"/>
    <w:rsid w:val="00D412A4"/>
    <w:rsid w:val="00D412D9"/>
    <w:rsid w:val="00D4165C"/>
    <w:rsid w:val="00D416F9"/>
    <w:rsid w:val="00D419B0"/>
    <w:rsid w:val="00D41E50"/>
    <w:rsid w:val="00D42F53"/>
    <w:rsid w:val="00D43AE0"/>
    <w:rsid w:val="00D44122"/>
    <w:rsid w:val="00D44287"/>
    <w:rsid w:val="00D442FA"/>
    <w:rsid w:val="00D44850"/>
    <w:rsid w:val="00D44E79"/>
    <w:rsid w:val="00D452F5"/>
    <w:rsid w:val="00D45336"/>
    <w:rsid w:val="00D455D1"/>
    <w:rsid w:val="00D455F1"/>
    <w:rsid w:val="00D45871"/>
    <w:rsid w:val="00D4587B"/>
    <w:rsid w:val="00D46182"/>
    <w:rsid w:val="00D462B4"/>
    <w:rsid w:val="00D46E0B"/>
    <w:rsid w:val="00D473BA"/>
    <w:rsid w:val="00D47AE0"/>
    <w:rsid w:val="00D47D7E"/>
    <w:rsid w:val="00D47E31"/>
    <w:rsid w:val="00D47ECB"/>
    <w:rsid w:val="00D47F3E"/>
    <w:rsid w:val="00D5087F"/>
    <w:rsid w:val="00D509B0"/>
    <w:rsid w:val="00D50DF7"/>
    <w:rsid w:val="00D510EC"/>
    <w:rsid w:val="00D51EEF"/>
    <w:rsid w:val="00D52731"/>
    <w:rsid w:val="00D53514"/>
    <w:rsid w:val="00D53791"/>
    <w:rsid w:val="00D5394D"/>
    <w:rsid w:val="00D53C1F"/>
    <w:rsid w:val="00D54044"/>
    <w:rsid w:val="00D544EE"/>
    <w:rsid w:val="00D54A38"/>
    <w:rsid w:val="00D55543"/>
    <w:rsid w:val="00D5564A"/>
    <w:rsid w:val="00D559AE"/>
    <w:rsid w:val="00D561A6"/>
    <w:rsid w:val="00D56227"/>
    <w:rsid w:val="00D56363"/>
    <w:rsid w:val="00D566DD"/>
    <w:rsid w:val="00D56837"/>
    <w:rsid w:val="00D569F4"/>
    <w:rsid w:val="00D57157"/>
    <w:rsid w:val="00D57C13"/>
    <w:rsid w:val="00D60615"/>
    <w:rsid w:val="00D60D29"/>
    <w:rsid w:val="00D60E23"/>
    <w:rsid w:val="00D60ECB"/>
    <w:rsid w:val="00D61012"/>
    <w:rsid w:val="00D61378"/>
    <w:rsid w:val="00D61874"/>
    <w:rsid w:val="00D61A58"/>
    <w:rsid w:val="00D61B81"/>
    <w:rsid w:val="00D61E88"/>
    <w:rsid w:val="00D62098"/>
    <w:rsid w:val="00D62309"/>
    <w:rsid w:val="00D6241A"/>
    <w:rsid w:val="00D624D2"/>
    <w:rsid w:val="00D62E59"/>
    <w:rsid w:val="00D63F85"/>
    <w:rsid w:val="00D6429D"/>
    <w:rsid w:val="00D649D4"/>
    <w:rsid w:val="00D64B06"/>
    <w:rsid w:val="00D64B70"/>
    <w:rsid w:val="00D6528B"/>
    <w:rsid w:val="00D654F2"/>
    <w:rsid w:val="00D657F1"/>
    <w:rsid w:val="00D66421"/>
    <w:rsid w:val="00D66759"/>
    <w:rsid w:val="00D670BD"/>
    <w:rsid w:val="00D676CB"/>
    <w:rsid w:val="00D70567"/>
    <w:rsid w:val="00D708D4"/>
    <w:rsid w:val="00D70D53"/>
    <w:rsid w:val="00D7281B"/>
    <w:rsid w:val="00D72F4E"/>
    <w:rsid w:val="00D73E69"/>
    <w:rsid w:val="00D73F5D"/>
    <w:rsid w:val="00D73FB3"/>
    <w:rsid w:val="00D74335"/>
    <w:rsid w:val="00D744E8"/>
    <w:rsid w:val="00D74B6F"/>
    <w:rsid w:val="00D753F0"/>
    <w:rsid w:val="00D755EA"/>
    <w:rsid w:val="00D759E3"/>
    <w:rsid w:val="00D75AE3"/>
    <w:rsid w:val="00D75DBF"/>
    <w:rsid w:val="00D76F2A"/>
    <w:rsid w:val="00D7799D"/>
    <w:rsid w:val="00D80C67"/>
    <w:rsid w:val="00D817F7"/>
    <w:rsid w:val="00D82CFE"/>
    <w:rsid w:val="00D83804"/>
    <w:rsid w:val="00D83FBA"/>
    <w:rsid w:val="00D8416E"/>
    <w:rsid w:val="00D84D4A"/>
    <w:rsid w:val="00D852E9"/>
    <w:rsid w:val="00D855FC"/>
    <w:rsid w:val="00D85679"/>
    <w:rsid w:val="00D85B1B"/>
    <w:rsid w:val="00D85BC8"/>
    <w:rsid w:val="00D85DBD"/>
    <w:rsid w:val="00D8610D"/>
    <w:rsid w:val="00D86386"/>
    <w:rsid w:val="00D866DF"/>
    <w:rsid w:val="00D868FB"/>
    <w:rsid w:val="00D86A75"/>
    <w:rsid w:val="00D86C6B"/>
    <w:rsid w:val="00D86E48"/>
    <w:rsid w:val="00D86ED0"/>
    <w:rsid w:val="00D87955"/>
    <w:rsid w:val="00D902DE"/>
    <w:rsid w:val="00D9036E"/>
    <w:rsid w:val="00D9038F"/>
    <w:rsid w:val="00D90792"/>
    <w:rsid w:val="00D90C4D"/>
    <w:rsid w:val="00D90F74"/>
    <w:rsid w:val="00D91A8A"/>
    <w:rsid w:val="00D926CC"/>
    <w:rsid w:val="00D9294A"/>
    <w:rsid w:val="00D92C9D"/>
    <w:rsid w:val="00D93257"/>
    <w:rsid w:val="00D934DD"/>
    <w:rsid w:val="00D93E40"/>
    <w:rsid w:val="00D9412B"/>
    <w:rsid w:val="00D94D66"/>
    <w:rsid w:val="00D9506E"/>
    <w:rsid w:val="00D95640"/>
    <w:rsid w:val="00D956DE"/>
    <w:rsid w:val="00D956E4"/>
    <w:rsid w:val="00D95EF5"/>
    <w:rsid w:val="00D96904"/>
    <w:rsid w:val="00D969D4"/>
    <w:rsid w:val="00D96C4F"/>
    <w:rsid w:val="00D9726D"/>
    <w:rsid w:val="00D9727C"/>
    <w:rsid w:val="00D972DF"/>
    <w:rsid w:val="00D973CC"/>
    <w:rsid w:val="00D97A16"/>
    <w:rsid w:val="00DA054D"/>
    <w:rsid w:val="00DA0615"/>
    <w:rsid w:val="00DA0880"/>
    <w:rsid w:val="00DA0BE9"/>
    <w:rsid w:val="00DA12D7"/>
    <w:rsid w:val="00DA1ACC"/>
    <w:rsid w:val="00DA1B0C"/>
    <w:rsid w:val="00DA1B22"/>
    <w:rsid w:val="00DA22BD"/>
    <w:rsid w:val="00DA2667"/>
    <w:rsid w:val="00DA2775"/>
    <w:rsid w:val="00DA3372"/>
    <w:rsid w:val="00DA34FD"/>
    <w:rsid w:val="00DA35A2"/>
    <w:rsid w:val="00DA40BE"/>
    <w:rsid w:val="00DA43F3"/>
    <w:rsid w:val="00DA4705"/>
    <w:rsid w:val="00DA47A5"/>
    <w:rsid w:val="00DA4928"/>
    <w:rsid w:val="00DA4E0C"/>
    <w:rsid w:val="00DA519F"/>
    <w:rsid w:val="00DA5A93"/>
    <w:rsid w:val="00DA5F4D"/>
    <w:rsid w:val="00DA600F"/>
    <w:rsid w:val="00DA64B9"/>
    <w:rsid w:val="00DA6587"/>
    <w:rsid w:val="00DA7249"/>
    <w:rsid w:val="00DB08B3"/>
    <w:rsid w:val="00DB0932"/>
    <w:rsid w:val="00DB1235"/>
    <w:rsid w:val="00DB1298"/>
    <w:rsid w:val="00DB14DF"/>
    <w:rsid w:val="00DB1EEC"/>
    <w:rsid w:val="00DB1FAD"/>
    <w:rsid w:val="00DB2E04"/>
    <w:rsid w:val="00DB3173"/>
    <w:rsid w:val="00DB365C"/>
    <w:rsid w:val="00DB3A3A"/>
    <w:rsid w:val="00DB4DB9"/>
    <w:rsid w:val="00DB5333"/>
    <w:rsid w:val="00DB538F"/>
    <w:rsid w:val="00DB64C6"/>
    <w:rsid w:val="00DB679A"/>
    <w:rsid w:val="00DB6ADA"/>
    <w:rsid w:val="00DB6E0C"/>
    <w:rsid w:val="00DB6FE8"/>
    <w:rsid w:val="00DB73B8"/>
    <w:rsid w:val="00DB7C02"/>
    <w:rsid w:val="00DC04EC"/>
    <w:rsid w:val="00DC0805"/>
    <w:rsid w:val="00DC081C"/>
    <w:rsid w:val="00DC0A10"/>
    <w:rsid w:val="00DC0CB0"/>
    <w:rsid w:val="00DC0D66"/>
    <w:rsid w:val="00DC0E10"/>
    <w:rsid w:val="00DC0E76"/>
    <w:rsid w:val="00DC0EDF"/>
    <w:rsid w:val="00DC13E0"/>
    <w:rsid w:val="00DC1571"/>
    <w:rsid w:val="00DC16C0"/>
    <w:rsid w:val="00DC1B97"/>
    <w:rsid w:val="00DC220B"/>
    <w:rsid w:val="00DC2FE8"/>
    <w:rsid w:val="00DC4594"/>
    <w:rsid w:val="00DC4A6B"/>
    <w:rsid w:val="00DC553C"/>
    <w:rsid w:val="00DC5546"/>
    <w:rsid w:val="00DC5657"/>
    <w:rsid w:val="00DC573D"/>
    <w:rsid w:val="00DC5E61"/>
    <w:rsid w:val="00DC7280"/>
    <w:rsid w:val="00DC758F"/>
    <w:rsid w:val="00DC7F0E"/>
    <w:rsid w:val="00DD01F4"/>
    <w:rsid w:val="00DD0A10"/>
    <w:rsid w:val="00DD0C17"/>
    <w:rsid w:val="00DD0DE1"/>
    <w:rsid w:val="00DD100A"/>
    <w:rsid w:val="00DD1593"/>
    <w:rsid w:val="00DD1E22"/>
    <w:rsid w:val="00DD2998"/>
    <w:rsid w:val="00DD2B87"/>
    <w:rsid w:val="00DD33E3"/>
    <w:rsid w:val="00DD354A"/>
    <w:rsid w:val="00DD4168"/>
    <w:rsid w:val="00DD46CD"/>
    <w:rsid w:val="00DD49BD"/>
    <w:rsid w:val="00DD5B86"/>
    <w:rsid w:val="00DD67A3"/>
    <w:rsid w:val="00DD6AFF"/>
    <w:rsid w:val="00DD6C3A"/>
    <w:rsid w:val="00DD6DC9"/>
    <w:rsid w:val="00DD6FEC"/>
    <w:rsid w:val="00DD71E0"/>
    <w:rsid w:val="00DD74EE"/>
    <w:rsid w:val="00DD7883"/>
    <w:rsid w:val="00DD7B1C"/>
    <w:rsid w:val="00DE0C41"/>
    <w:rsid w:val="00DE1218"/>
    <w:rsid w:val="00DE1927"/>
    <w:rsid w:val="00DE1A45"/>
    <w:rsid w:val="00DE1EB7"/>
    <w:rsid w:val="00DE20FF"/>
    <w:rsid w:val="00DE25C7"/>
    <w:rsid w:val="00DE2A49"/>
    <w:rsid w:val="00DE2B20"/>
    <w:rsid w:val="00DE2D7C"/>
    <w:rsid w:val="00DE2E16"/>
    <w:rsid w:val="00DE2F60"/>
    <w:rsid w:val="00DE3728"/>
    <w:rsid w:val="00DE3E50"/>
    <w:rsid w:val="00DE3F2F"/>
    <w:rsid w:val="00DE4A33"/>
    <w:rsid w:val="00DE4D3B"/>
    <w:rsid w:val="00DE54FC"/>
    <w:rsid w:val="00DE55D6"/>
    <w:rsid w:val="00DE584E"/>
    <w:rsid w:val="00DE595A"/>
    <w:rsid w:val="00DE5BE4"/>
    <w:rsid w:val="00DE62F6"/>
    <w:rsid w:val="00DE652A"/>
    <w:rsid w:val="00DE6903"/>
    <w:rsid w:val="00DE6F90"/>
    <w:rsid w:val="00DE71E6"/>
    <w:rsid w:val="00DE735A"/>
    <w:rsid w:val="00DE73B5"/>
    <w:rsid w:val="00DE7E06"/>
    <w:rsid w:val="00DF0599"/>
    <w:rsid w:val="00DF05E9"/>
    <w:rsid w:val="00DF123E"/>
    <w:rsid w:val="00DF1FA9"/>
    <w:rsid w:val="00DF23BA"/>
    <w:rsid w:val="00DF2AB4"/>
    <w:rsid w:val="00DF2D3F"/>
    <w:rsid w:val="00DF2F06"/>
    <w:rsid w:val="00DF309C"/>
    <w:rsid w:val="00DF3165"/>
    <w:rsid w:val="00DF32ED"/>
    <w:rsid w:val="00DF365B"/>
    <w:rsid w:val="00DF3F5E"/>
    <w:rsid w:val="00DF4581"/>
    <w:rsid w:val="00DF4619"/>
    <w:rsid w:val="00DF4786"/>
    <w:rsid w:val="00DF5588"/>
    <w:rsid w:val="00DF5AE3"/>
    <w:rsid w:val="00DF65D7"/>
    <w:rsid w:val="00DF6D90"/>
    <w:rsid w:val="00DF7686"/>
    <w:rsid w:val="00DF7DF9"/>
    <w:rsid w:val="00E00418"/>
    <w:rsid w:val="00E005A4"/>
    <w:rsid w:val="00E00750"/>
    <w:rsid w:val="00E00C0B"/>
    <w:rsid w:val="00E00EF5"/>
    <w:rsid w:val="00E0176E"/>
    <w:rsid w:val="00E02009"/>
    <w:rsid w:val="00E02139"/>
    <w:rsid w:val="00E023DA"/>
    <w:rsid w:val="00E02691"/>
    <w:rsid w:val="00E02712"/>
    <w:rsid w:val="00E02BF6"/>
    <w:rsid w:val="00E02C15"/>
    <w:rsid w:val="00E02C46"/>
    <w:rsid w:val="00E03F72"/>
    <w:rsid w:val="00E0425D"/>
    <w:rsid w:val="00E044B5"/>
    <w:rsid w:val="00E05100"/>
    <w:rsid w:val="00E055D8"/>
    <w:rsid w:val="00E059B7"/>
    <w:rsid w:val="00E05D2B"/>
    <w:rsid w:val="00E05E16"/>
    <w:rsid w:val="00E05EA7"/>
    <w:rsid w:val="00E06324"/>
    <w:rsid w:val="00E06371"/>
    <w:rsid w:val="00E068C9"/>
    <w:rsid w:val="00E071F0"/>
    <w:rsid w:val="00E076B8"/>
    <w:rsid w:val="00E07F42"/>
    <w:rsid w:val="00E106BE"/>
    <w:rsid w:val="00E107CF"/>
    <w:rsid w:val="00E10B71"/>
    <w:rsid w:val="00E113E0"/>
    <w:rsid w:val="00E12DDB"/>
    <w:rsid w:val="00E14DAD"/>
    <w:rsid w:val="00E14F4B"/>
    <w:rsid w:val="00E1551B"/>
    <w:rsid w:val="00E15CA1"/>
    <w:rsid w:val="00E15E09"/>
    <w:rsid w:val="00E15E88"/>
    <w:rsid w:val="00E161CE"/>
    <w:rsid w:val="00E1631A"/>
    <w:rsid w:val="00E1650C"/>
    <w:rsid w:val="00E1681E"/>
    <w:rsid w:val="00E1745F"/>
    <w:rsid w:val="00E17866"/>
    <w:rsid w:val="00E1787A"/>
    <w:rsid w:val="00E208D4"/>
    <w:rsid w:val="00E20D58"/>
    <w:rsid w:val="00E22214"/>
    <w:rsid w:val="00E2250C"/>
    <w:rsid w:val="00E22B86"/>
    <w:rsid w:val="00E235F0"/>
    <w:rsid w:val="00E236AC"/>
    <w:rsid w:val="00E23948"/>
    <w:rsid w:val="00E23985"/>
    <w:rsid w:val="00E23E51"/>
    <w:rsid w:val="00E23E58"/>
    <w:rsid w:val="00E241DB"/>
    <w:rsid w:val="00E2480D"/>
    <w:rsid w:val="00E24873"/>
    <w:rsid w:val="00E248F8"/>
    <w:rsid w:val="00E24BD2"/>
    <w:rsid w:val="00E24DED"/>
    <w:rsid w:val="00E25266"/>
    <w:rsid w:val="00E2565E"/>
    <w:rsid w:val="00E25A9C"/>
    <w:rsid w:val="00E25C6A"/>
    <w:rsid w:val="00E2618E"/>
    <w:rsid w:val="00E2654D"/>
    <w:rsid w:val="00E27308"/>
    <w:rsid w:val="00E27633"/>
    <w:rsid w:val="00E27702"/>
    <w:rsid w:val="00E300C1"/>
    <w:rsid w:val="00E3027E"/>
    <w:rsid w:val="00E30700"/>
    <w:rsid w:val="00E30AE1"/>
    <w:rsid w:val="00E30B82"/>
    <w:rsid w:val="00E31034"/>
    <w:rsid w:val="00E31863"/>
    <w:rsid w:val="00E32201"/>
    <w:rsid w:val="00E32932"/>
    <w:rsid w:val="00E32C0D"/>
    <w:rsid w:val="00E32C8B"/>
    <w:rsid w:val="00E330E6"/>
    <w:rsid w:val="00E332D9"/>
    <w:rsid w:val="00E33526"/>
    <w:rsid w:val="00E335BD"/>
    <w:rsid w:val="00E33A8B"/>
    <w:rsid w:val="00E33C32"/>
    <w:rsid w:val="00E34093"/>
    <w:rsid w:val="00E345B8"/>
    <w:rsid w:val="00E34AFF"/>
    <w:rsid w:val="00E34D79"/>
    <w:rsid w:val="00E34D7E"/>
    <w:rsid w:val="00E35057"/>
    <w:rsid w:val="00E35363"/>
    <w:rsid w:val="00E357B2"/>
    <w:rsid w:val="00E35A5C"/>
    <w:rsid w:val="00E35C59"/>
    <w:rsid w:val="00E35DC9"/>
    <w:rsid w:val="00E360FA"/>
    <w:rsid w:val="00E362B3"/>
    <w:rsid w:val="00E368E5"/>
    <w:rsid w:val="00E3731B"/>
    <w:rsid w:val="00E37500"/>
    <w:rsid w:val="00E3771E"/>
    <w:rsid w:val="00E37969"/>
    <w:rsid w:val="00E37B89"/>
    <w:rsid w:val="00E40621"/>
    <w:rsid w:val="00E406ED"/>
    <w:rsid w:val="00E40785"/>
    <w:rsid w:val="00E41371"/>
    <w:rsid w:val="00E41925"/>
    <w:rsid w:val="00E41AD7"/>
    <w:rsid w:val="00E41BC3"/>
    <w:rsid w:val="00E41C61"/>
    <w:rsid w:val="00E41FFE"/>
    <w:rsid w:val="00E42D89"/>
    <w:rsid w:val="00E42FD3"/>
    <w:rsid w:val="00E4304D"/>
    <w:rsid w:val="00E431B4"/>
    <w:rsid w:val="00E432B8"/>
    <w:rsid w:val="00E4362E"/>
    <w:rsid w:val="00E43BAE"/>
    <w:rsid w:val="00E43EB4"/>
    <w:rsid w:val="00E43F9E"/>
    <w:rsid w:val="00E4468E"/>
    <w:rsid w:val="00E44B3E"/>
    <w:rsid w:val="00E44FCE"/>
    <w:rsid w:val="00E45490"/>
    <w:rsid w:val="00E454DB"/>
    <w:rsid w:val="00E4597F"/>
    <w:rsid w:val="00E46113"/>
    <w:rsid w:val="00E46435"/>
    <w:rsid w:val="00E471A1"/>
    <w:rsid w:val="00E47840"/>
    <w:rsid w:val="00E478AF"/>
    <w:rsid w:val="00E47F37"/>
    <w:rsid w:val="00E5022C"/>
    <w:rsid w:val="00E505F3"/>
    <w:rsid w:val="00E5092E"/>
    <w:rsid w:val="00E509CB"/>
    <w:rsid w:val="00E50D4E"/>
    <w:rsid w:val="00E50F14"/>
    <w:rsid w:val="00E51478"/>
    <w:rsid w:val="00E515A8"/>
    <w:rsid w:val="00E518CB"/>
    <w:rsid w:val="00E51E3C"/>
    <w:rsid w:val="00E51F20"/>
    <w:rsid w:val="00E5200B"/>
    <w:rsid w:val="00E52041"/>
    <w:rsid w:val="00E52B8D"/>
    <w:rsid w:val="00E52D66"/>
    <w:rsid w:val="00E52FAC"/>
    <w:rsid w:val="00E5392D"/>
    <w:rsid w:val="00E53A9E"/>
    <w:rsid w:val="00E53B4C"/>
    <w:rsid w:val="00E542C2"/>
    <w:rsid w:val="00E543CE"/>
    <w:rsid w:val="00E54672"/>
    <w:rsid w:val="00E548CD"/>
    <w:rsid w:val="00E54B68"/>
    <w:rsid w:val="00E5552A"/>
    <w:rsid w:val="00E55B35"/>
    <w:rsid w:val="00E564F2"/>
    <w:rsid w:val="00E56C1D"/>
    <w:rsid w:val="00E56F61"/>
    <w:rsid w:val="00E571CB"/>
    <w:rsid w:val="00E572AB"/>
    <w:rsid w:val="00E57327"/>
    <w:rsid w:val="00E57628"/>
    <w:rsid w:val="00E57747"/>
    <w:rsid w:val="00E57817"/>
    <w:rsid w:val="00E57E74"/>
    <w:rsid w:val="00E57FF6"/>
    <w:rsid w:val="00E60011"/>
    <w:rsid w:val="00E60537"/>
    <w:rsid w:val="00E605EA"/>
    <w:rsid w:val="00E60CEE"/>
    <w:rsid w:val="00E6103C"/>
    <w:rsid w:val="00E61569"/>
    <w:rsid w:val="00E615F1"/>
    <w:rsid w:val="00E61DF3"/>
    <w:rsid w:val="00E6223C"/>
    <w:rsid w:val="00E6233D"/>
    <w:rsid w:val="00E627F3"/>
    <w:rsid w:val="00E63381"/>
    <w:rsid w:val="00E63E05"/>
    <w:rsid w:val="00E64FC8"/>
    <w:rsid w:val="00E65B22"/>
    <w:rsid w:val="00E65C8F"/>
    <w:rsid w:val="00E66260"/>
    <w:rsid w:val="00E67319"/>
    <w:rsid w:val="00E674F1"/>
    <w:rsid w:val="00E67725"/>
    <w:rsid w:val="00E6776E"/>
    <w:rsid w:val="00E679B0"/>
    <w:rsid w:val="00E679CE"/>
    <w:rsid w:val="00E67DEC"/>
    <w:rsid w:val="00E7009E"/>
    <w:rsid w:val="00E705B4"/>
    <w:rsid w:val="00E70A16"/>
    <w:rsid w:val="00E717CD"/>
    <w:rsid w:val="00E718AF"/>
    <w:rsid w:val="00E72A54"/>
    <w:rsid w:val="00E72C12"/>
    <w:rsid w:val="00E73F96"/>
    <w:rsid w:val="00E740A8"/>
    <w:rsid w:val="00E74BEC"/>
    <w:rsid w:val="00E74EAB"/>
    <w:rsid w:val="00E74F9C"/>
    <w:rsid w:val="00E75258"/>
    <w:rsid w:val="00E76057"/>
    <w:rsid w:val="00E762AD"/>
    <w:rsid w:val="00E762E4"/>
    <w:rsid w:val="00E7746A"/>
    <w:rsid w:val="00E80664"/>
    <w:rsid w:val="00E80854"/>
    <w:rsid w:val="00E81443"/>
    <w:rsid w:val="00E81509"/>
    <w:rsid w:val="00E81BA3"/>
    <w:rsid w:val="00E81FA1"/>
    <w:rsid w:val="00E82011"/>
    <w:rsid w:val="00E82438"/>
    <w:rsid w:val="00E82902"/>
    <w:rsid w:val="00E83835"/>
    <w:rsid w:val="00E83EF2"/>
    <w:rsid w:val="00E842F0"/>
    <w:rsid w:val="00E847B6"/>
    <w:rsid w:val="00E848D5"/>
    <w:rsid w:val="00E862E3"/>
    <w:rsid w:val="00E8637D"/>
    <w:rsid w:val="00E86EC4"/>
    <w:rsid w:val="00E87934"/>
    <w:rsid w:val="00E90816"/>
    <w:rsid w:val="00E90C44"/>
    <w:rsid w:val="00E90DB5"/>
    <w:rsid w:val="00E90EF7"/>
    <w:rsid w:val="00E912C7"/>
    <w:rsid w:val="00E91A9E"/>
    <w:rsid w:val="00E91FE6"/>
    <w:rsid w:val="00E9214D"/>
    <w:rsid w:val="00E923BD"/>
    <w:rsid w:val="00E92408"/>
    <w:rsid w:val="00E92983"/>
    <w:rsid w:val="00E92F28"/>
    <w:rsid w:val="00E93B37"/>
    <w:rsid w:val="00E93B92"/>
    <w:rsid w:val="00E940D7"/>
    <w:rsid w:val="00E94701"/>
    <w:rsid w:val="00E94B1F"/>
    <w:rsid w:val="00E952A0"/>
    <w:rsid w:val="00E95B28"/>
    <w:rsid w:val="00E95EA3"/>
    <w:rsid w:val="00E96432"/>
    <w:rsid w:val="00E968D3"/>
    <w:rsid w:val="00E96B4C"/>
    <w:rsid w:val="00E96CE4"/>
    <w:rsid w:val="00E97155"/>
    <w:rsid w:val="00E97744"/>
    <w:rsid w:val="00E97D10"/>
    <w:rsid w:val="00EA08F0"/>
    <w:rsid w:val="00EA0B3E"/>
    <w:rsid w:val="00EA0FB4"/>
    <w:rsid w:val="00EA123F"/>
    <w:rsid w:val="00EA158B"/>
    <w:rsid w:val="00EA1BFD"/>
    <w:rsid w:val="00EA2284"/>
    <w:rsid w:val="00EA22B2"/>
    <w:rsid w:val="00EA2BF4"/>
    <w:rsid w:val="00EA33D7"/>
    <w:rsid w:val="00EA33F5"/>
    <w:rsid w:val="00EA3DA7"/>
    <w:rsid w:val="00EA4066"/>
    <w:rsid w:val="00EA4959"/>
    <w:rsid w:val="00EA4A4D"/>
    <w:rsid w:val="00EA4FD3"/>
    <w:rsid w:val="00EA52DF"/>
    <w:rsid w:val="00EA532C"/>
    <w:rsid w:val="00EA5C8C"/>
    <w:rsid w:val="00EA5CB7"/>
    <w:rsid w:val="00EA5E90"/>
    <w:rsid w:val="00EA65FA"/>
    <w:rsid w:val="00EA7238"/>
    <w:rsid w:val="00EA7C70"/>
    <w:rsid w:val="00EB096D"/>
    <w:rsid w:val="00EB09FD"/>
    <w:rsid w:val="00EB18F3"/>
    <w:rsid w:val="00EB1DC0"/>
    <w:rsid w:val="00EB2242"/>
    <w:rsid w:val="00EB2328"/>
    <w:rsid w:val="00EB2CD5"/>
    <w:rsid w:val="00EB2FCD"/>
    <w:rsid w:val="00EB315F"/>
    <w:rsid w:val="00EB33ED"/>
    <w:rsid w:val="00EB3433"/>
    <w:rsid w:val="00EB3582"/>
    <w:rsid w:val="00EB39DE"/>
    <w:rsid w:val="00EB40B2"/>
    <w:rsid w:val="00EB4263"/>
    <w:rsid w:val="00EB44A1"/>
    <w:rsid w:val="00EB451A"/>
    <w:rsid w:val="00EB451F"/>
    <w:rsid w:val="00EB4616"/>
    <w:rsid w:val="00EB48FC"/>
    <w:rsid w:val="00EB4A32"/>
    <w:rsid w:val="00EB4F80"/>
    <w:rsid w:val="00EB5211"/>
    <w:rsid w:val="00EB57E7"/>
    <w:rsid w:val="00EB6086"/>
    <w:rsid w:val="00EB6445"/>
    <w:rsid w:val="00EB6DAF"/>
    <w:rsid w:val="00EB6DCB"/>
    <w:rsid w:val="00EB734B"/>
    <w:rsid w:val="00EB7AE8"/>
    <w:rsid w:val="00EB7E3E"/>
    <w:rsid w:val="00EC02D6"/>
    <w:rsid w:val="00EC0444"/>
    <w:rsid w:val="00EC097D"/>
    <w:rsid w:val="00EC0B93"/>
    <w:rsid w:val="00EC10F0"/>
    <w:rsid w:val="00EC1634"/>
    <w:rsid w:val="00EC19E7"/>
    <w:rsid w:val="00EC1EAA"/>
    <w:rsid w:val="00EC21D3"/>
    <w:rsid w:val="00EC3059"/>
    <w:rsid w:val="00EC35CE"/>
    <w:rsid w:val="00EC3B45"/>
    <w:rsid w:val="00EC3C90"/>
    <w:rsid w:val="00EC4055"/>
    <w:rsid w:val="00EC4641"/>
    <w:rsid w:val="00EC46D9"/>
    <w:rsid w:val="00EC5DA7"/>
    <w:rsid w:val="00EC5F6A"/>
    <w:rsid w:val="00EC61C5"/>
    <w:rsid w:val="00EC62A4"/>
    <w:rsid w:val="00EC6539"/>
    <w:rsid w:val="00EC6EB4"/>
    <w:rsid w:val="00EC6ECE"/>
    <w:rsid w:val="00EC7165"/>
    <w:rsid w:val="00ED0300"/>
    <w:rsid w:val="00ED05CC"/>
    <w:rsid w:val="00ED0616"/>
    <w:rsid w:val="00ED0709"/>
    <w:rsid w:val="00ED0BD3"/>
    <w:rsid w:val="00ED13B8"/>
    <w:rsid w:val="00ED1745"/>
    <w:rsid w:val="00ED1A2D"/>
    <w:rsid w:val="00ED2598"/>
    <w:rsid w:val="00ED2BB4"/>
    <w:rsid w:val="00ED2CB9"/>
    <w:rsid w:val="00ED3945"/>
    <w:rsid w:val="00ED4082"/>
    <w:rsid w:val="00ED413A"/>
    <w:rsid w:val="00ED426F"/>
    <w:rsid w:val="00ED4933"/>
    <w:rsid w:val="00ED4F4E"/>
    <w:rsid w:val="00ED5E17"/>
    <w:rsid w:val="00ED6006"/>
    <w:rsid w:val="00EE011A"/>
    <w:rsid w:val="00EE0453"/>
    <w:rsid w:val="00EE050B"/>
    <w:rsid w:val="00EE0BE5"/>
    <w:rsid w:val="00EE1157"/>
    <w:rsid w:val="00EE17EE"/>
    <w:rsid w:val="00EE184C"/>
    <w:rsid w:val="00EE1F34"/>
    <w:rsid w:val="00EE20D8"/>
    <w:rsid w:val="00EE280C"/>
    <w:rsid w:val="00EE2C7D"/>
    <w:rsid w:val="00EE33F6"/>
    <w:rsid w:val="00EE3D3D"/>
    <w:rsid w:val="00EE449E"/>
    <w:rsid w:val="00EE4A34"/>
    <w:rsid w:val="00EE4A8F"/>
    <w:rsid w:val="00EE59E9"/>
    <w:rsid w:val="00EE5D29"/>
    <w:rsid w:val="00EE64A3"/>
    <w:rsid w:val="00EE697A"/>
    <w:rsid w:val="00EE6FD0"/>
    <w:rsid w:val="00EE72C5"/>
    <w:rsid w:val="00EE79C6"/>
    <w:rsid w:val="00EE7FAE"/>
    <w:rsid w:val="00EF0021"/>
    <w:rsid w:val="00EF004C"/>
    <w:rsid w:val="00EF0136"/>
    <w:rsid w:val="00EF0D68"/>
    <w:rsid w:val="00EF1922"/>
    <w:rsid w:val="00EF1B74"/>
    <w:rsid w:val="00EF2030"/>
    <w:rsid w:val="00EF2CD3"/>
    <w:rsid w:val="00EF30A9"/>
    <w:rsid w:val="00EF3479"/>
    <w:rsid w:val="00EF34D0"/>
    <w:rsid w:val="00EF397E"/>
    <w:rsid w:val="00EF39FC"/>
    <w:rsid w:val="00EF40C5"/>
    <w:rsid w:val="00EF4E3E"/>
    <w:rsid w:val="00EF5378"/>
    <w:rsid w:val="00EF54F2"/>
    <w:rsid w:val="00EF575B"/>
    <w:rsid w:val="00EF5776"/>
    <w:rsid w:val="00EF650C"/>
    <w:rsid w:val="00EF6652"/>
    <w:rsid w:val="00EF7157"/>
    <w:rsid w:val="00EF7CF6"/>
    <w:rsid w:val="00EF7EC3"/>
    <w:rsid w:val="00F00174"/>
    <w:rsid w:val="00F001C3"/>
    <w:rsid w:val="00F00301"/>
    <w:rsid w:val="00F00397"/>
    <w:rsid w:val="00F00534"/>
    <w:rsid w:val="00F00786"/>
    <w:rsid w:val="00F009B8"/>
    <w:rsid w:val="00F00B5A"/>
    <w:rsid w:val="00F01206"/>
    <w:rsid w:val="00F014C2"/>
    <w:rsid w:val="00F01522"/>
    <w:rsid w:val="00F015FE"/>
    <w:rsid w:val="00F01767"/>
    <w:rsid w:val="00F018B9"/>
    <w:rsid w:val="00F01CBA"/>
    <w:rsid w:val="00F01F02"/>
    <w:rsid w:val="00F02B2C"/>
    <w:rsid w:val="00F0313D"/>
    <w:rsid w:val="00F0363F"/>
    <w:rsid w:val="00F0389D"/>
    <w:rsid w:val="00F045F0"/>
    <w:rsid w:val="00F04747"/>
    <w:rsid w:val="00F0483E"/>
    <w:rsid w:val="00F04CFC"/>
    <w:rsid w:val="00F04E9D"/>
    <w:rsid w:val="00F05221"/>
    <w:rsid w:val="00F0527D"/>
    <w:rsid w:val="00F0535E"/>
    <w:rsid w:val="00F05D8B"/>
    <w:rsid w:val="00F067E3"/>
    <w:rsid w:val="00F06FD4"/>
    <w:rsid w:val="00F0748C"/>
    <w:rsid w:val="00F076CC"/>
    <w:rsid w:val="00F079C1"/>
    <w:rsid w:val="00F1031D"/>
    <w:rsid w:val="00F10B0C"/>
    <w:rsid w:val="00F10E3A"/>
    <w:rsid w:val="00F10E8C"/>
    <w:rsid w:val="00F1140E"/>
    <w:rsid w:val="00F118E2"/>
    <w:rsid w:val="00F11C77"/>
    <w:rsid w:val="00F11D17"/>
    <w:rsid w:val="00F12660"/>
    <w:rsid w:val="00F1293C"/>
    <w:rsid w:val="00F13225"/>
    <w:rsid w:val="00F13B5B"/>
    <w:rsid w:val="00F1401E"/>
    <w:rsid w:val="00F14586"/>
    <w:rsid w:val="00F1476C"/>
    <w:rsid w:val="00F149E9"/>
    <w:rsid w:val="00F14B79"/>
    <w:rsid w:val="00F14C28"/>
    <w:rsid w:val="00F15078"/>
    <w:rsid w:val="00F151FF"/>
    <w:rsid w:val="00F15242"/>
    <w:rsid w:val="00F160AA"/>
    <w:rsid w:val="00F1627A"/>
    <w:rsid w:val="00F16320"/>
    <w:rsid w:val="00F168ED"/>
    <w:rsid w:val="00F16B05"/>
    <w:rsid w:val="00F16BB6"/>
    <w:rsid w:val="00F17A6D"/>
    <w:rsid w:val="00F17EE3"/>
    <w:rsid w:val="00F20521"/>
    <w:rsid w:val="00F206AA"/>
    <w:rsid w:val="00F20E7F"/>
    <w:rsid w:val="00F20FE0"/>
    <w:rsid w:val="00F2170D"/>
    <w:rsid w:val="00F219FC"/>
    <w:rsid w:val="00F21B3F"/>
    <w:rsid w:val="00F21B77"/>
    <w:rsid w:val="00F21D6F"/>
    <w:rsid w:val="00F22233"/>
    <w:rsid w:val="00F22365"/>
    <w:rsid w:val="00F22852"/>
    <w:rsid w:val="00F228BB"/>
    <w:rsid w:val="00F2358E"/>
    <w:rsid w:val="00F238BB"/>
    <w:rsid w:val="00F23B65"/>
    <w:rsid w:val="00F24133"/>
    <w:rsid w:val="00F24207"/>
    <w:rsid w:val="00F242A4"/>
    <w:rsid w:val="00F24AC6"/>
    <w:rsid w:val="00F25515"/>
    <w:rsid w:val="00F25553"/>
    <w:rsid w:val="00F259EF"/>
    <w:rsid w:val="00F25F08"/>
    <w:rsid w:val="00F260DD"/>
    <w:rsid w:val="00F261B2"/>
    <w:rsid w:val="00F2627A"/>
    <w:rsid w:val="00F263C3"/>
    <w:rsid w:val="00F2658D"/>
    <w:rsid w:val="00F26689"/>
    <w:rsid w:val="00F26ACF"/>
    <w:rsid w:val="00F26C8D"/>
    <w:rsid w:val="00F26E5B"/>
    <w:rsid w:val="00F26FF3"/>
    <w:rsid w:val="00F27405"/>
    <w:rsid w:val="00F2747D"/>
    <w:rsid w:val="00F27555"/>
    <w:rsid w:val="00F30097"/>
    <w:rsid w:val="00F30F59"/>
    <w:rsid w:val="00F3128B"/>
    <w:rsid w:val="00F31518"/>
    <w:rsid w:val="00F31549"/>
    <w:rsid w:val="00F3164C"/>
    <w:rsid w:val="00F31D2B"/>
    <w:rsid w:val="00F31EB5"/>
    <w:rsid w:val="00F325D7"/>
    <w:rsid w:val="00F3278B"/>
    <w:rsid w:val="00F329FC"/>
    <w:rsid w:val="00F32A71"/>
    <w:rsid w:val="00F337E3"/>
    <w:rsid w:val="00F33969"/>
    <w:rsid w:val="00F33FA8"/>
    <w:rsid w:val="00F3487A"/>
    <w:rsid w:val="00F35C56"/>
    <w:rsid w:val="00F35D24"/>
    <w:rsid w:val="00F35F41"/>
    <w:rsid w:val="00F36300"/>
    <w:rsid w:val="00F36F89"/>
    <w:rsid w:val="00F370F6"/>
    <w:rsid w:val="00F37DF0"/>
    <w:rsid w:val="00F37EA4"/>
    <w:rsid w:val="00F4096B"/>
    <w:rsid w:val="00F40F8B"/>
    <w:rsid w:val="00F40FCF"/>
    <w:rsid w:val="00F415D9"/>
    <w:rsid w:val="00F41852"/>
    <w:rsid w:val="00F422CC"/>
    <w:rsid w:val="00F42D8E"/>
    <w:rsid w:val="00F4304C"/>
    <w:rsid w:val="00F43607"/>
    <w:rsid w:val="00F4375E"/>
    <w:rsid w:val="00F438DC"/>
    <w:rsid w:val="00F43BF9"/>
    <w:rsid w:val="00F43CB0"/>
    <w:rsid w:val="00F4420D"/>
    <w:rsid w:val="00F44984"/>
    <w:rsid w:val="00F45519"/>
    <w:rsid w:val="00F45DB9"/>
    <w:rsid w:val="00F4658D"/>
    <w:rsid w:val="00F47459"/>
    <w:rsid w:val="00F4797B"/>
    <w:rsid w:val="00F47D5E"/>
    <w:rsid w:val="00F47F8D"/>
    <w:rsid w:val="00F50014"/>
    <w:rsid w:val="00F5028C"/>
    <w:rsid w:val="00F50517"/>
    <w:rsid w:val="00F50723"/>
    <w:rsid w:val="00F51018"/>
    <w:rsid w:val="00F51DB6"/>
    <w:rsid w:val="00F5227F"/>
    <w:rsid w:val="00F52BAC"/>
    <w:rsid w:val="00F53084"/>
    <w:rsid w:val="00F5419D"/>
    <w:rsid w:val="00F54473"/>
    <w:rsid w:val="00F54648"/>
    <w:rsid w:val="00F5480C"/>
    <w:rsid w:val="00F548FF"/>
    <w:rsid w:val="00F552D1"/>
    <w:rsid w:val="00F558ED"/>
    <w:rsid w:val="00F55DEB"/>
    <w:rsid w:val="00F55EB9"/>
    <w:rsid w:val="00F56249"/>
    <w:rsid w:val="00F56C22"/>
    <w:rsid w:val="00F56DFE"/>
    <w:rsid w:val="00F56F6F"/>
    <w:rsid w:val="00F5794C"/>
    <w:rsid w:val="00F57A7E"/>
    <w:rsid w:val="00F6045A"/>
    <w:rsid w:val="00F60555"/>
    <w:rsid w:val="00F60859"/>
    <w:rsid w:val="00F60874"/>
    <w:rsid w:val="00F60D1C"/>
    <w:rsid w:val="00F62029"/>
    <w:rsid w:val="00F62B32"/>
    <w:rsid w:val="00F62D81"/>
    <w:rsid w:val="00F62E3E"/>
    <w:rsid w:val="00F635A7"/>
    <w:rsid w:val="00F637AD"/>
    <w:rsid w:val="00F63E01"/>
    <w:rsid w:val="00F64AD6"/>
    <w:rsid w:val="00F64B24"/>
    <w:rsid w:val="00F64FEF"/>
    <w:rsid w:val="00F655CA"/>
    <w:rsid w:val="00F65ED9"/>
    <w:rsid w:val="00F65FAC"/>
    <w:rsid w:val="00F663E9"/>
    <w:rsid w:val="00F6653F"/>
    <w:rsid w:val="00F66711"/>
    <w:rsid w:val="00F66E65"/>
    <w:rsid w:val="00F6736C"/>
    <w:rsid w:val="00F67DAE"/>
    <w:rsid w:val="00F67EA7"/>
    <w:rsid w:val="00F70228"/>
    <w:rsid w:val="00F709B6"/>
    <w:rsid w:val="00F71350"/>
    <w:rsid w:val="00F7152F"/>
    <w:rsid w:val="00F7156A"/>
    <w:rsid w:val="00F72434"/>
    <w:rsid w:val="00F72C24"/>
    <w:rsid w:val="00F72DAD"/>
    <w:rsid w:val="00F73009"/>
    <w:rsid w:val="00F733D0"/>
    <w:rsid w:val="00F73546"/>
    <w:rsid w:val="00F73899"/>
    <w:rsid w:val="00F73CA8"/>
    <w:rsid w:val="00F73DD2"/>
    <w:rsid w:val="00F73E04"/>
    <w:rsid w:val="00F74915"/>
    <w:rsid w:val="00F74D68"/>
    <w:rsid w:val="00F74E1A"/>
    <w:rsid w:val="00F75065"/>
    <w:rsid w:val="00F75205"/>
    <w:rsid w:val="00F75467"/>
    <w:rsid w:val="00F758C3"/>
    <w:rsid w:val="00F75B45"/>
    <w:rsid w:val="00F75D7C"/>
    <w:rsid w:val="00F75D98"/>
    <w:rsid w:val="00F75E41"/>
    <w:rsid w:val="00F767E7"/>
    <w:rsid w:val="00F76C1E"/>
    <w:rsid w:val="00F76D05"/>
    <w:rsid w:val="00F77085"/>
    <w:rsid w:val="00F77587"/>
    <w:rsid w:val="00F775D6"/>
    <w:rsid w:val="00F77F06"/>
    <w:rsid w:val="00F77F3F"/>
    <w:rsid w:val="00F80064"/>
    <w:rsid w:val="00F80E40"/>
    <w:rsid w:val="00F810EC"/>
    <w:rsid w:val="00F81AD9"/>
    <w:rsid w:val="00F81C00"/>
    <w:rsid w:val="00F81D1E"/>
    <w:rsid w:val="00F81D45"/>
    <w:rsid w:val="00F81FC5"/>
    <w:rsid w:val="00F824DE"/>
    <w:rsid w:val="00F82671"/>
    <w:rsid w:val="00F829A7"/>
    <w:rsid w:val="00F84149"/>
    <w:rsid w:val="00F850C9"/>
    <w:rsid w:val="00F8535E"/>
    <w:rsid w:val="00F85976"/>
    <w:rsid w:val="00F85F46"/>
    <w:rsid w:val="00F860D9"/>
    <w:rsid w:val="00F866F2"/>
    <w:rsid w:val="00F86B45"/>
    <w:rsid w:val="00F8716C"/>
    <w:rsid w:val="00F8799D"/>
    <w:rsid w:val="00F90568"/>
    <w:rsid w:val="00F90EA4"/>
    <w:rsid w:val="00F9129E"/>
    <w:rsid w:val="00F912D3"/>
    <w:rsid w:val="00F9175D"/>
    <w:rsid w:val="00F917D7"/>
    <w:rsid w:val="00F91CCA"/>
    <w:rsid w:val="00F91E35"/>
    <w:rsid w:val="00F91ED2"/>
    <w:rsid w:val="00F92157"/>
    <w:rsid w:val="00F92A90"/>
    <w:rsid w:val="00F93843"/>
    <w:rsid w:val="00F93A47"/>
    <w:rsid w:val="00F93B09"/>
    <w:rsid w:val="00F94AF1"/>
    <w:rsid w:val="00F952AA"/>
    <w:rsid w:val="00F953A9"/>
    <w:rsid w:val="00F9571F"/>
    <w:rsid w:val="00F958B4"/>
    <w:rsid w:val="00F95BA9"/>
    <w:rsid w:val="00F95C33"/>
    <w:rsid w:val="00F95C9E"/>
    <w:rsid w:val="00F95CA2"/>
    <w:rsid w:val="00F96233"/>
    <w:rsid w:val="00F96400"/>
    <w:rsid w:val="00F9661E"/>
    <w:rsid w:val="00F96641"/>
    <w:rsid w:val="00F96ED4"/>
    <w:rsid w:val="00F97216"/>
    <w:rsid w:val="00F97362"/>
    <w:rsid w:val="00F97AF0"/>
    <w:rsid w:val="00F97C9D"/>
    <w:rsid w:val="00F97F76"/>
    <w:rsid w:val="00FA009E"/>
    <w:rsid w:val="00FA02F9"/>
    <w:rsid w:val="00FA06A1"/>
    <w:rsid w:val="00FA0AC4"/>
    <w:rsid w:val="00FA0E1A"/>
    <w:rsid w:val="00FA0FD4"/>
    <w:rsid w:val="00FA1058"/>
    <w:rsid w:val="00FA12B9"/>
    <w:rsid w:val="00FA1327"/>
    <w:rsid w:val="00FA17AD"/>
    <w:rsid w:val="00FA18F5"/>
    <w:rsid w:val="00FA1F68"/>
    <w:rsid w:val="00FA2076"/>
    <w:rsid w:val="00FA2699"/>
    <w:rsid w:val="00FA26E8"/>
    <w:rsid w:val="00FA2EDA"/>
    <w:rsid w:val="00FA312E"/>
    <w:rsid w:val="00FA35AC"/>
    <w:rsid w:val="00FA3753"/>
    <w:rsid w:val="00FA3A56"/>
    <w:rsid w:val="00FA4DC5"/>
    <w:rsid w:val="00FA4F66"/>
    <w:rsid w:val="00FA526B"/>
    <w:rsid w:val="00FA5799"/>
    <w:rsid w:val="00FA598F"/>
    <w:rsid w:val="00FA5E73"/>
    <w:rsid w:val="00FA6C2B"/>
    <w:rsid w:val="00FA6EAB"/>
    <w:rsid w:val="00FA6F3B"/>
    <w:rsid w:val="00FA78DC"/>
    <w:rsid w:val="00FA7C33"/>
    <w:rsid w:val="00FB04CE"/>
    <w:rsid w:val="00FB1008"/>
    <w:rsid w:val="00FB1285"/>
    <w:rsid w:val="00FB17C8"/>
    <w:rsid w:val="00FB239A"/>
    <w:rsid w:val="00FB290E"/>
    <w:rsid w:val="00FB2E89"/>
    <w:rsid w:val="00FB2F59"/>
    <w:rsid w:val="00FB35A8"/>
    <w:rsid w:val="00FB3DBB"/>
    <w:rsid w:val="00FB3DDD"/>
    <w:rsid w:val="00FB4D15"/>
    <w:rsid w:val="00FB5474"/>
    <w:rsid w:val="00FB54B4"/>
    <w:rsid w:val="00FB5AE5"/>
    <w:rsid w:val="00FB5C77"/>
    <w:rsid w:val="00FB644A"/>
    <w:rsid w:val="00FB6B95"/>
    <w:rsid w:val="00FB6CB0"/>
    <w:rsid w:val="00FB7989"/>
    <w:rsid w:val="00FB7C02"/>
    <w:rsid w:val="00FC035E"/>
    <w:rsid w:val="00FC05A9"/>
    <w:rsid w:val="00FC13B9"/>
    <w:rsid w:val="00FC1988"/>
    <w:rsid w:val="00FC19FC"/>
    <w:rsid w:val="00FC20E4"/>
    <w:rsid w:val="00FC231C"/>
    <w:rsid w:val="00FC2358"/>
    <w:rsid w:val="00FC27D7"/>
    <w:rsid w:val="00FC2974"/>
    <w:rsid w:val="00FC2A62"/>
    <w:rsid w:val="00FC3239"/>
    <w:rsid w:val="00FC3406"/>
    <w:rsid w:val="00FC386B"/>
    <w:rsid w:val="00FC3B00"/>
    <w:rsid w:val="00FC4343"/>
    <w:rsid w:val="00FC44AB"/>
    <w:rsid w:val="00FC463C"/>
    <w:rsid w:val="00FC4A44"/>
    <w:rsid w:val="00FC523D"/>
    <w:rsid w:val="00FC5960"/>
    <w:rsid w:val="00FC5B13"/>
    <w:rsid w:val="00FC69F9"/>
    <w:rsid w:val="00FC6D27"/>
    <w:rsid w:val="00FC7192"/>
    <w:rsid w:val="00FC73E3"/>
    <w:rsid w:val="00FC751D"/>
    <w:rsid w:val="00FC76FB"/>
    <w:rsid w:val="00FC7A3A"/>
    <w:rsid w:val="00FD038F"/>
    <w:rsid w:val="00FD04EF"/>
    <w:rsid w:val="00FD0602"/>
    <w:rsid w:val="00FD08FA"/>
    <w:rsid w:val="00FD1C4C"/>
    <w:rsid w:val="00FD23F0"/>
    <w:rsid w:val="00FD2847"/>
    <w:rsid w:val="00FD2ABC"/>
    <w:rsid w:val="00FD379C"/>
    <w:rsid w:val="00FD4014"/>
    <w:rsid w:val="00FD4E61"/>
    <w:rsid w:val="00FD5963"/>
    <w:rsid w:val="00FD5C93"/>
    <w:rsid w:val="00FD5DEE"/>
    <w:rsid w:val="00FD6683"/>
    <w:rsid w:val="00FD6AED"/>
    <w:rsid w:val="00FD745C"/>
    <w:rsid w:val="00FD7721"/>
    <w:rsid w:val="00FE08DD"/>
    <w:rsid w:val="00FE0C7B"/>
    <w:rsid w:val="00FE0C7D"/>
    <w:rsid w:val="00FE0CDC"/>
    <w:rsid w:val="00FE1998"/>
    <w:rsid w:val="00FE1D3A"/>
    <w:rsid w:val="00FE1FB4"/>
    <w:rsid w:val="00FE252D"/>
    <w:rsid w:val="00FE273B"/>
    <w:rsid w:val="00FE28C1"/>
    <w:rsid w:val="00FE35C3"/>
    <w:rsid w:val="00FE3CDA"/>
    <w:rsid w:val="00FE4330"/>
    <w:rsid w:val="00FE4F19"/>
    <w:rsid w:val="00FE57B5"/>
    <w:rsid w:val="00FE5CE3"/>
    <w:rsid w:val="00FE6072"/>
    <w:rsid w:val="00FE654D"/>
    <w:rsid w:val="00FE65F9"/>
    <w:rsid w:val="00FE6A55"/>
    <w:rsid w:val="00FE71B6"/>
    <w:rsid w:val="00FE73CB"/>
    <w:rsid w:val="00FE75A7"/>
    <w:rsid w:val="00FE797B"/>
    <w:rsid w:val="00FE7C47"/>
    <w:rsid w:val="00FE7FE2"/>
    <w:rsid w:val="00FF0B03"/>
    <w:rsid w:val="00FF0DEB"/>
    <w:rsid w:val="00FF1738"/>
    <w:rsid w:val="00FF1D1F"/>
    <w:rsid w:val="00FF2461"/>
    <w:rsid w:val="00FF258E"/>
    <w:rsid w:val="00FF2732"/>
    <w:rsid w:val="00FF2CB5"/>
    <w:rsid w:val="00FF2D79"/>
    <w:rsid w:val="00FF3B89"/>
    <w:rsid w:val="00FF4172"/>
    <w:rsid w:val="00FF41E4"/>
    <w:rsid w:val="00FF4403"/>
    <w:rsid w:val="00FF496C"/>
    <w:rsid w:val="00FF503F"/>
    <w:rsid w:val="00FF50DF"/>
    <w:rsid w:val="00FF543E"/>
    <w:rsid w:val="00FF5478"/>
    <w:rsid w:val="00FF574C"/>
    <w:rsid w:val="00FF63A9"/>
    <w:rsid w:val="00FF6687"/>
    <w:rsid w:val="00FF6790"/>
    <w:rsid w:val="00FF7DCF"/>
    <w:rsid w:val="01997BA1"/>
    <w:rsid w:val="01ABB3A7"/>
    <w:rsid w:val="037283DD"/>
    <w:rsid w:val="03B7FE0D"/>
    <w:rsid w:val="03F37B7D"/>
    <w:rsid w:val="04055DEF"/>
    <w:rsid w:val="04258D30"/>
    <w:rsid w:val="046AC845"/>
    <w:rsid w:val="049F62CC"/>
    <w:rsid w:val="054A1509"/>
    <w:rsid w:val="05732813"/>
    <w:rsid w:val="05C51BB1"/>
    <w:rsid w:val="06092F19"/>
    <w:rsid w:val="067D624D"/>
    <w:rsid w:val="082DA7E9"/>
    <w:rsid w:val="08BEC5FD"/>
    <w:rsid w:val="0945EBB1"/>
    <w:rsid w:val="09D03EA9"/>
    <w:rsid w:val="09F5D46A"/>
    <w:rsid w:val="0A621F99"/>
    <w:rsid w:val="0A76D17E"/>
    <w:rsid w:val="0A849AB4"/>
    <w:rsid w:val="0BFAAEE1"/>
    <w:rsid w:val="0CC108C8"/>
    <w:rsid w:val="0CDF5688"/>
    <w:rsid w:val="0D16D2ED"/>
    <w:rsid w:val="0D3F29DE"/>
    <w:rsid w:val="0DA23ADB"/>
    <w:rsid w:val="0E76CB4E"/>
    <w:rsid w:val="0EF7DEBF"/>
    <w:rsid w:val="10673547"/>
    <w:rsid w:val="10A2CC10"/>
    <w:rsid w:val="10F4DF26"/>
    <w:rsid w:val="112A6CE5"/>
    <w:rsid w:val="129EA368"/>
    <w:rsid w:val="16436F36"/>
    <w:rsid w:val="1655E5BA"/>
    <w:rsid w:val="17AD0544"/>
    <w:rsid w:val="17E9FBE5"/>
    <w:rsid w:val="19A54F7D"/>
    <w:rsid w:val="19E544FF"/>
    <w:rsid w:val="1A0340B6"/>
    <w:rsid w:val="1B496FEF"/>
    <w:rsid w:val="1BB6E918"/>
    <w:rsid w:val="1C3307C4"/>
    <w:rsid w:val="1C4D5673"/>
    <w:rsid w:val="1C6DFB2D"/>
    <w:rsid w:val="1E1FE9DC"/>
    <w:rsid w:val="1E47A619"/>
    <w:rsid w:val="1E7433FF"/>
    <w:rsid w:val="1E8953B9"/>
    <w:rsid w:val="1EECFE07"/>
    <w:rsid w:val="2020F9E9"/>
    <w:rsid w:val="2032CC3D"/>
    <w:rsid w:val="21D29B7B"/>
    <w:rsid w:val="235C720D"/>
    <w:rsid w:val="245497D1"/>
    <w:rsid w:val="2578708D"/>
    <w:rsid w:val="25D26483"/>
    <w:rsid w:val="25FF9155"/>
    <w:rsid w:val="26A30980"/>
    <w:rsid w:val="2796A5F5"/>
    <w:rsid w:val="2890634B"/>
    <w:rsid w:val="29292154"/>
    <w:rsid w:val="2D1BD315"/>
    <w:rsid w:val="2DBB3F22"/>
    <w:rsid w:val="2DEA2214"/>
    <w:rsid w:val="2F6CBDC4"/>
    <w:rsid w:val="304A4CFC"/>
    <w:rsid w:val="30934491"/>
    <w:rsid w:val="31866577"/>
    <w:rsid w:val="32E552C0"/>
    <w:rsid w:val="334CBF55"/>
    <w:rsid w:val="33C1E322"/>
    <w:rsid w:val="33DE647F"/>
    <w:rsid w:val="33E0C19B"/>
    <w:rsid w:val="34021A47"/>
    <w:rsid w:val="34CBFC54"/>
    <w:rsid w:val="352EA5F3"/>
    <w:rsid w:val="35D805DA"/>
    <w:rsid w:val="362CFEB9"/>
    <w:rsid w:val="3636CA16"/>
    <w:rsid w:val="3672B44C"/>
    <w:rsid w:val="37AE548D"/>
    <w:rsid w:val="385610FD"/>
    <w:rsid w:val="388FC20C"/>
    <w:rsid w:val="393B3030"/>
    <w:rsid w:val="39442C6C"/>
    <w:rsid w:val="3A2834C3"/>
    <w:rsid w:val="3A552664"/>
    <w:rsid w:val="3AABCEBF"/>
    <w:rsid w:val="3AD690B6"/>
    <w:rsid w:val="3C01A4E3"/>
    <w:rsid w:val="3C458A23"/>
    <w:rsid w:val="3CF9F859"/>
    <w:rsid w:val="3D8BEE79"/>
    <w:rsid w:val="3DE3331F"/>
    <w:rsid w:val="3EE056A4"/>
    <w:rsid w:val="3F315A2D"/>
    <w:rsid w:val="3F91D9E7"/>
    <w:rsid w:val="3FF16F4C"/>
    <w:rsid w:val="41332819"/>
    <w:rsid w:val="41A2A3D5"/>
    <w:rsid w:val="4210A6E6"/>
    <w:rsid w:val="421F6F12"/>
    <w:rsid w:val="434A15D2"/>
    <w:rsid w:val="44FDED5A"/>
    <w:rsid w:val="46782DA5"/>
    <w:rsid w:val="475DD567"/>
    <w:rsid w:val="48889F52"/>
    <w:rsid w:val="49EABE50"/>
    <w:rsid w:val="4A21B2EE"/>
    <w:rsid w:val="4AB9EDE9"/>
    <w:rsid w:val="4B4A5B95"/>
    <w:rsid w:val="4BAABE60"/>
    <w:rsid w:val="4BF5934C"/>
    <w:rsid w:val="4BF7F5BF"/>
    <w:rsid w:val="4C721E1A"/>
    <w:rsid w:val="4CC92F05"/>
    <w:rsid w:val="4D4FFBA4"/>
    <w:rsid w:val="4E23EB5E"/>
    <w:rsid w:val="4E4487DC"/>
    <w:rsid w:val="4EB335CA"/>
    <w:rsid w:val="50514922"/>
    <w:rsid w:val="51AD15F4"/>
    <w:rsid w:val="520C0BDF"/>
    <w:rsid w:val="5215F570"/>
    <w:rsid w:val="52B59666"/>
    <w:rsid w:val="5328F09B"/>
    <w:rsid w:val="53E0E2CC"/>
    <w:rsid w:val="5419E72E"/>
    <w:rsid w:val="55491737"/>
    <w:rsid w:val="569BCEAB"/>
    <w:rsid w:val="574ABD9B"/>
    <w:rsid w:val="59CCA02D"/>
    <w:rsid w:val="5AB2AB57"/>
    <w:rsid w:val="5AC93A84"/>
    <w:rsid w:val="5B7B5380"/>
    <w:rsid w:val="5C18AD75"/>
    <w:rsid w:val="5CA1879D"/>
    <w:rsid w:val="5D0F29CC"/>
    <w:rsid w:val="5D104445"/>
    <w:rsid w:val="5D2A6A22"/>
    <w:rsid w:val="5D7D1DF2"/>
    <w:rsid w:val="5DAAC55E"/>
    <w:rsid w:val="5E692297"/>
    <w:rsid w:val="5F71CBDE"/>
    <w:rsid w:val="5FB91D4E"/>
    <w:rsid w:val="604487A4"/>
    <w:rsid w:val="605EDF64"/>
    <w:rsid w:val="610A40AC"/>
    <w:rsid w:val="61C9367A"/>
    <w:rsid w:val="61C9E4D2"/>
    <w:rsid w:val="62F261BD"/>
    <w:rsid w:val="63041CB9"/>
    <w:rsid w:val="65D07E71"/>
    <w:rsid w:val="65DACB3F"/>
    <w:rsid w:val="66B655A3"/>
    <w:rsid w:val="69BF6E9C"/>
    <w:rsid w:val="6A632ADA"/>
    <w:rsid w:val="6B31F460"/>
    <w:rsid w:val="6CB856D3"/>
    <w:rsid w:val="6D0655A1"/>
    <w:rsid w:val="6E12A044"/>
    <w:rsid w:val="6E96A6D5"/>
    <w:rsid w:val="6F008C5C"/>
    <w:rsid w:val="7006800F"/>
    <w:rsid w:val="704464F1"/>
    <w:rsid w:val="706D0B1F"/>
    <w:rsid w:val="70BD78E5"/>
    <w:rsid w:val="70BDA801"/>
    <w:rsid w:val="71999E4E"/>
    <w:rsid w:val="72915AA9"/>
    <w:rsid w:val="72D2825F"/>
    <w:rsid w:val="73E6613D"/>
    <w:rsid w:val="74E63C0E"/>
    <w:rsid w:val="755967FC"/>
    <w:rsid w:val="75BA7863"/>
    <w:rsid w:val="76CE9765"/>
    <w:rsid w:val="76F1285E"/>
    <w:rsid w:val="774C02E4"/>
    <w:rsid w:val="77E62A55"/>
    <w:rsid w:val="78E32BCF"/>
    <w:rsid w:val="7A677F78"/>
    <w:rsid w:val="7ACBF8A0"/>
    <w:rsid w:val="7B61D4B4"/>
    <w:rsid w:val="7C999CA2"/>
    <w:rsid w:val="7D2A0183"/>
    <w:rsid w:val="7D67A5A6"/>
    <w:rsid w:val="7E6A5BB9"/>
    <w:rsid w:val="7E917B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E957C4"/>
  <w14:defaultImageDpi w14:val="300"/>
  <w15:docId w15:val="{55BBBE0B-FD3D-4AD4-8FC1-6908E7209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EC3"/>
    <w:pPr>
      <w:spacing w:after="120"/>
    </w:pPr>
    <w:rPr>
      <w:rFonts w:ascii="Arial" w:hAnsi="Arial"/>
      <w:color w:val="000000" w:themeColor="text1"/>
      <w:sz w:val="22"/>
      <w:lang w:val="en-AU"/>
    </w:rPr>
  </w:style>
  <w:style w:type="paragraph" w:styleId="Heading1">
    <w:name w:val="heading 1"/>
    <w:basedOn w:val="Normal"/>
    <w:next w:val="Normal"/>
    <w:link w:val="Heading1Char"/>
    <w:uiPriority w:val="9"/>
    <w:qFormat/>
    <w:rsid w:val="00643D7C"/>
    <w:pPr>
      <w:keepNext/>
      <w:keepLines/>
      <w:spacing w:before="240" w:after="240"/>
      <w:outlineLvl w:val="0"/>
    </w:pPr>
    <w:rPr>
      <w:rFonts w:eastAsiaTheme="majorEastAsia" w:cstheme="majorBidi"/>
      <w:color w:val="004270"/>
      <w:sz w:val="40"/>
      <w:szCs w:val="32"/>
    </w:rPr>
  </w:style>
  <w:style w:type="paragraph" w:styleId="Heading2">
    <w:name w:val="heading 2"/>
    <w:basedOn w:val="Normal"/>
    <w:next w:val="Normal"/>
    <w:link w:val="Heading2Char"/>
    <w:uiPriority w:val="9"/>
    <w:unhideWhenUsed/>
    <w:qFormat/>
    <w:rsid w:val="0035517B"/>
    <w:pPr>
      <w:keepNext/>
      <w:keepLines/>
      <w:spacing w:before="240"/>
      <w:outlineLvl w:val="1"/>
    </w:pPr>
    <w:rPr>
      <w:rFonts w:eastAsiaTheme="majorEastAsia" w:cstheme="majorBidi"/>
      <w:color w:val="004270"/>
      <w:sz w:val="36"/>
    </w:rPr>
  </w:style>
  <w:style w:type="paragraph" w:styleId="Heading3">
    <w:name w:val="heading 3"/>
    <w:basedOn w:val="Normal"/>
    <w:next w:val="Normal"/>
    <w:link w:val="Heading3Char"/>
    <w:uiPriority w:val="9"/>
    <w:unhideWhenUsed/>
    <w:qFormat/>
    <w:rsid w:val="0035517B"/>
    <w:pPr>
      <w:keepNext/>
      <w:keepLines/>
      <w:spacing w:before="240"/>
      <w:outlineLvl w:val="2"/>
    </w:pPr>
    <w:rPr>
      <w:rFonts w:eastAsiaTheme="majorEastAsia" w:cstheme="majorBidi"/>
      <w:color w:val="004270"/>
      <w:sz w:val="28"/>
    </w:rPr>
  </w:style>
  <w:style w:type="paragraph" w:styleId="Heading4">
    <w:name w:val="heading 4"/>
    <w:basedOn w:val="Normal"/>
    <w:next w:val="Normal"/>
    <w:link w:val="Heading4Char"/>
    <w:uiPriority w:val="9"/>
    <w:unhideWhenUsed/>
    <w:qFormat/>
    <w:rsid w:val="00443857"/>
    <w:pPr>
      <w:keepNext/>
      <w:keepLines/>
      <w:spacing w:before="40" w:after="0"/>
      <w:outlineLvl w:val="3"/>
    </w:pPr>
    <w:rPr>
      <w:rFonts w:asciiTheme="majorHAnsi" w:eastAsiaTheme="majorEastAsia" w:hAnsiTheme="majorHAnsi" w:cstheme="majorBidi"/>
      <w:b/>
      <w:iCs/>
      <w:color w:val="365F91"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2CE9"/>
    <w:pPr>
      <w:ind w:left="720"/>
      <w:contextualSpacing/>
    </w:pPr>
  </w:style>
  <w:style w:type="paragraph" w:styleId="FootnoteText">
    <w:name w:val="footnote text"/>
    <w:aliases w:val="Footnote text,5_G,Footnote Text Char Char Char Char Char Char,Footnote Text Char Char Char Char Char Char Char Char Char Char Char Char Char Char Char Char Char,C,Footnote Text2,Footnote Text Char Char,Footnote Text Char1 Char Char,Text,Te"/>
    <w:basedOn w:val="Normal"/>
    <w:link w:val="FootnoteTextChar"/>
    <w:uiPriority w:val="99"/>
    <w:unhideWhenUsed/>
    <w:qFormat/>
    <w:rsid w:val="00C33416"/>
    <w:rPr>
      <w:sz w:val="20"/>
    </w:rPr>
  </w:style>
  <w:style w:type="character" w:customStyle="1" w:styleId="FootnoteTextChar">
    <w:name w:val="Footnote Text Char"/>
    <w:aliases w:val="Footnote text Char,5_G Char,Footnote Text Char Char Char Char Char Char Char,Footnote Text Char Char Char Char Char Char Char Char Char Char Char Char Char Char Char Char Char Char,C Char,Footnote Text2 Char,Text Char,Te Char"/>
    <w:basedOn w:val="DefaultParagraphFont"/>
    <w:link w:val="FootnoteText"/>
    <w:uiPriority w:val="99"/>
    <w:rsid w:val="00C33416"/>
    <w:rPr>
      <w:rFonts w:ascii="Arial" w:hAnsi="Arial"/>
      <w:sz w:val="20"/>
    </w:rPr>
  </w:style>
  <w:style w:type="character" w:styleId="FootnoteReference">
    <w:name w:val="footnote reference"/>
    <w:aliases w:val="4_G,Footnote number,Footnotes refss,Footnote,Stinking Styles,Footnotes refss Char Char1,4_G Char Char Char1 Char Char Char Char Char Char,Footnote Reference1 Char Char Char1 Char Char Char Char Char Char,Texto de nota al pie,BVI fnr,f"/>
    <w:basedOn w:val="DefaultParagraphFont"/>
    <w:uiPriority w:val="99"/>
    <w:unhideWhenUsed/>
    <w:qFormat/>
    <w:rsid w:val="0034134D"/>
    <w:rPr>
      <w:vertAlign w:val="superscript"/>
    </w:rPr>
  </w:style>
  <w:style w:type="character" w:customStyle="1" w:styleId="Heading1Char">
    <w:name w:val="Heading 1 Char"/>
    <w:basedOn w:val="DefaultParagraphFont"/>
    <w:link w:val="Heading1"/>
    <w:uiPriority w:val="9"/>
    <w:rsid w:val="00643D7C"/>
    <w:rPr>
      <w:rFonts w:ascii="Arial" w:eastAsiaTheme="majorEastAsia" w:hAnsi="Arial" w:cstheme="majorBidi"/>
      <w:color w:val="004270"/>
      <w:sz w:val="40"/>
      <w:szCs w:val="32"/>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35517B"/>
    <w:pPr>
      <w:spacing w:line="259" w:lineRule="auto"/>
      <w:outlineLvl w:val="9"/>
    </w:pPr>
  </w:style>
  <w:style w:type="paragraph" w:styleId="TOC1">
    <w:name w:val="toc 1"/>
    <w:basedOn w:val="Normal"/>
    <w:next w:val="Normal"/>
    <w:autoRedefine/>
    <w:uiPriority w:val="39"/>
    <w:unhideWhenUsed/>
    <w:rsid w:val="00A16356"/>
    <w:pPr>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35517B"/>
    <w:rPr>
      <w:rFonts w:ascii="Arial" w:eastAsiaTheme="majorEastAsia" w:hAnsi="Arial" w:cstheme="majorBidi"/>
      <w:color w:val="004270"/>
      <w:sz w:val="36"/>
      <w:lang w:val="en-AU"/>
    </w:rPr>
  </w:style>
  <w:style w:type="paragraph" w:styleId="TOC2">
    <w:name w:val="toc 2"/>
    <w:basedOn w:val="Normal"/>
    <w:next w:val="Normal"/>
    <w:autoRedefine/>
    <w:uiPriority w:val="39"/>
    <w:unhideWhenUsed/>
    <w:rsid w:val="00056960"/>
    <w:pPr>
      <w:tabs>
        <w:tab w:val="right" w:leader="dot" w:pos="8296"/>
      </w:tabs>
      <w:spacing w:before="120"/>
      <w:ind w:left="238"/>
    </w:pPr>
  </w:style>
  <w:style w:type="character" w:styleId="HTMLCite">
    <w:name w:val="HTML Cite"/>
    <w:uiPriority w:val="99"/>
    <w:unhideWhenUsed/>
    <w:rsid w:val="00D74335"/>
    <w:rPr>
      <w:i/>
      <w:iCs/>
    </w:rPr>
  </w:style>
  <w:style w:type="table" w:styleId="TableGrid">
    <w:name w:val="Table Grid"/>
    <w:basedOn w:val="TableNormal"/>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35517B"/>
    <w:rPr>
      <w:rFonts w:ascii="Arial" w:eastAsiaTheme="majorEastAsia" w:hAnsi="Arial" w:cstheme="majorBidi"/>
      <w:color w:val="004270"/>
      <w:sz w:val="28"/>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unhideWhenUsed/>
    <w:rsid w:val="00C526DC"/>
    <w:rPr>
      <w:sz w:val="20"/>
      <w:szCs w:val="20"/>
    </w:rPr>
  </w:style>
  <w:style w:type="character" w:customStyle="1" w:styleId="CommentTextChar">
    <w:name w:val="Comment Text Char"/>
    <w:basedOn w:val="DefaultParagraphFont"/>
    <w:link w:val="CommentText"/>
    <w:uiPriority w:val="99"/>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370EC3"/>
    <w:pPr>
      <w:spacing w:before="120" w:after="240" w:line="276" w:lineRule="auto"/>
      <w:ind w:left="0"/>
      <w:contextualSpacing w:val="0"/>
    </w:pPr>
    <w:rPr>
      <w:rFonts w:cs="Arial"/>
    </w:rPr>
  </w:style>
  <w:style w:type="paragraph" w:styleId="Quote">
    <w:name w:val="Quote"/>
    <w:basedOn w:val="Normal"/>
    <w:next w:val="Normal"/>
    <w:link w:val="QuoteChar"/>
    <w:uiPriority w:val="29"/>
    <w:qFormat/>
    <w:rsid w:val="003C2709"/>
    <w:pPr>
      <w:spacing w:before="240" w:after="240" w:line="276" w:lineRule="auto"/>
      <w:ind w:left="907" w:right="843"/>
    </w:pPr>
    <w:rPr>
      <w:rFonts w:cs="Arial"/>
      <w:sz w:val="20"/>
      <w:szCs w:val="20"/>
    </w:rPr>
  </w:style>
  <w:style w:type="character" w:customStyle="1" w:styleId="ListParagraphChar">
    <w:name w:val="List Paragraph Char"/>
    <w:basedOn w:val="DefaultParagraphFont"/>
    <w:link w:val="ListParagraph"/>
    <w:uiPriority w:val="34"/>
    <w:rsid w:val="00502924"/>
  </w:style>
  <w:style w:type="character" w:customStyle="1" w:styleId="NumberedparagraphChar">
    <w:name w:val="Numbered paragraph Char"/>
    <w:basedOn w:val="ListParagraphChar"/>
    <w:link w:val="Numberedparagraph"/>
    <w:rsid w:val="00370EC3"/>
    <w:rPr>
      <w:rFonts w:ascii="Arial" w:hAnsi="Arial" w:cs="Arial"/>
      <w:color w:val="000000" w:themeColor="text1"/>
      <w:sz w:val="22"/>
      <w:lang w:val="en-AU"/>
    </w:rPr>
  </w:style>
  <w:style w:type="character" w:customStyle="1" w:styleId="QuoteChar">
    <w:name w:val="Quote Char"/>
    <w:basedOn w:val="DefaultParagraphFont"/>
    <w:link w:val="Quote"/>
    <w:uiPriority w:val="29"/>
    <w:rsid w:val="003C2709"/>
    <w:rPr>
      <w:rFonts w:ascii="Arial" w:hAnsi="Arial" w:cs="Arial"/>
      <w:sz w:val="20"/>
      <w:szCs w:val="20"/>
    </w:rPr>
  </w:style>
  <w:style w:type="paragraph" w:customStyle="1" w:styleId="Bulletedlist">
    <w:name w:val="Bulleted list"/>
    <w:basedOn w:val="ListParagraph"/>
    <w:qFormat/>
    <w:rsid w:val="00370EC3"/>
    <w:pPr>
      <w:numPr>
        <w:numId w:val="4"/>
      </w:numPr>
      <w:spacing w:after="240"/>
    </w:pPr>
    <w:rPr>
      <w:rFonts w:cs="Arial"/>
    </w:rPr>
  </w:style>
  <w:style w:type="paragraph" w:styleId="Title">
    <w:name w:val="Title"/>
    <w:basedOn w:val="Normal"/>
    <w:next w:val="Normal"/>
    <w:link w:val="TitleChar"/>
    <w:uiPriority w:val="10"/>
    <w:qFormat/>
    <w:rsid w:val="0035517B"/>
    <w:pPr>
      <w:pBdr>
        <w:bottom w:val="single" w:sz="8" w:space="12" w:color="004270"/>
      </w:pBdr>
      <w:spacing w:after="240"/>
      <w:contextualSpacing/>
    </w:pPr>
    <w:rPr>
      <w:rFonts w:eastAsiaTheme="majorEastAsia" w:cstheme="majorBidi"/>
      <w:color w:val="004270"/>
      <w:spacing w:val="-10"/>
      <w:kern w:val="28"/>
      <w:sz w:val="60"/>
      <w:szCs w:val="56"/>
    </w:rPr>
  </w:style>
  <w:style w:type="character" w:customStyle="1" w:styleId="TitleChar">
    <w:name w:val="Title Char"/>
    <w:basedOn w:val="DefaultParagraphFont"/>
    <w:link w:val="Title"/>
    <w:uiPriority w:val="10"/>
    <w:rsid w:val="0035517B"/>
    <w:rPr>
      <w:rFonts w:ascii="Arial" w:eastAsiaTheme="majorEastAsia" w:hAnsi="Arial" w:cstheme="majorBidi"/>
      <w:color w:val="004270"/>
      <w:spacing w:val="-10"/>
      <w:kern w:val="28"/>
      <w:sz w:val="60"/>
      <w:szCs w:val="56"/>
      <w:lang w:val="en-AU"/>
    </w:rPr>
  </w:style>
  <w:style w:type="paragraph" w:customStyle="1" w:styleId="paragraph">
    <w:name w:val="paragraph"/>
    <w:basedOn w:val="Normal"/>
    <w:rsid w:val="00B54CB0"/>
    <w:pPr>
      <w:spacing w:before="100" w:beforeAutospacing="1" w:after="100" w:afterAutospacing="1"/>
    </w:pPr>
    <w:rPr>
      <w:rFonts w:ascii="Times New Roman" w:eastAsia="Times New Roman" w:hAnsi="Times New Roman" w:cs="Times New Roman"/>
      <w:color w:val="auto"/>
      <w:sz w:val="24"/>
      <w:lang w:eastAsia="en-AU"/>
    </w:rPr>
  </w:style>
  <w:style w:type="character" w:customStyle="1" w:styleId="normaltextrun">
    <w:name w:val="normaltextrun"/>
    <w:basedOn w:val="DefaultParagraphFont"/>
    <w:rsid w:val="00B54CB0"/>
  </w:style>
  <w:style w:type="character" w:customStyle="1" w:styleId="eop">
    <w:name w:val="eop"/>
    <w:basedOn w:val="DefaultParagraphFont"/>
    <w:rsid w:val="00B54CB0"/>
  </w:style>
  <w:style w:type="paragraph" w:styleId="Revision">
    <w:name w:val="Revision"/>
    <w:hidden/>
    <w:uiPriority w:val="99"/>
    <w:semiHidden/>
    <w:rsid w:val="00AF60FB"/>
    <w:rPr>
      <w:rFonts w:ascii="Arial" w:hAnsi="Arial"/>
      <w:color w:val="000000" w:themeColor="text1"/>
      <w:sz w:val="22"/>
      <w:lang w:val="en-AU"/>
    </w:rPr>
  </w:style>
  <w:style w:type="paragraph" w:styleId="NormalWeb">
    <w:name w:val="Normal (Web)"/>
    <w:basedOn w:val="Normal"/>
    <w:uiPriority w:val="99"/>
    <w:semiHidden/>
    <w:unhideWhenUsed/>
    <w:rsid w:val="005321E2"/>
    <w:rPr>
      <w:rFonts w:ascii="Times New Roman" w:hAnsi="Times New Roman" w:cs="Times New Roman"/>
      <w:sz w:val="24"/>
    </w:rPr>
  </w:style>
  <w:style w:type="character" w:styleId="Mention">
    <w:name w:val="Mention"/>
    <w:basedOn w:val="DefaultParagraphFont"/>
    <w:uiPriority w:val="99"/>
    <w:unhideWhenUsed/>
    <w:rsid w:val="00635F3F"/>
    <w:rPr>
      <w:color w:val="2B579A"/>
      <w:shd w:val="clear" w:color="auto" w:fill="E1DFDD"/>
    </w:rPr>
  </w:style>
  <w:style w:type="character" w:customStyle="1" w:styleId="overflow-hidden">
    <w:name w:val="overflow-hidden"/>
    <w:basedOn w:val="DefaultParagraphFont"/>
    <w:rsid w:val="00B670F2"/>
  </w:style>
  <w:style w:type="character" w:styleId="UnresolvedMention">
    <w:name w:val="Unresolved Mention"/>
    <w:basedOn w:val="DefaultParagraphFont"/>
    <w:uiPriority w:val="99"/>
    <w:semiHidden/>
    <w:unhideWhenUsed/>
    <w:rsid w:val="00166CD7"/>
    <w:rPr>
      <w:color w:val="605E5C"/>
      <w:shd w:val="clear" w:color="auto" w:fill="E1DFDD"/>
    </w:rPr>
  </w:style>
  <w:style w:type="character" w:styleId="FollowedHyperlink">
    <w:name w:val="FollowedHyperlink"/>
    <w:basedOn w:val="DefaultParagraphFont"/>
    <w:uiPriority w:val="99"/>
    <w:semiHidden/>
    <w:unhideWhenUsed/>
    <w:rsid w:val="00166CD7"/>
    <w:rPr>
      <w:color w:val="800080" w:themeColor="followedHyperlink"/>
      <w:u w:val="single"/>
    </w:rPr>
  </w:style>
  <w:style w:type="paragraph" w:styleId="EndnoteText">
    <w:name w:val="endnote text"/>
    <w:basedOn w:val="Normal"/>
    <w:link w:val="EndnoteTextChar"/>
    <w:uiPriority w:val="99"/>
    <w:semiHidden/>
    <w:unhideWhenUsed/>
    <w:rsid w:val="00336EDF"/>
    <w:pPr>
      <w:spacing w:after="0"/>
    </w:pPr>
    <w:rPr>
      <w:sz w:val="20"/>
      <w:szCs w:val="20"/>
    </w:rPr>
  </w:style>
  <w:style w:type="character" w:customStyle="1" w:styleId="EndnoteTextChar">
    <w:name w:val="Endnote Text Char"/>
    <w:basedOn w:val="DefaultParagraphFont"/>
    <w:link w:val="EndnoteText"/>
    <w:uiPriority w:val="99"/>
    <w:semiHidden/>
    <w:rsid w:val="00336EDF"/>
    <w:rPr>
      <w:rFonts w:ascii="Arial" w:hAnsi="Arial"/>
      <w:color w:val="000000" w:themeColor="text1"/>
      <w:sz w:val="20"/>
      <w:szCs w:val="20"/>
      <w:lang w:val="en-AU"/>
    </w:rPr>
  </w:style>
  <w:style w:type="character" w:styleId="EndnoteReference">
    <w:name w:val="endnote reference"/>
    <w:basedOn w:val="DefaultParagraphFont"/>
    <w:uiPriority w:val="99"/>
    <w:semiHidden/>
    <w:unhideWhenUsed/>
    <w:rsid w:val="00336EDF"/>
    <w:rPr>
      <w:vertAlign w:val="superscript"/>
    </w:rPr>
  </w:style>
  <w:style w:type="character" w:customStyle="1" w:styleId="bumpedfont15">
    <w:name w:val="bumpedfont15"/>
    <w:basedOn w:val="DefaultParagraphFont"/>
    <w:rsid w:val="00704181"/>
  </w:style>
  <w:style w:type="character" w:customStyle="1" w:styleId="apple-converted-space">
    <w:name w:val="apple-converted-space"/>
    <w:basedOn w:val="DefaultParagraphFont"/>
    <w:rsid w:val="00704181"/>
  </w:style>
  <w:style w:type="character" w:customStyle="1" w:styleId="s21">
    <w:name w:val="s21"/>
    <w:basedOn w:val="DefaultParagraphFont"/>
    <w:rsid w:val="00704181"/>
  </w:style>
  <w:style w:type="paragraph" w:customStyle="1" w:styleId="p1">
    <w:name w:val="p1"/>
    <w:basedOn w:val="Normal"/>
    <w:rsid w:val="00704181"/>
    <w:pPr>
      <w:spacing w:after="240"/>
    </w:pPr>
    <w:rPr>
      <w:rFonts w:ascii=".SF UI" w:hAnsi=".SF UI" w:cs="Times New Roman"/>
      <w:color w:val="000000"/>
      <w:sz w:val="35"/>
      <w:szCs w:val="35"/>
      <w:lang w:val="en-GB" w:eastAsia="en-GB"/>
    </w:rPr>
  </w:style>
  <w:style w:type="character" w:customStyle="1" w:styleId="s1">
    <w:name w:val="s1"/>
    <w:basedOn w:val="DefaultParagraphFont"/>
    <w:rsid w:val="00704181"/>
    <w:rPr>
      <w:rFonts w:ascii=".SFUI-Regular" w:hAnsi=".SFUI-Regular" w:hint="default"/>
      <w:b w:val="0"/>
      <w:bCs w:val="0"/>
      <w:i w:val="0"/>
      <w:iCs w:val="0"/>
      <w:sz w:val="35"/>
      <w:szCs w:val="35"/>
    </w:rPr>
  </w:style>
  <w:style w:type="character" w:customStyle="1" w:styleId="s2">
    <w:name w:val="s2"/>
    <w:basedOn w:val="DefaultParagraphFont"/>
    <w:rsid w:val="00704181"/>
    <w:rPr>
      <w:rFonts w:ascii=".SFUI-Regular" w:hAnsi=".SFUI-Regular" w:hint="default"/>
      <w:b w:val="0"/>
      <w:bCs w:val="0"/>
      <w:i w:val="0"/>
      <w:iCs w:val="0"/>
      <w:sz w:val="35"/>
      <w:szCs w:val="35"/>
      <w:shd w:val="clear" w:color="auto" w:fill="EBD3E1"/>
    </w:rPr>
  </w:style>
  <w:style w:type="character" w:customStyle="1" w:styleId="Heading4Char">
    <w:name w:val="Heading 4 Char"/>
    <w:basedOn w:val="DefaultParagraphFont"/>
    <w:link w:val="Heading4"/>
    <w:uiPriority w:val="9"/>
    <w:rsid w:val="00443857"/>
    <w:rPr>
      <w:rFonts w:asciiTheme="majorHAnsi" w:eastAsiaTheme="majorEastAsia" w:hAnsiTheme="majorHAnsi" w:cstheme="majorBidi"/>
      <w:b/>
      <w:iCs/>
      <w:color w:val="365F91" w:themeColor="accent1" w:themeShade="BF"/>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80221">
      <w:bodyDiv w:val="1"/>
      <w:marLeft w:val="0"/>
      <w:marRight w:val="0"/>
      <w:marTop w:val="0"/>
      <w:marBottom w:val="0"/>
      <w:divBdr>
        <w:top w:val="none" w:sz="0" w:space="0" w:color="auto"/>
        <w:left w:val="none" w:sz="0" w:space="0" w:color="auto"/>
        <w:bottom w:val="none" w:sz="0" w:space="0" w:color="auto"/>
        <w:right w:val="none" w:sz="0" w:space="0" w:color="auto"/>
      </w:divBdr>
    </w:div>
    <w:div w:id="42026084">
      <w:bodyDiv w:val="1"/>
      <w:marLeft w:val="0"/>
      <w:marRight w:val="0"/>
      <w:marTop w:val="0"/>
      <w:marBottom w:val="0"/>
      <w:divBdr>
        <w:top w:val="none" w:sz="0" w:space="0" w:color="auto"/>
        <w:left w:val="none" w:sz="0" w:space="0" w:color="auto"/>
        <w:bottom w:val="none" w:sz="0" w:space="0" w:color="auto"/>
        <w:right w:val="none" w:sz="0" w:space="0" w:color="auto"/>
      </w:divBdr>
    </w:div>
    <w:div w:id="61950763">
      <w:bodyDiv w:val="1"/>
      <w:marLeft w:val="0"/>
      <w:marRight w:val="0"/>
      <w:marTop w:val="0"/>
      <w:marBottom w:val="0"/>
      <w:divBdr>
        <w:top w:val="none" w:sz="0" w:space="0" w:color="auto"/>
        <w:left w:val="none" w:sz="0" w:space="0" w:color="auto"/>
        <w:bottom w:val="none" w:sz="0" w:space="0" w:color="auto"/>
        <w:right w:val="none" w:sz="0" w:space="0" w:color="auto"/>
      </w:divBdr>
    </w:div>
    <w:div w:id="135493668">
      <w:bodyDiv w:val="1"/>
      <w:marLeft w:val="0"/>
      <w:marRight w:val="0"/>
      <w:marTop w:val="0"/>
      <w:marBottom w:val="0"/>
      <w:divBdr>
        <w:top w:val="none" w:sz="0" w:space="0" w:color="auto"/>
        <w:left w:val="none" w:sz="0" w:space="0" w:color="auto"/>
        <w:bottom w:val="none" w:sz="0" w:space="0" w:color="auto"/>
        <w:right w:val="none" w:sz="0" w:space="0" w:color="auto"/>
      </w:divBdr>
    </w:div>
    <w:div w:id="171146543">
      <w:bodyDiv w:val="1"/>
      <w:marLeft w:val="0"/>
      <w:marRight w:val="0"/>
      <w:marTop w:val="0"/>
      <w:marBottom w:val="0"/>
      <w:divBdr>
        <w:top w:val="none" w:sz="0" w:space="0" w:color="auto"/>
        <w:left w:val="none" w:sz="0" w:space="0" w:color="auto"/>
        <w:bottom w:val="none" w:sz="0" w:space="0" w:color="auto"/>
        <w:right w:val="none" w:sz="0" w:space="0" w:color="auto"/>
      </w:divBdr>
    </w:div>
    <w:div w:id="171644854">
      <w:bodyDiv w:val="1"/>
      <w:marLeft w:val="0"/>
      <w:marRight w:val="0"/>
      <w:marTop w:val="0"/>
      <w:marBottom w:val="0"/>
      <w:divBdr>
        <w:top w:val="none" w:sz="0" w:space="0" w:color="auto"/>
        <w:left w:val="none" w:sz="0" w:space="0" w:color="auto"/>
        <w:bottom w:val="none" w:sz="0" w:space="0" w:color="auto"/>
        <w:right w:val="none" w:sz="0" w:space="0" w:color="auto"/>
      </w:divBdr>
    </w:div>
    <w:div w:id="216867969">
      <w:bodyDiv w:val="1"/>
      <w:marLeft w:val="0"/>
      <w:marRight w:val="0"/>
      <w:marTop w:val="0"/>
      <w:marBottom w:val="0"/>
      <w:divBdr>
        <w:top w:val="none" w:sz="0" w:space="0" w:color="auto"/>
        <w:left w:val="none" w:sz="0" w:space="0" w:color="auto"/>
        <w:bottom w:val="none" w:sz="0" w:space="0" w:color="auto"/>
        <w:right w:val="none" w:sz="0" w:space="0" w:color="auto"/>
      </w:divBdr>
    </w:div>
    <w:div w:id="221983191">
      <w:bodyDiv w:val="1"/>
      <w:marLeft w:val="0"/>
      <w:marRight w:val="0"/>
      <w:marTop w:val="0"/>
      <w:marBottom w:val="0"/>
      <w:divBdr>
        <w:top w:val="none" w:sz="0" w:space="0" w:color="auto"/>
        <w:left w:val="none" w:sz="0" w:space="0" w:color="auto"/>
        <w:bottom w:val="none" w:sz="0" w:space="0" w:color="auto"/>
        <w:right w:val="none" w:sz="0" w:space="0" w:color="auto"/>
      </w:divBdr>
    </w:div>
    <w:div w:id="234708570">
      <w:bodyDiv w:val="1"/>
      <w:marLeft w:val="0"/>
      <w:marRight w:val="0"/>
      <w:marTop w:val="0"/>
      <w:marBottom w:val="0"/>
      <w:divBdr>
        <w:top w:val="none" w:sz="0" w:space="0" w:color="auto"/>
        <w:left w:val="none" w:sz="0" w:space="0" w:color="auto"/>
        <w:bottom w:val="none" w:sz="0" w:space="0" w:color="auto"/>
        <w:right w:val="none" w:sz="0" w:space="0" w:color="auto"/>
      </w:divBdr>
    </w:div>
    <w:div w:id="337120695">
      <w:bodyDiv w:val="1"/>
      <w:marLeft w:val="0"/>
      <w:marRight w:val="0"/>
      <w:marTop w:val="0"/>
      <w:marBottom w:val="0"/>
      <w:divBdr>
        <w:top w:val="none" w:sz="0" w:space="0" w:color="auto"/>
        <w:left w:val="none" w:sz="0" w:space="0" w:color="auto"/>
        <w:bottom w:val="none" w:sz="0" w:space="0" w:color="auto"/>
        <w:right w:val="none" w:sz="0" w:space="0" w:color="auto"/>
      </w:divBdr>
    </w:div>
    <w:div w:id="348024042">
      <w:bodyDiv w:val="1"/>
      <w:marLeft w:val="0"/>
      <w:marRight w:val="0"/>
      <w:marTop w:val="0"/>
      <w:marBottom w:val="0"/>
      <w:divBdr>
        <w:top w:val="none" w:sz="0" w:space="0" w:color="auto"/>
        <w:left w:val="none" w:sz="0" w:space="0" w:color="auto"/>
        <w:bottom w:val="none" w:sz="0" w:space="0" w:color="auto"/>
        <w:right w:val="none" w:sz="0" w:space="0" w:color="auto"/>
      </w:divBdr>
    </w:div>
    <w:div w:id="408768284">
      <w:bodyDiv w:val="1"/>
      <w:marLeft w:val="0"/>
      <w:marRight w:val="0"/>
      <w:marTop w:val="0"/>
      <w:marBottom w:val="0"/>
      <w:divBdr>
        <w:top w:val="none" w:sz="0" w:space="0" w:color="auto"/>
        <w:left w:val="none" w:sz="0" w:space="0" w:color="auto"/>
        <w:bottom w:val="none" w:sz="0" w:space="0" w:color="auto"/>
        <w:right w:val="none" w:sz="0" w:space="0" w:color="auto"/>
      </w:divBdr>
    </w:div>
    <w:div w:id="417679675">
      <w:bodyDiv w:val="1"/>
      <w:marLeft w:val="0"/>
      <w:marRight w:val="0"/>
      <w:marTop w:val="0"/>
      <w:marBottom w:val="0"/>
      <w:divBdr>
        <w:top w:val="none" w:sz="0" w:space="0" w:color="auto"/>
        <w:left w:val="none" w:sz="0" w:space="0" w:color="auto"/>
        <w:bottom w:val="none" w:sz="0" w:space="0" w:color="auto"/>
        <w:right w:val="none" w:sz="0" w:space="0" w:color="auto"/>
      </w:divBdr>
    </w:div>
    <w:div w:id="578563247">
      <w:bodyDiv w:val="1"/>
      <w:marLeft w:val="0"/>
      <w:marRight w:val="0"/>
      <w:marTop w:val="0"/>
      <w:marBottom w:val="0"/>
      <w:divBdr>
        <w:top w:val="none" w:sz="0" w:space="0" w:color="auto"/>
        <w:left w:val="none" w:sz="0" w:space="0" w:color="auto"/>
        <w:bottom w:val="none" w:sz="0" w:space="0" w:color="auto"/>
        <w:right w:val="none" w:sz="0" w:space="0" w:color="auto"/>
      </w:divBdr>
    </w:div>
    <w:div w:id="600917412">
      <w:bodyDiv w:val="1"/>
      <w:marLeft w:val="0"/>
      <w:marRight w:val="0"/>
      <w:marTop w:val="0"/>
      <w:marBottom w:val="0"/>
      <w:divBdr>
        <w:top w:val="none" w:sz="0" w:space="0" w:color="auto"/>
        <w:left w:val="none" w:sz="0" w:space="0" w:color="auto"/>
        <w:bottom w:val="none" w:sz="0" w:space="0" w:color="auto"/>
        <w:right w:val="none" w:sz="0" w:space="0" w:color="auto"/>
      </w:divBdr>
    </w:div>
    <w:div w:id="660546335">
      <w:bodyDiv w:val="1"/>
      <w:marLeft w:val="0"/>
      <w:marRight w:val="0"/>
      <w:marTop w:val="0"/>
      <w:marBottom w:val="0"/>
      <w:divBdr>
        <w:top w:val="none" w:sz="0" w:space="0" w:color="auto"/>
        <w:left w:val="none" w:sz="0" w:space="0" w:color="auto"/>
        <w:bottom w:val="none" w:sz="0" w:space="0" w:color="auto"/>
        <w:right w:val="none" w:sz="0" w:space="0" w:color="auto"/>
      </w:divBdr>
    </w:div>
    <w:div w:id="724108291">
      <w:bodyDiv w:val="1"/>
      <w:marLeft w:val="0"/>
      <w:marRight w:val="0"/>
      <w:marTop w:val="0"/>
      <w:marBottom w:val="0"/>
      <w:divBdr>
        <w:top w:val="none" w:sz="0" w:space="0" w:color="auto"/>
        <w:left w:val="none" w:sz="0" w:space="0" w:color="auto"/>
        <w:bottom w:val="none" w:sz="0" w:space="0" w:color="auto"/>
        <w:right w:val="none" w:sz="0" w:space="0" w:color="auto"/>
      </w:divBdr>
    </w:div>
    <w:div w:id="754984898">
      <w:bodyDiv w:val="1"/>
      <w:marLeft w:val="0"/>
      <w:marRight w:val="0"/>
      <w:marTop w:val="0"/>
      <w:marBottom w:val="0"/>
      <w:divBdr>
        <w:top w:val="none" w:sz="0" w:space="0" w:color="auto"/>
        <w:left w:val="none" w:sz="0" w:space="0" w:color="auto"/>
        <w:bottom w:val="none" w:sz="0" w:space="0" w:color="auto"/>
        <w:right w:val="none" w:sz="0" w:space="0" w:color="auto"/>
      </w:divBdr>
    </w:div>
    <w:div w:id="755059080">
      <w:bodyDiv w:val="1"/>
      <w:marLeft w:val="0"/>
      <w:marRight w:val="0"/>
      <w:marTop w:val="0"/>
      <w:marBottom w:val="0"/>
      <w:divBdr>
        <w:top w:val="none" w:sz="0" w:space="0" w:color="auto"/>
        <w:left w:val="none" w:sz="0" w:space="0" w:color="auto"/>
        <w:bottom w:val="none" w:sz="0" w:space="0" w:color="auto"/>
        <w:right w:val="none" w:sz="0" w:space="0" w:color="auto"/>
      </w:divBdr>
    </w:div>
    <w:div w:id="759105826">
      <w:bodyDiv w:val="1"/>
      <w:marLeft w:val="0"/>
      <w:marRight w:val="0"/>
      <w:marTop w:val="0"/>
      <w:marBottom w:val="0"/>
      <w:divBdr>
        <w:top w:val="none" w:sz="0" w:space="0" w:color="auto"/>
        <w:left w:val="none" w:sz="0" w:space="0" w:color="auto"/>
        <w:bottom w:val="none" w:sz="0" w:space="0" w:color="auto"/>
        <w:right w:val="none" w:sz="0" w:space="0" w:color="auto"/>
      </w:divBdr>
    </w:div>
    <w:div w:id="760444188">
      <w:bodyDiv w:val="1"/>
      <w:marLeft w:val="0"/>
      <w:marRight w:val="0"/>
      <w:marTop w:val="0"/>
      <w:marBottom w:val="0"/>
      <w:divBdr>
        <w:top w:val="none" w:sz="0" w:space="0" w:color="auto"/>
        <w:left w:val="none" w:sz="0" w:space="0" w:color="auto"/>
        <w:bottom w:val="none" w:sz="0" w:space="0" w:color="auto"/>
        <w:right w:val="none" w:sz="0" w:space="0" w:color="auto"/>
      </w:divBdr>
    </w:div>
    <w:div w:id="825517899">
      <w:bodyDiv w:val="1"/>
      <w:marLeft w:val="0"/>
      <w:marRight w:val="0"/>
      <w:marTop w:val="0"/>
      <w:marBottom w:val="0"/>
      <w:divBdr>
        <w:top w:val="none" w:sz="0" w:space="0" w:color="auto"/>
        <w:left w:val="none" w:sz="0" w:space="0" w:color="auto"/>
        <w:bottom w:val="none" w:sz="0" w:space="0" w:color="auto"/>
        <w:right w:val="none" w:sz="0" w:space="0" w:color="auto"/>
      </w:divBdr>
    </w:div>
    <w:div w:id="886914903">
      <w:bodyDiv w:val="1"/>
      <w:marLeft w:val="0"/>
      <w:marRight w:val="0"/>
      <w:marTop w:val="0"/>
      <w:marBottom w:val="0"/>
      <w:divBdr>
        <w:top w:val="none" w:sz="0" w:space="0" w:color="auto"/>
        <w:left w:val="none" w:sz="0" w:space="0" w:color="auto"/>
        <w:bottom w:val="none" w:sz="0" w:space="0" w:color="auto"/>
        <w:right w:val="none" w:sz="0" w:space="0" w:color="auto"/>
      </w:divBdr>
    </w:div>
    <w:div w:id="942416095">
      <w:bodyDiv w:val="1"/>
      <w:marLeft w:val="0"/>
      <w:marRight w:val="0"/>
      <w:marTop w:val="0"/>
      <w:marBottom w:val="0"/>
      <w:divBdr>
        <w:top w:val="none" w:sz="0" w:space="0" w:color="auto"/>
        <w:left w:val="none" w:sz="0" w:space="0" w:color="auto"/>
        <w:bottom w:val="none" w:sz="0" w:space="0" w:color="auto"/>
        <w:right w:val="none" w:sz="0" w:space="0" w:color="auto"/>
      </w:divBdr>
      <w:divsChild>
        <w:div w:id="1231115671">
          <w:marLeft w:val="0"/>
          <w:marRight w:val="0"/>
          <w:marTop w:val="0"/>
          <w:marBottom w:val="0"/>
          <w:divBdr>
            <w:top w:val="none" w:sz="0" w:space="0" w:color="auto"/>
            <w:left w:val="none" w:sz="0" w:space="0" w:color="auto"/>
            <w:bottom w:val="none" w:sz="0" w:space="0" w:color="auto"/>
            <w:right w:val="none" w:sz="0" w:space="0" w:color="auto"/>
          </w:divBdr>
          <w:divsChild>
            <w:div w:id="1950231930">
              <w:marLeft w:val="0"/>
              <w:marRight w:val="0"/>
              <w:marTop w:val="0"/>
              <w:marBottom w:val="0"/>
              <w:divBdr>
                <w:top w:val="none" w:sz="0" w:space="0" w:color="auto"/>
                <w:left w:val="none" w:sz="0" w:space="0" w:color="auto"/>
                <w:bottom w:val="none" w:sz="0" w:space="0" w:color="auto"/>
                <w:right w:val="none" w:sz="0" w:space="0" w:color="auto"/>
              </w:divBdr>
              <w:divsChild>
                <w:div w:id="513225294">
                  <w:marLeft w:val="0"/>
                  <w:marRight w:val="0"/>
                  <w:marTop w:val="0"/>
                  <w:marBottom w:val="0"/>
                  <w:divBdr>
                    <w:top w:val="none" w:sz="0" w:space="0" w:color="auto"/>
                    <w:left w:val="none" w:sz="0" w:space="0" w:color="auto"/>
                    <w:bottom w:val="none" w:sz="0" w:space="0" w:color="auto"/>
                    <w:right w:val="none" w:sz="0" w:space="0" w:color="auto"/>
                  </w:divBdr>
                  <w:divsChild>
                    <w:div w:id="83206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249175">
          <w:marLeft w:val="0"/>
          <w:marRight w:val="0"/>
          <w:marTop w:val="0"/>
          <w:marBottom w:val="0"/>
          <w:divBdr>
            <w:top w:val="none" w:sz="0" w:space="0" w:color="auto"/>
            <w:left w:val="none" w:sz="0" w:space="0" w:color="auto"/>
            <w:bottom w:val="none" w:sz="0" w:space="0" w:color="auto"/>
            <w:right w:val="none" w:sz="0" w:space="0" w:color="auto"/>
          </w:divBdr>
          <w:divsChild>
            <w:div w:id="1853764027">
              <w:marLeft w:val="0"/>
              <w:marRight w:val="0"/>
              <w:marTop w:val="0"/>
              <w:marBottom w:val="0"/>
              <w:divBdr>
                <w:top w:val="none" w:sz="0" w:space="0" w:color="auto"/>
                <w:left w:val="none" w:sz="0" w:space="0" w:color="auto"/>
                <w:bottom w:val="none" w:sz="0" w:space="0" w:color="auto"/>
                <w:right w:val="none" w:sz="0" w:space="0" w:color="auto"/>
              </w:divBdr>
              <w:divsChild>
                <w:div w:id="1358700969">
                  <w:marLeft w:val="0"/>
                  <w:marRight w:val="0"/>
                  <w:marTop w:val="0"/>
                  <w:marBottom w:val="0"/>
                  <w:divBdr>
                    <w:top w:val="none" w:sz="0" w:space="0" w:color="auto"/>
                    <w:left w:val="none" w:sz="0" w:space="0" w:color="auto"/>
                    <w:bottom w:val="none" w:sz="0" w:space="0" w:color="auto"/>
                    <w:right w:val="none" w:sz="0" w:space="0" w:color="auto"/>
                  </w:divBdr>
                  <w:divsChild>
                    <w:div w:id="68146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793886">
      <w:bodyDiv w:val="1"/>
      <w:marLeft w:val="0"/>
      <w:marRight w:val="0"/>
      <w:marTop w:val="0"/>
      <w:marBottom w:val="0"/>
      <w:divBdr>
        <w:top w:val="none" w:sz="0" w:space="0" w:color="auto"/>
        <w:left w:val="none" w:sz="0" w:space="0" w:color="auto"/>
        <w:bottom w:val="none" w:sz="0" w:space="0" w:color="auto"/>
        <w:right w:val="none" w:sz="0" w:space="0" w:color="auto"/>
      </w:divBdr>
    </w:div>
    <w:div w:id="1016273786">
      <w:bodyDiv w:val="1"/>
      <w:marLeft w:val="0"/>
      <w:marRight w:val="0"/>
      <w:marTop w:val="0"/>
      <w:marBottom w:val="0"/>
      <w:divBdr>
        <w:top w:val="none" w:sz="0" w:space="0" w:color="auto"/>
        <w:left w:val="none" w:sz="0" w:space="0" w:color="auto"/>
        <w:bottom w:val="none" w:sz="0" w:space="0" w:color="auto"/>
        <w:right w:val="none" w:sz="0" w:space="0" w:color="auto"/>
      </w:divBdr>
    </w:div>
    <w:div w:id="1040201403">
      <w:bodyDiv w:val="1"/>
      <w:marLeft w:val="0"/>
      <w:marRight w:val="0"/>
      <w:marTop w:val="0"/>
      <w:marBottom w:val="0"/>
      <w:divBdr>
        <w:top w:val="none" w:sz="0" w:space="0" w:color="auto"/>
        <w:left w:val="none" w:sz="0" w:space="0" w:color="auto"/>
        <w:bottom w:val="none" w:sz="0" w:space="0" w:color="auto"/>
        <w:right w:val="none" w:sz="0" w:space="0" w:color="auto"/>
      </w:divBdr>
    </w:div>
    <w:div w:id="1053583174">
      <w:bodyDiv w:val="1"/>
      <w:marLeft w:val="0"/>
      <w:marRight w:val="0"/>
      <w:marTop w:val="0"/>
      <w:marBottom w:val="0"/>
      <w:divBdr>
        <w:top w:val="none" w:sz="0" w:space="0" w:color="auto"/>
        <w:left w:val="none" w:sz="0" w:space="0" w:color="auto"/>
        <w:bottom w:val="none" w:sz="0" w:space="0" w:color="auto"/>
        <w:right w:val="none" w:sz="0" w:space="0" w:color="auto"/>
      </w:divBdr>
    </w:div>
    <w:div w:id="1061173022">
      <w:bodyDiv w:val="1"/>
      <w:marLeft w:val="0"/>
      <w:marRight w:val="0"/>
      <w:marTop w:val="0"/>
      <w:marBottom w:val="0"/>
      <w:divBdr>
        <w:top w:val="none" w:sz="0" w:space="0" w:color="auto"/>
        <w:left w:val="none" w:sz="0" w:space="0" w:color="auto"/>
        <w:bottom w:val="none" w:sz="0" w:space="0" w:color="auto"/>
        <w:right w:val="none" w:sz="0" w:space="0" w:color="auto"/>
      </w:divBdr>
    </w:div>
    <w:div w:id="1092314574">
      <w:bodyDiv w:val="1"/>
      <w:marLeft w:val="0"/>
      <w:marRight w:val="0"/>
      <w:marTop w:val="0"/>
      <w:marBottom w:val="0"/>
      <w:divBdr>
        <w:top w:val="none" w:sz="0" w:space="0" w:color="auto"/>
        <w:left w:val="none" w:sz="0" w:space="0" w:color="auto"/>
        <w:bottom w:val="none" w:sz="0" w:space="0" w:color="auto"/>
        <w:right w:val="none" w:sz="0" w:space="0" w:color="auto"/>
      </w:divBdr>
    </w:div>
    <w:div w:id="1117797979">
      <w:bodyDiv w:val="1"/>
      <w:marLeft w:val="0"/>
      <w:marRight w:val="0"/>
      <w:marTop w:val="0"/>
      <w:marBottom w:val="0"/>
      <w:divBdr>
        <w:top w:val="none" w:sz="0" w:space="0" w:color="auto"/>
        <w:left w:val="none" w:sz="0" w:space="0" w:color="auto"/>
        <w:bottom w:val="none" w:sz="0" w:space="0" w:color="auto"/>
        <w:right w:val="none" w:sz="0" w:space="0" w:color="auto"/>
      </w:divBdr>
    </w:div>
    <w:div w:id="1153182640">
      <w:bodyDiv w:val="1"/>
      <w:marLeft w:val="0"/>
      <w:marRight w:val="0"/>
      <w:marTop w:val="0"/>
      <w:marBottom w:val="0"/>
      <w:divBdr>
        <w:top w:val="none" w:sz="0" w:space="0" w:color="auto"/>
        <w:left w:val="none" w:sz="0" w:space="0" w:color="auto"/>
        <w:bottom w:val="none" w:sz="0" w:space="0" w:color="auto"/>
        <w:right w:val="none" w:sz="0" w:space="0" w:color="auto"/>
      </w:divBdr>
    </w:div>
    <w:div w:id="1192643420">
      <w:bodyDiv w:val="1"/>
      <w:marLeft w:val="0"/>
      <w:marRight w:val="0"/>
      <w:marTop w:val="0"/>
      <w:marBottom w:val="0"/>
      <w:divBdr>
        <w:top w:val="none" w:sz="0" w:space="0" w:color="auto"/>
        <w:left w:val="none" w:sz="0" w:space="0" w:color="auto"/>
        <w:bottom w:val="none" w:sz="0" w:space="0" w:color="auto"/>
        <w:right w:val="none" w:sz="0" w:space="0" w:color="auto"/>
      </w:divBdr>
    </w:div>
    <w:div w:id="1229613576">
      <w:bodyDiv w:val="1"/>
      <w:marLeft w:val="0"/>
      <w:marRight w:val="0"/>
      <w:marTop w:val="0"/>
      <w:marBottom w:val="0"/>
      <w:divBdr>
        <w:top w:val="none" w:sz="0" w:space="0" w:color="auto"/>
        <w:left w:val="none" w:sz="0" w:space="0" w:color="auto"/>
        <w:bottom w:val="none" w:sz="0" w:space="0" w:color="auto"/>
        <w:right w:val="none" w:sz="0" w:space="0" w:color="auto"/>
      </w:divBdr>
    </w:div>
    <w:div w:id="1283655497">
      <w:bodyDiv w:val="1"/>
      <w:marLeft w:val="0"/>
      <w:marRight w:val="0"/>
      <w:marTop w:val="0"/>
      <w:marBottom w:val="0"/>
      <w:divBdr>
        <w:top w:val="none" w:sz="0" w:space="0" w:color="auto"/>
        <w:left w:val="none" w:sz="0" w:space="0" w:color="auto"/>
        <w:bottom w:val="none" w:sz="0" w:space="0" w:color="auto"/>
        <w:right w:val="none" w:sz="0" w:space="0" w:color="auto"/>
      </w:divBdr>
    </w:div>
    <w:div w:id="1305310004">
      <w:bodyDiv w:val="1"/>
      <w:marLeft w:val="0"/>
      <w:marRight w:val="0"/>
      <w:marTop w:val="0"/>
      <w:marBottom w:val="0"/>
      <w:divBdr>
        <w:top w:val="none" w:sz="0" w:space="0" w:color="auto"/>
        <w:left w:val="none" w:sz="0" w:space="0" w:color="auto"/>
        <w:bottom w:val="none" w:sz="0" w:space="0" w:color="auto"/>
        <w:right w:val="none" w:sz="0" w:space="0" w:color="auto"/>
      </w:divBdr>
    </w:div>
    <w:div w:id="1312489810">
      <w:bodyDiv w:val="1"/>
      <w:marLeft w:val="0"/>
      <w:marRight w:val="0"/>
      <w:marTop w:val="0"/>
      <w:marBottom w:val="0"/>
      <w:divBdr>
        <w:top w:val="none" w:sz="0" w:space="0" w:color="auto"/>
        <w:left w:val="none" w:sz="0" w:space="0" w:color="auto"/>
        <w:bottom w:val="none" w:sz="0" w:space="0" w:color="auto"/>
        <w:right w:val="none" w:sz="0" w:space="0" w:color="auto"/>
      </w:divBdr>
    </w:div>
    <w:div w:id="1346591113">
      <w:bodyDiv w:val="1"/>
      <w:marLeft w:val="0"/>
      <w:marRight w:val="0"/>
      <w:marTop w:val="0"/>
      <w:marBottom w:val="0"/>
      <w:divBdr>
        <w:top w:val="none" w:sz="0" w:space="0" w:color="auto"/>
        <w:left w:val="none" w:sz="0" w:space="0" w:color="auto"/>
        <w:bottom w:val="none" w:sz="0" w:space="0" w:color="auto"/>
        <w:right w:val="none" w:sz="0" w:space="0" w:color="auto"/>
      </w:divBdr>
      <w:divsChild>
        <w:div w:id="699551208">
          <w:marLeft w:val="540"/>
          <w:marRight w:val="0"/>
          <w:marTop w:val="0"/>
          <w:marBottom w:val="180"/>
          <w:divBdr>
            <w:top w:val="none" w:sz="0" w:space="0" w:color="auto"/>
            <w:left w:val="none" w:sz="0" w:space="0" w:color="auto"/>
            <w:bottom w:val="none" w:sz="0" w:space="0" w:color="auto"/>
            <w:right w:val="none" w:sz="0" w:space="0" w:color="auto"/>
          </w:divBdr>
        </w:div>
        <w:div w:id="974408471">
          <w:marLeft w:val="540"/>
          <w:marRight w:val="0"/>
          <w:marTop w:val="0"/>
          <w:marBottom w:val="180"/>
          <w:divBdr>
            <w:top w:val="none" w:sz="0" w:space="0" w:color="auto"/>
            <w:left w:val="none" w:sz="0" w:space="0" w:color="auto"/>
            <w:bottom w:val="none" w:sz="0" w:space="0" w:color="auto"/>
            <w:right w:val="none" w:sz="0" w:space="0" w:color="auto"/>
          </w:divBdr>
        </w:div>
        <w:div w:id="988939652">
          <w:marLeft w:val="540"/>
          <w:marRight w:val="0"/>
          <w:marTop w:val="90"/>
          <w:marBottom w:val="180"/>
          <w:divBdr>
            <w:top w:val="none" w:sz="0" w:space="0" w:color="auto"/>
            <w:left w:val="none" w:sz="0" w:space="0" w:color="auto"/>
            <w:bottom w:val="none" w:sz="0" w:space="0" w:color="auto"/>
            <w:right w:val="none" w:sz="0" w:space="0" w:color="auto"/>
          </w:divBdr>
          <w:divsChild>
            <w:div w:id="405886865">
              <w:marLeft w:val="0"/>
              <w:marRight w:val="0"/>
              <w:marTop w:val="0"/>
              <w:marBottom w:val="0"/>
              <w:divBdr>
                <w:top w:val="none" w:sz="0" w:space="0" w:color="auto"/>
                <w:left w:val="none" w:sz="0" w:space="0" w:color="auto"/>
                <w:bottom w:val="none" w:sz="0" w:space="0" w:color="auto"/>
                <w:right w:val="none" w:sz="0" w:space="0" w:color="auto"/>
              </w:divBdr>
            </w:div>
          </w:divsChild>
        </w:div>
        <w:div w:id="1068579526">
          <w:marLeft w:val="540"/>
          <w:marRight w:val="0"/>
          <w:marTop w:val="0"/>
          <w:marBottom w:val="180"/>
          <w:divBdr>
            <w:top w:val="none" w:sz="0" w:space="0" w:color="auto"/>
            <w:left w:val="none" w:sz="0" w:space="0" w:color="auto"/>
            <w:bottom w:val="none" w:sz="0" w:space="0" w:color="auto"/>
            <w:right w:val="none" w:sz="0" w:space="0" w:color="auto"/>
          </w:divBdr>
        </w:div>
        <w:div w:id="1415126047">
          <w:marLeft w:val="540"/>
          <w:marRight w:val="0"/>
          <w:marTop w:val="0"/>
          <w:marBottom w:val="180"/>
          <w:divBdr>
            <w:top w:val="none" w:sz="0" w:space="0" w:color="auto"/>
            <w:left w:val="none" w:sz="0" w:space="0" w:color="auto"/>
            <w:bottom w:val="none" w:sz="0" w:space="0" w:color="auto"/>
            <w:right w:val="none" w:sz="0" w:space="0" w:color="auto"/>
          </w:divBdr>
        </w:div>
        <w:div w:id="1511529052">
          <w:marLeft w:val="540"/>
          <w:marRight w:val="0"/>
          <w:marTop w:val="0"/>
          <w:marBottom w:val="180"/>
          <w:divBdr>
            <w:top w:val="none" w:sz="0" w:space="0" w:color="auto"/>
            <w:left w:val="none" w:sz="0" w:space="0" w:color="auto"/>
            <w:bottom w:val="none" w:sz="0" w:space="0" w:color="auto"/>
            <w:right w:val="none" w:sz="0" w:space="0" w:color="auto"/>
          </w:divBdr>
        </w:div>
        <w:div w:id="1823697245">
          <w:marLeft w:val="540"/>
          <w:marRight w:val="0"/>
          <w:marTop w:val="0"/>
          <w:marBottom w:val="180"/>
          <w:divBdr>
            <w:top w:val="none" w:sz="0" w:space="0" w:color="auto"/>
            <w:left w:val="none" w:sz="0" w:space="0" w:color="auto"/>
            <w:bottom w:val="none" w:sz="0" w:space="0" w:color="auto"/>
            <w:right w:val="none" w:sz="0" w:space="0" w:color="auto"/>
          </w:divBdr>
        </w:div>
      </w:divsChild>
    </w:div>
    <w:div w:id="1481194945">
      <w:bodyDiv w:val="1"/>
      <w:marLeft w:val="0"/>
      <w:marRight w:val="0"/>
      <w:marTop w:val="0"/>
      <w:marBottom w:val="0"/>
      <w:divBdr>
        <w:top w:val="none" w:sz="0" w:space="0" w:color="auto"/>
        <w:left w:val="none" w:sz="0" w:space="0" w:color="auto"/>
        <w:bottom w:val="none" w:sz="0" w:space="0" w:color="auto"/>
        <w:right w:val="none" w:sz="0" w:space="0" w:color="auto"/>
      </w:divBdr>
    </w:div>
    <w:div w:id="1581525617">
      <w:bodyDiv w:val="1"/>
      <w:marLeft w:val="0"/>
      <w:marRight w:val="0"/>
      <w:marTop w:val="0"/>
      <w:marBottom w:val="0"/>
      <w:divBdr>
        <w:top w:val="none" w:sz="0" w:space="0" w:color="auto"/>
        <w:left w:val="none" w:sz="0" w:space="0" w:color="auto"/>
        <w:bottom w:val="none" w:sz="0" w:space="0" w:color="auto"/>
        <w:right w:val="none" w:sz="0" w:space="0" w:color="auto"/>
      </w:divBdr>
    </w:div>
    <w:div w:id="1589339543">
      <w:bodyDiv w:val="1"/>
      <w:marLeft w:val="0"/>
      <w:marRight w:val="0"/>
      <w:marTop w:val="0"/>
      <w:marBottom w:val="0"/>
      <w:divBdr>
        <w:top w:val="none" w:sz="0" w:space="0" w:color="auto"/>
        <w:left w:val="none" w:sz="0" w:space="0" w:color="auto"/>
        <w:bottom w:val="none" w:sz="0" w:space="0" w:color="auto"/>
        <w:right w:val="none" w:sz="0" w:space="0" w:color="auto"/>
      </w:divBdr>
    </w:div>
    <w:div w:id="1642154078">
      <w:bodyDiv w:val="1"/>
      <w:marLeft w:val="0"/>
      <w:marRight w:val="0"/>
      <w:marTop w:val="0"/>
      <w:marBottom w:val="0"/>
      <w:divBdr>
        <w:top w:val="none" w:sz="0" w:space="0" w:color="auto"/>
        <w:left w:val="none" w:sz="0" w:space="0" w:color="auto"/>
        <w:bottom w:val="none" w:sz="0" w:space="0" w:color="auto"/>
        <w:right w:val="none" w:sz="0" w:space="0" w:color="auto"/>
      </w:divBdr>
    </w:div>
    <w:div w:id="1655644326">
      <w:bodyDiv w:val="1"/>
      <w:marLeft w:val="0"/>
      <w:marRight w:val="0"/>
      <w:marTop w:val="0"/>
      <w:marBottom w:val="0"/>
      <w:divBdr>
        <w:top w:val="none" w:sz="0" w:space="0" w:color="auto"/>
        <w:left w:val="none" w:sz="0" w:space="0" w:color="auto"/>
        <w:bottom w:val="none" w:sz="0" w:space="0" w:color="auto"/>
        <w:right w:val="none" w:sz="0" w:space="0" w:color="auto"/>
      </w:divBdr>
    </w:div>
    <w:div w:id="1663044573">
      <w:bodyDiv w:val="1"/>
      <w:marLeft w:val="0"/>
      <w:marRight w:val="0"/>
      <w:marTop w:val="0"/>
      <w:marBottom w:val="0"/>
      <w:divBdr>
        <w:top w:val="none" w:sz="0" w:space="0" w:color="auto"/>
        <w:left w:val="none" w:sz="0" w:space="0" w:color="auto"/>
        <w:bottom w:val="none" w:sz="0" w:space="0" w:color="auto"/>
        <w:right w:val="none" w:sz="0" w:space="0" w:color="auto"/>
      </w:divBdr>
    </w:div>
    <w:div w:id="1706901919">
      <w:bodyDiv w:val="1"/>
      <w:marLeft w:val="0"/>
      <w:marRight w:val="0"/>
      <w:marTop w:val="0"/>
      <w:marBottom w:val="0"/>
      <w:divBdr>
        <w:top w:val="none" w:sz="0" w:space="0" w:color="auto"/>
        <w:left w:val="none" w:sz="0" w:space="0" w:color="auto"/>
        <w:bottom w:val="none" w:sz="0" w:space="0" w:color="auto"/>
        <w:right w:val="none" w:sz="0" w:space="0" w:color="auto"/>
      </w:divBdr>
    </w:div>
    <w:div w:id="1775588727">
      <w:bodyDiv w:val="1"/>
      <w:marLeft w:val="0"/>
      <w:marRight w:val="0"/>
      <w:marTop w:val="0"/>
      <w:marBottom w:val="0"/>
      <w:divBdr>
        <w:top w:val="none" w:sz="0" w:space="0" w:color="auto"/>
        <w:left w:val="none" w:sz="0" w:space="0" w:color="auto"/>
        <w:bottom w:val="none" w:sz="0" w:space="0" w:color="auto"/>
        <w:right w:val="none" w:sz="0" w:space="0" w:color="auto"/>
      </w:divBdr>
    </w:div>
    <w:div w:id="1783375253">
      <w:bodyDiv w:val="1"/>
      <w:marLeft w:val="0"/>
      <w:marRight w:val="0"/>
      <w:marTop w:val="0"/>
      <w:marBottom w:val="0"/>
      <w:divBdr>
        <w:top w:val="none" w:sz="0" w:space="0" w:color="auto"/>
        <w:left w:val="none" w:sz="0" w:space="0" w:color="auto"/>
        <w:bottom w:val="none" w:sz="0" w:space="0" w:color="auto"/>
        <w:right w:val="none" w:sz="0" w:space="0" w:color="auto"/>
      </w:divBdr>
    </w:div>
    <w:div w:id="1804762718">
      <w:bodyDiv w:val="1"/>
      <w:marLeft w:val="0"/>
      <w:marRight w:val="0"/>
      <w:marTop w:val="0"/>
      <w:marBottom w:val="0"/>
      <w:divBdr>
        <w:top w:val="none" w:sz="0" w:space="0" w:color="auto"/>
        <w:left w:val="none" w:sz="0" w:space="0" w:color="auto"/>
        <w:bottom w:val="none" w:sz="0" w:space="0" w:color="auto"/>
        <w:right w:val="none" w:sz="0" w:space="0" w:color="auto"/>
      </w:divBdr>
    </w:div>
    <w:div w:id="1913924065">
      <w:bodyDiv w:val="1"/>
      <w:marLeft w:val="0"/>
      <w:marRight w:val="0"/>
      <w:marTop w:val="0"/>
      <w:marBottom w:val="0"/>
      <w:divBdr>
        <w:top w:val="none" w:sz="0" w:space="0" w:color="auto"/>
        <w:left w:val="none" w:sz="0" w:space="0" w:color="auto"/>
        <w:bottom w:val="none" w:sz="0" w:space="0" w:color="auto"/>
        <w:right w:val="none" w:sz="0" w:space="0" w:color="auto"/>
      </w:divBdr>
    </w:div>
    <w:div w:id="1948342294">
      <w:bodyDiv w:val="1"/>
      <w:marLeft w:val="0"/>
      <w:marRight w:val="0"/>
      <w:marTop w:val="0"/>
      <w:marBottom w:val="0"/>
      <w:divBdr>
        <w:top w:val="none" w:sz="0" w:space="0" w:color="auto"/>
        <w:left w:val="none" w:sz="0" w:space="0" w:color="auto"/>
        <w:bottom w:val="none" w:sz="0" w:space="0" w:color="auto"/>
        <w:right w:val="none" w:sz="0" w:space="0" w:color="auto"/>
      </w:divBdr>
    </w:div>
    <w:div w:id="1954432977">
      <w:bodyDiv w:val="1"/>
      <w:marLeft w:val="0"/>
      <w:marRight w:val="0"/>
      <w:marTop w:val="0"/>
      <w:marBottom w:val="0"/>
      <w:divBdr>
        <w:top w:val="none" w:sz="0" w:space="0" w:color="auto"/>
        <w:left w:val="none" w:sz="0" w:space="0" w:color="auto"/>
        <w:bottom w:val="none" w:sz="0" w:space="0" w:color="auto"/>
        <w:right w:val="none" w:sz="0" w:space="0" w:color="auto"/>
      </w:divBdr>
    </w:div>
    <w:div w:id="2091921647">
      <w:bodyDiv w:val="1"/>
      <w:marLeft w:val="0"/>
      <w:marRight w:val="0"/>
      <w:marTop w:val="0"/>
      <w:marBottom w:val="0"/>
      <w:divBdr>
        <w:top w:val="none" w:sz="0" w:space="0" w:color="auto"/>
        <w:left w:val="none" w:sz="0" w:space="0" w:color="auto"/>
        <w:bottom w:val="none" w:sz="0" w:space="0" w:color="auto"/>
        <w:right w:val="none" w:sz="0" w:space="0" w:color="auto"/>
      </w:divBdr>
    </w:div>
    <w:div w:id="21232635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chart" Target="charts/chart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28575" cap="rnd">
              <a:solidFill>
                <a:schemeClr val="accent3"/>
              </a:solidFill>
              <a:round/>
            </a:ln>
            <a:effectLst/>
          </c:spPr>
          <c:marker>
            <c:symbol val="none"/>
          </c:marker>
          <c:cat>
            <c:strRef>
              <c:f>Sheet1!$Q$1:$AF$1</c:f>
              <c:strCache>
                <c:ptCount val="16"/>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strCache>
            </c:strRef>
          </c:cat>
          <c:val>
            <c:numRef>
              <c:f>Sheet1!$Q$2:$AF$2</c:f>
              <c:numCache>
                <c:formatCode>#,##0.0</c:formatCode>
                <c:ptCount val="16"/>
                <c:pt idx="0">
                  <c:v>3575.8</c:v>
                </c:pt>
                <c:pt idx="1">
                  <c:v>3659.6</c:v>
                </c:pt>
                <c:pt idx="2">
                  <c:v>3279.8</c:v>
                </c:pt>
                <c:pt idx="3">
                  <c:v>3042.3</c:v>
                </c:pt>
                <c:pt idx="4">
                  <c:v>2763.3</c:v>
                </c:pt>
                <c:pt idx="5">
                  <c:v>2670.4</c:v>
                </c:pt>
                <c:pt idx="6">
                  <c:v>2649.7</c:v>
                </c:pt>
                <c:pt idx="7">
                  <c:v>2618.5</c:v>
                </c:pt>
                <c:pt idx="8">
                  <c:v>2542.9</c:v>
                </c:pt>
                <c:pt idx="9">
                  <c:v>2432.4</c:v>
                </c:pt>
                <c:pt idx="10">
                  <c:v>2264.9</c:v>
                </c:pt>
                <c:pt idx="11">
                  <c:v>2083.9</c:v>
                </c:pt>
                <c:pt idx="12">
                  <c:v>1911.4</c:v>
                </c:pt>
                <c:pt idx="13">
                  <c:v>1863.4</c:v>
                </c:pt>
                <c:pt idx="14">
                  <c:v>1924.5</c:v>
                </c:pt>
                <c:pt idx="15">
                  <c:v>1828.1</c:v>
                </c:pt>
              </c:numCache>
            </c:numRef>
          </c:val>
          <c:smooth val="0"/>
          <c:extLst>
            <c:ext xmlns:c16="http://schemas.microsoft.com/office/drawing/2014/chart" uri="{C3380CC4-5D6E-409C-BE32-E72D297353CC}">
              <c16:uniqueId val="{00000000-2839-46F5-A783-AA33959E524B}"/>
            </c:ext>
          </c:extLst>
        </c:ser>
        <c:dLbls>
          <c:showLegendKey val="0"/>
          <c:showVal val="0"/>
          <c:showCatName val="0"/>
          <c:showSerName val="0"/>
          <c:showPercent val="0"/>
          <c:showBubbleSize val="0"/>
        </c:dLbls>
        <c:smooth val="0"/>
        <c:axId val="1720030448"/>
        <c:axId val="1720030928"/>
      </c:lineChart>
      <c:catAx>
        <c:axId val="1720030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20030928"/>
        <c:crosses val="autoZero"/>
        <c:auto val="1"/>
        <c:lblAlgn val="ctr"/>
        <c:lblOffset val="100"/>
        <c:noMultiLvlLbl val="0"/>
      </c:catAx>
      <c:valAx>
        <c:axId val="172003092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200304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9210114167827788E-2"/>
          <c:y val="4.2274023869061914E-2"/>
          <c:w val="0.92707246470734372"/>
          <c:h val="0.58869575123479134"/>
        </c:manualLayout>
      </c:layout>
      <c:lineChart>
        <c:grouping val="standard"/>
        <c:varyColors val="0"/>
        <c:ser>
          <c:idx val="0"/>
          <c:order val="0"/>
          <c:tx>
            <c:strRef>
              <c:f>Sheet1!$A$47</c:f>
              <c:strCache>
                <c:ptCount val="1"/>
                <c:pt idx="0">
                  <c:v>01 Homicide and related offences</c:v>
                </c:pt>
              </c:strCache>
            </c:strRef>
          </c:tx>
          <c:spPr>
            <a:ln w="28575" cap="rnd">
              <a:solidFill>
                <a:schemeClr val="accent1"/>
              </a:solidFill>
              <a:round/>
            </a:ln>
            <a:effectLst/>
          </c:spPr>
          <c:marker>
            <c:symbol val="none"/>
          </c:marker>
          <c:cat>
            <c:strRef>
              <c:f>Sheet1!$B$46:$Q$46</c:f>
              <c:strCache>
                <c:ptCount val="16"/>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strCache>
            </c:strRef>
          </c:cat>
          <c:val>
            <c:numRef>
              <c:f>Sheet1!$B$47:$Q$47</c:f>
              <c:numCache>
                <c:formatCode>#,##0.0</c:formatCode>
                <c:ptCount val="16"/>
                <c:pt idx="0">
                  <c:v>4.5</c:v>
                </c:pt>
                <c:pt idx="1">
                  <c:v>1.7</c:v>
                </c:pt>
                <c:pt idx="2">
                  <c:v>0</c:v>
                </c:pt>
                <c:pt idx="3">
                  <c:v>0</c:v>
                </c:pt>
                <c:pt idx="4">
                  <c:v>2.7</c:v>
                </c:pt>
                <c:pt idx="5">
                  <c:v>0.8</c:v>
                </c:pt>
                <c:pt idx="6">
                  <c:v>0.6</c:v>
                </c:pt>
                <c:pt idx="7">
                  <c:v>0.6</c:v>
                </c:pt>
                <c:pt idx="8">
                  <c:v>1.6</c:v>
                </c:pt>
                <c:pt idx="9">
                  <c:v>0.8</c:v>
                </c:pt>
                <c:pt idx="10">
                  <c:v>1.2</c:v>
                </c:pt>
                <c:pt idx="11">
                  <c:v>2.5</c:v>
                </c:pt>
                <c:pt idx="12">
                  <c:v>1.7</c:v>
                </c:pt>
                <c:pt idx="13">
                  <c:v>4</c:v>
                </c:pt>
                <c:pt idx="14">
                  <c:v>3.5</c:v>
                </c:pt>
                <c:pt idx="15">
                  <c:v>0.7</c:v>
                </c:pt>
              </c:numCache>
            </c:numRef>
          </c:val>
          <c:smooth val="0"/>
          <c:extLst>
            <c:ext xmlns:c16="http://schemas.microsoft.com/office/drawing/2014/chart" uri="{C3380CC4-5D6E-409C-BE32-E72D297353CC}">
              <c16:uniqueId val="{00000000-83AE-4A2E-BA4C-F11F101D8E5F}"/>
            </c:ext>
          </c:extLst>
        </c:ser>
        <c:ser>
          <c:idx val="1"/>
          <c:order val="1"/>
          <c:tx>
            <c:strRef>
              <c:f>Sheet1!$A$48</c:f>
              <c:strCache>
                <c:ptCount val="1"/>
                <c:pt idx="0">
                  <c:v>02 Acts intended to cause injury</c:v>
                </c:pt>
              </c:strCache>
            </c:strRef>
          </c:tx>
          <c:spPr>
            <a:ln w="28575" cap="rnd">
              <a:solidFill>
                <a:schemeClr val="accent2"/>
              </a:solidFill>
              <a:round/>
            </a:ln>
            <a:effectLst/>
          </c:spPr>
          <c:marker>
            <c:symbol val="none"/>
          </c:marker>
          <c:cat>
            <c:strRef>
              <c:f>Sheet1!$B$46:$Q$46</c:f>
              <c:strCache>
                <c:ptCount val="16"/>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strCache>
            </c:strRef>
          </c:cat>
          <c:val>
            <c:numRef>
              <c:f>Sheet1!$B$48:$Q$48</c:f>
              <c:numCache>
                <c:formatCode>#,##0.0</c:formatCode>
                <c:ptCount val="16"/>
                <c:pt idx="0">
                  <c:v>475.3</c:v>
                </c:pt>
                <c:pt idx="1">
                  <c:v>485.9</c:v>
                </c:pt>
                <c:pt idx="2">
                  <c:v>444.1</c:v>
                </c:pt>
                <c:pt idx="3">
                  <c:v>412.7</c:v>
                </c:pt>
                <c:pt idx="4">
                  <c:v>362.7</c:v>
                </c:pt>
                <c:pt idx="5">
                  <c:v>341.2</c:v>
                </c:pt>
                <c:pt idx="6">
                  <c:v>338.8</c:v>
                </c:pt>
                <c:pt idx="7">
                  <c:v>334.3</c:v>
                </c:pt>
                <c:pt idx="8">
                  <c:v>361.7</c:v>
                </c:pt>
                <c:pt idx="9">
                  <c:v>394.6</c:v>
                </c:pt>
                <c:pt idx="10">
                  <c:v>387</c:v>
                </c:pt>
                <c:pt idx="11">
                  <c:v>371.5</c:v>
                </c:pt>
                <c:pt idx="12">
                  <c:v>411.4</c:v>
                </c:pt>
                <c:pt idx="13">
                  <c:v>401.6</c:v>
                </c:pt>
                <c:pt idx="14">
                  <c:v>445.5</c:v>
                </c:pt>
                <c:pt idx="15">
                  <c:v>447.5</c:v>
                </c:pt>
              </c:numCache>
            </c:numRef>
          </c:val>
          <c:smooth val="0"/>
          <c:extLst>
            <c:ext xmlns:c16="http://schemas.microsoft.com/office/drawing/2014/chart" uri="{C3380CC4-5D6E-409C-BE32-E72D297353CC}">
              <c16:uniqueId val="{00000001-83AE-4A2E-BA4C-F11F101D8E5F}"/>
            </c:ext>
          </c:extLst>
        </c:ser>
        <c:ser>
          <c:idx val="2"/>
          <c:order val="2"/>
          <c:tx>
            <c:strRef>
              <c:f>Sheet1!$A$49</c:f>
              <c:strCache>
                <c:ptCount val="1"/>
                <c:pt idx="0">
                  <c:v>03 Sexual assault and related offences</c:v>
                </c:pt>
              </c:strCache>
            </c:strRef>
          </c:tx>
          <c:spPr>
            <a:ln w="28575" cap="rnd">
              <a:solidFill>
                <a:schemeClr val="accent3"/>
              </a:solidFill>
              <a:round/>
            </a:ln>
            <a:effectLst/>
          </c:spPr>
          <c:marker>
            <c:symbol val="none"/>
          </c:marker>
          <c:cat>
            <c:strRef>
              <c:f>Sheet1!$B$46:$Q$46</c:f>
              <c:strCache>
                <c:ptCount val="16"/>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strCache>
            </c:strRef>
          </c:cat>
          <c:val>
            <c:numRef>
              <c:f>Sheet1!$B$49:$Q$49</c:f>
              <c:numCache>
                <c:formatCode>#,##0.0</c:formatCode>
                <c:ptCount val="16"/>
                <c:pt idx="0">
                  <c:v>103.4</c:v>
                </c:pt>
                <c:pt idx="1">
                  <c:v>103.2</c:v>
                </c:pt>
                <c:pt idx="2">
                  <c:v>85.9</c:v>
                </c:pt>
                <c:pt idx="3">
                  <c:v>87.8</c:v>
                </c:pt>
                <c:pt idx="4">
                  <c:v>110.4</c:v>
                </c:pt>
                <c:pt idx="5">
                  <c:v>151.1</c:v>
                </c:pt>
                <c:pt idx="6">
                  <c:v>172.7</c:v>
                </c:pt>
                <c:pt idx="7">
                  <c:v>161.9</c:v>
                </c:pt>
                <c:pt idx="8">
                  <c:v>130.80000000000001</c:v>
                </c:pt>
                <c:pt idx="9">
                  <c:v>115.8</c:v>
                </c:pt>
                <c:pt idx="10">
                  <c:v>106.9</c:v>
                </c:pt>
                <c:pt idx="11">
                  <c:v>117.6</c:v>
                </c:pt>
                <c:pt idx="12">
                  <c:v>119.5</c:v>
                </c:pt>
                <c:pt idx="13">
                  <c:v>116.5</c:v>
                </c:pt>
                <c:pt idx="14">
                  <c:v>118.2</c:v>
                </c:pt>
                <c:pt idx="15">
                  <c:v>117.7</c:v>
                </c:pt>
              </c:numCache>
            </c:numRef>
          </c:val>
          <c:smooth val="0"/>
          <c:extLst>
            <c:ext xmlns:c16="http://schemas.microsoft.com/office/drawing/2014/chart" uri="{C3380CC4-5D6E-409C-BE32-E72D297353CC}">
              <c16:uniqueId val="{00000002-83AE-4A2E-BA4C-F11F101D8E5F}"/>
            </c:ext>
          </c:extLst>
        </c:ser>
        <c:ser>
          <c:idx val="3"/>
          <c:order val="3"/>
          <c:tx>
            <c:strRef>
              <c:f>Sheet1!$A$50</c:f>
              <c:strCache>
                <c:ptCount val="1"/>
                <c:pt idx="0">
                  <c:v>04 Dangerous/negligent acts(f)</c:v>
                </c:pt>
              </c:strCache>
            </c:strRef>
          </c:tx>
          <c:spPr>
            <a:ln w="28575" cap="rnd">
              <a:solidFill>
                <a:schemeClr val="accent4"/>
              </a:solidFill>
              <a:round/>
            </a:ln>
            <a:effectLst/>
          </c:spPr>
          <c:marker>
            <c:symbol val="none"/>
          </c:marker>
          <c:cat>
            <c:strRef>
              <c:f>Sheet1!$B$46:$Q$46</c:f>
              <c:strCache>
                <c:ptCount val="16"/>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strCache>
            </c:strRef>
          </c:cat>
          <c:val>
            <c:numRef>
              <c:f>Sheet1!$B$50:$Q$50</c:f>
              <c:numCache>
                <c:formatCode>#,##0.0</c:formatCode>
                <c:ptCount val="16"/>
                <c:pt idx="0">
                  <c:v>29.3</c:v>
                </c:pt>
                <c:pt idx="1">
                  <c:v>38.1</c:v>
                </c:pt>
                <c:pt idx="2">
                  <c:v>31.1</c:v>
                </c:pt>
                <c:pt idx="3">
                  <c:v>34.200000000000003</c:v>
                </c:pt>
                <c:pt idx="4">
                  <c:v>31.4</c:v>
                </c:pt>
                <c:pt idx="5">
                  <c:v>23.8</c:v>
                </c:pt>
                <c:pt idx="6">
                  <c:v>25.5</c:v>
                </c:pt>
                <c:pt idx="7">
                  <c:v>23.2</c:v>
                </c:pt>
                <c:pt idx="8">
                  <c:v>25.2</c:v>
                </c:pt>
                <c:pt idx="9">
                  <c:v>20.399999999999999</c:v>
                </c:pt>
                <c:pt idx="10">
                  <c:v>23</c:v>
                </c:pt>
                <c:pt idx="11">
                  <c:v>12.7</c:v>
                </c:pt>
                <c:pt idx="12">
                  <c:v>21.1</c:v>
                </c:pt>
                <c:pt idx="13">
                  <c:v>19.7</c:v>
                </c:pt>
                <c:pt idx="14">
                  <c:v>22.6</c:v>
                </c:pt>
                <c:pt idx="15">
                  <c:v>18.399999999999999</c:v>
                </c:pt>
              </c:numCache>
            </c:numRef>
          </c:val>
          <c:smooth val="0"/>
          <c:extLst>
            <c:ext xmlns:c16="http://schemas.microsoft.com/office/drawing/2014/chart" uri="{C3380CC4-5D6E-409C-BE32-E72D297353CC}">
              <c16:uniqueId val="{00000003-83AE-4A2E-BA4C-F11F101D8E5F}"/>
            </c:ext>
          </c:extLst>
        </c:ser>
        <c:ser>
          <c:idx val="4"/>
          <c:order val="4"/>
          <c:tx>
            <c:strRef>
              <c:f>Sheet1!$A$51</c:f>
              <c:strCache>
                <c:ptCount val="1"/>
                <c:pt idx="0">
                  <c:v>05 Abduction/harassment</c:v>
                </c:pt>
              </c:strCache>
            </c:strRef>
          </c:tx>
          <c:spPr>
            <a:ln w="28575" cap="rnd">
              <a:solidFill>
                <a:schemeClr val="accent5"/>
              </a:solidFill>
              <a:round/>
            </a:ln>
            <a:effectLst/>
          </c:spPr>
          <c:marker>
            <c:symbol val="none"/>
          </c:marker>
          <c:cat>
            <c:strRef>
              <c:f>Sheet1!$B$46:$Q$46</c:f>
              <c:strCache>
                <c:ptCount val="16"/>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strCache>
            </c:strRef>
          </c:cat>
          <c:val>
            <c:numRef>
              <c:f>Sheet1!$B$51:$Q$51</c:f>
              <c:numCache>
                <c:formatCode>#,##0.0</c:formatCode>
                <c:ptCount val="16"/>
                <c:pt idx="0">
                  <c:v>0.6</c:v>
                </c:pt>
                <c:pt idx="1">
                  <c:v>1.5</c:v>
                </c:pt>
                <c:pt idx="2">
                  <c:v>1.3</c:v>
                </c:pt>
                <c:pt idx="3">
                  <c:v>0.6</c:v>
                </c:pt>
                <c:pt idx="4">
                  <c:v>1.7</c:v>
                </c:pt>
                <c:pt idx="5">
                  <c:v>0.8</c:v>
                </c:pt>
                <c:pt idx="6">
                  <c:v>1</c:v>
                </c:pt>
                <c:pt idx="7">
                  <c:v>1</c:v>
                </c:pt>
                <c:pt idx="8">
                  <c:v>0.6</c:v>
                </c:pt>
                <c:pt idx="9">
                  <c:v>1.4</c:v>
                </c:pt>
                <c:pt idx="10">
                  <c:v>2.5</c:v>
                </c:pt>
                <c:pt idx="11">
                  <c:v>1.3</c:v>
                </c:pt>
                <c:pt idx="12">
                  <c:v>0.6</c:v>
                </c:pt>
                <c:pt idx="13">
                  <c:v>0</c:v>
                </c:pt>
                <c:pt idx="14">
                  <c:v>1.4</c:v>
                </c:pt>
                <c:pt idx="15">
                  <c:v>1</c:v>
                </c:pt>
              </c:numCache>
            </c:numRef>
          </c:val>
          <c:smooth val="0"/>
          <c:extLst>
            <c:ext xmlns:c16="http://schemas.microsoft.com/office/drawing/2014/chart" uri="{C3380CC4-5D6E-409C-BE32-E72D297353CC}">
              <c16:uniqueId val="{00000004-83AE-4A2E-BA4C-F11F101D8E5F}"/>
            </c:ext>
          </c:extLst>
        </c:ser>
        <c:ser>
          <c:idx val="5"/>
          <c:order val="5"/>
          <c:tx>
            <c:strRef>
              <c:f>Sheet1!$A$52</c:f>
              <c:strCache>
                <c:ptCount val="1"/>
                <c:pt idx="0">
                  <c:v>06 Robbery/extortion</c:v>
                </c:pt>
              </c:strCache>
            </c:strRef>
          </c:tx>
          <c:spPr>
            <a:ln w="28575" cap="rnd">
              <a:solidFill>
                <a:schemeClr val="accent6"/>
              </a:solidFill>
              <a:round/>
            </a:ln>
            <a:effectLst/>
          </c:spPr>
          <c:marker>
            <c:symbol val="none"/>
          </c:marker>
          <c:cat>
            <c:strRef>
              <c:f>Sheet1!$B$46:$Q$46</c:f>
              <c:strCache>
                <c:ptCount val="16"/>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strCache>
            </c:strRef>
          </c:cat>
          <c:val>
            <c:numRef>
              <c:f>Sheet1!$B$52:$Q$52</c:f>
              <c:numCache>
                <c:formatCode>#,##0.0</c:formatCode>
                <c:ptCount val="16"/>
                <c:pt idx="0">
                  <c:v>56.1</c:v>
                </c:pt>
                <c:pt idx="1">
                  <c:v>65.099999999999994</c:v>
                </c:pt>
                <c:pt idx="2">
                  <c:v>54.2</c:v>
                </c:pt>
                <c:pt idx="3">
                  <c:v>50.6</c:v>
                </c:pt>
                <c:pt idx="4">
                  <c:v>55</c:v>
                </c:pt>
                <c:pt idx="5">
                  <c:v>44.2</c:v>
                </c:pt>
                <c:pt idx="6">
                  <c:v>45.3</c:v>
                </c:pt>
                <c:pt idx="7">
                  <c:v>49.4</c:v>
                </c:pt>
                <c:pt idx="8">
                  <c:v>60.8</c:v>
                </c:pt>
                <c:pt idx="9">
                  <c:v>83.8</c:v>
                </c:pt>
                <c:pt idx="10">
                  <c:v>96.4</c:v>
                </c:pt>
                <c:pt idx="11">
                  <c:v>103.4</c:v>
                </c:pt>
                <c:pt idx="12">
                  <c:v>91.2</c:v>
                </c:pt>
                <c:pt idx="13">
                  <c:v>94.6</c:v>
                </c:pt>
                <c:pt idx="14">
                  <c:v>101.9</c:v>
                </c:pt>
                <c:pt idx="15">
                  <c:v>105.1</c:v>
                </c:pt>
              </c:numCache>
            </c:numRef>
          </c:val>
          <c:smooth val="0"/>
          <c:extLst>
            <c:ext xmlns:c16="http://schemas.microsoft.com/office/drawing/2014/chart" uri="{C3380CC4-5D6E-409C-BE32-E72D297353CC}">
              <c16:uniqueId val="{00000005-83AE-4A2E-BA4C-F11F101D8E5F}"/>
            </c:ext>
          </c:extLst>
        </c:ser>
        <c:ser>
          <c:idx val="6"/>
          <c:order val="6"/>
          <c:tx>
            <c:strRef>
              <c:f>Sheet1!$A$53</c:f>
              <c:strCache>
                <c:ptCount val="1"/>
                <c:pt idx="0">
                  <c:v>07 Unlawful entry with intent</c:v>
                </c:pt>
              </c:strCache>
            </c:strRef>
          </c:tx>
          <c:spPr>
            <a:ln w="28575" cap="rnd">
              <a:solidFill>
                <a:schemeClr val="accent1">
                  <a:lumMod val="60000"/>
                </a:schemeClr>
              </a:solidFill>
              <a:round/>
            </a:ln>
            <a:effectLst/>
          </c:spPr>
          <c:marker>
            <c:symbol val="none"/>
          </c:marker>
          <c:cat>
            <c:strRef>
              <c:f>Sheet1!$B$46:$Q$46</c:f>
              <c:strCache>
                <c:ptCount val="16"/>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strCache>
            </c:strRef>
          </c:cat>
          <c:val>
            <c:numRef>
              <c:f>Sheet1!$B$53:$Q$53</c:f>
              <c:numCache>
                <c:formatCode>#,##0.0</c:formatCode>
                <c:ptCount val="16"/>
                <c:pt idx="0">
                  <c:v>433.4</c:v>
                </c:pt>
                <c:pt idx="1">
                  <c:v>453.1</c:v>
                </c:pt>
                <c:pt idx="2">
                  <c:v>431.4</c:v>
                </c:pt>
                <c:pt idx="3">
                  <c:v>428.9</c:v>
                </c:pt>
                <c:pt idx="4">
                  <c:v>371.9</c:v>
                </c:pt>
                <c:pt idx="5">
                  <c:v>347.3</c:v>
                </c:pt>
                <c:pt idx="6">
                  <c:v>299.8</c:v>
                </c:pt>
                <c:pt idx="7">
                  <c:v>341.7</c:v>
                </c:pt>
                <c:pt idx="8">
                  <c:v>354.4</c:v>
                </c:pt>
                <c:pt idx="9">
                  <c:v>322.8</c:v>
                </c:pt>
                <c:pt idx="10">
                  <c:v>293.5</c:v>
                </c:pt>
                <c:pt idx="11">
                  <c:v>265.39999999999998</c:v>
                </c:pt>
                <c:pt idx="12">
                  <c:v>233.3</c:v>
                </c:pt>
                <c:pt idx="13">
                  <c:v>251</c:v>
                </c:pt>
                <c:pt idx="14">
                  <c:v>253.3</c:v>
                </c:pt>
                <c:pt idx="15">
                  <c:v>246.7</c:v>
                </c:pt>
              </c:numCache>
            </c:numRef>
          </c:val>
          <c:smooth val="0"/>
          <c:extLst>
            <c:ext xmlns:c16="http://schemas.microsoft.com/office/drawing/2014/chart" uri="{C3380CC4-5D6E-409C-BE32-E72D297353CC}">
              <c16:uniqueId val="{00000006-83AE-4A2E-BA4C-F11F101D8E5F}"/>
            </c:ext>
          </c:extLst>
        </c:ser>
        <c:ser>
          <c:idx val="7"/>
          <c:order val="7"/>
          <c:tx>
            <c:strRef>
              <c:f>Sheet1!$A$54</c:f>
              <c:strCache>
                <c:ptCount val="1"/>
                <c:pt idx="0">
                  <c:v>08 Theft(l)</c:v>
                </c:pt>
              </c:strCache>
            </c:strRef>
          </c:tx>
          <c:spPr>
            <a:ln w="28575" cap="rnd">
              <a:solidFill>
                <a:schemeClr val="accent2">
                  <a:lumMod val="60000"/>
                </a:schemeClr>
              </a:solidFill>
              <a:round/>
            </a:ln>
            <a:effectLst/>
          </c:spPr>
          <c:marker>
            <c:symbol val="none"/>
          </c:marker>
          <c:cat>
            <c:strRef>
              <c:f>Sheet1!$B$46:$Q$46</c:f>
              <c:strCache>
                <c:ptCount val="16"/>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strCache>
            </c:strRef>
          </c:cat>
          <c:val>
            <c:numRef>
              <c:f>Sheet1!$B$54:$Q$54</c:f>
              <c:numCache>
                <c:formatCode>#,##0.0</c:formatCode>
                <c:ptCount val="16"/>
                <c:pt idx="0">
                  <c:v>1067.7</c:v>
                </c:pt>
                <c:pt idx="1">
                  <c:v>1113.5999999999999</c:v>
                </c:pt>
                <c:pt idx="2">
                  <c:v>991.1</c:v>
                </c:pt>
                <c:pt idx="3">
                  <c:v>796.4</c:v>
                </c:pt>
                <c:pt idx="4">
                  <c:v>637.5</c:v>
                </c:pt>
                <c:pt idx="5">
                  <c:v>573.20000000000005</c:v>
                </c:pt>
                <c:pt idx="6">
                  <c:v>559.70000000000005</c:v>
                </c:pt>
                <c:pt idx="7">
                  <c:v>546.9</c:v>
                </c:pt>
                <c:pt idx="8">
                  <c:v>505.6</c:v>
                </c:pt>
                <c:pt idx="9">
                  <c:v>479.2</c:v>
                </c:pt>
                <c:pt idx="10">
                  <c:v>433.7</c:v>
                </c:pt>
                <c:pt idx="11">
                  <c:v>375.8</c:v>
                </c:pt>
                <c:pt idx="12">
                  <c:v>280</c:v>
                </c:pt>
                <c:pt idx="13">
                  <c:v>299.3</c:v>
                </c:pt>
                <c:pt idx="14">
                  <c:v>317.39999999999998</c:v>
                </c:pt>
                <c:pt idx="15">
                  <c:v>297.89999999999998</c:v>
                </c:pt>
              </c:numCache>
            </c:numRef>
          </c:val>
          <c:smooth val="0"/>
          <c:extLst>
            <c:ext xmlns:c16="http://schemas.microsoft.com/office/drawing/2014/chart" uri="{C3380CC4-5D6E-409C-BE32-E72D297353CC}">
              <c16:uniqueId val="{00000007-83AE-4A2E-BA4C-F11F101D8E5F}"/>
            </c:ext>
          </c:extLst>
        </c:ser>
        <c:ser>
          <c:idx val="8"/>
          <c:order val="8"/>
          <c:tx>
            <c:strRef>
              <c:f>Sheet1!$A$55</c:f>
              <c:strCache>
                <c:ptCount val="1"/>
                <c:pt idx="0">
                  <c:v>Fare evasion</c:v>
                </c:pt>
              </c:strCache>
            </c:strRef>
          </c:tx>
          <c:spPr>
            <a:ln w="28575" cap="rnd">
              <a:solidFill>
                <a:schemeClr val="accent3">
                  <a:lumMod val="60000"/>
                </a:schemeClr>
              </a:solidFill>
              <a:round/>
            </a:ln>
            <a:effectLst/>
          </c:spPr>
          <c:marker>
            <c:symbol val="none"/>
          </c:marker>
          <c:cat>
            <c:strRef>
              <c:f>Sheet1!$B$46:$Q$46</c:f>
              <c:strCache>
                <c:ptCount val="16"/>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strCache>
            </c:strRef>
          </c:cat>
          <c:val>
            <c:numRef>
              <c:f>Sheet1!$B$55:$Q$55</c:f>
              <c:numCache>
                <c:formatCode>#,##0</c:formatCode>
                <c:ptCount val="16"/>
                <c:pt idx="0">
                  <c:v>0</c:v>
                </c:pt>
                <c:pt idx="1">
                  <c:v>0</c:v>
                </c:pt>
                <c:pt idx="2">
                  <c:v>0</c:v>
                </c:pt>
                <c:pt idx="3">
                  <c:v>0</c:v>
                </c:pt>
                <c:pt idx="4">
                  <c:v>0</c:v>
                </c:pt>
                <c:pt idx="5">
                  <c:v>0</c:v>
                </c:pt>
                <c:pt idx="6" formatCode="#,##0.0">
                  <c:v>33.799999999999997</c:v>
                </c:pt>
                <c:pt idx="7" formatCode="#,##0.0">
                  <c:v>47.3</c:v>
                </c:pt>
                <c:pt idx="8" formatCode="#,##0.0">
                  <c:v>49</c:v>
                </c:pt>
                <c:pt idx="9" formatCode="#,##0.0">
                  <c:v>47.4</c:v>
                </c:pt>
                <c:pt idx="10" formatCode="#,##0.0">
                  <c:v>43.4</c:v>
                </c:pt>
                <c:pt idx="11" formatCode="#,##0.0">
                  <c:v>22.2</c:v>
                </c:pt>
                <c:pt idx="12" formatCode="#,##0.0">
                  <c:v>15.4</c:v>
                </c:pt>
                <c:pt idx="13" formatCode="#,##0.0">
                  <c:v>5.6</c:v>
                </c:pt>
                <c:pt idx="14" formatCode="#,##0.0">
                  <c:v>6.2</c:v>
                </c:pt>
                <c:pt idx="15" formatCode="#,##0.0">
                  <c:v>9.9</c:v>
                </c:pt>
              </c:numCache>
            </c:numRef>
          </c:val>
          <c:smooth val="0"/>
          <c:extLst>
            <c:ext xmlns:c16="http://schemas.microsoft.com/office/drawing/2014/chart" uri="{C3380CC4-5D6E-409C-BE32-E72D297353CC}">
              <c16:uniqueId val="{00000008-83AE-4A2E-BA4C-F11F101D8E5F}"/>
            </c:ext>
          </c:extLst>
        </c:ser>
        <c:ser>
          <c:idx val="9"/>
          <c:order val="9"/>
          <c:tx>
            <c:strRef>
              <c:f>Sheet1!$A$56</c:f>
              <c:strCache>
                <c:ptCount val="1"/>
                <c:pt idx="0">
                  <c:v>09 Fraud/deception</c:v>
                </c:pt>
              </c:strCache>
            </c:strRef>
          </c:tx>
          <c:spPr>
            <a:ln w="28575" cap="rnd">
              <a:solidFill>
                <a:schemeClr val="accent4">
                  <a:lumMod val="60000"/>
                </a:schemeClr>
              </a:solidFill>
              <a:round/>
            </a:ln>
            <a:effectLst/>
          </c:spPr>
          <c:marker>
            <c:symbol val="none"/>
          </c:marker>
          <c:cat>
            <c:strRef>
              <c:f>Sheet1!$B$46:$Q$46</c:f>
              <c:strCache>
                <c:ptCount val="16"/>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strCache>
            </c:strRef>
          </c:cat>
          <c:val>
            <c:numRef>
              <c:f>Sheet1!$B$56:$Q$56</c:f>
              <c:numCache>
                <c:formatCode>#,##0.0</c:formatCode>
                <c:ptCount val="16"/>
                <c:pt idx="0">
                  <c:v>33.4</c:v>
                </c:pt>
                <c:pt idx="1">
                  <c:v>35.299999999999997</c:v>
                </c:pt>
                <c:pt idx="2">
                  <c:v>30.7</c:v>
                </c:pt>
                <c:pt idx="3">
                  <c:v>27.9</c:v>
                </c:pt>
                <c:pt idx="4">
                  <c:v>23</c:v>
                </c:pt>
                <c:pt idx="5">
                  <c:v>35</c:v>
                </c:pt>
                <c:pt idx="6">
                  <c:v>43.4</c:v>
                </c:pt>
                <c:pt idx="7">
                  <c:v>32.5</c:v>
                </c:pt>
                <c:pt idx="8">
                  <c:v>42.4</c:v>
                </c:pt>
                <c:pt idx="9">
                  <c:v>43.3</c:v>
                </c:pt>
                <c:pt idx="10">
                  <c:v>41.6</c:v>
                </c:pt>
                <c:pt idx="11">
                  <c:v>33.9</c:v>
                </c:pt>
                <c:pt idx="12">
                  <c:v>30.8</c:v>
                </c:pt>
                <c:pt idx="13">
                  <c:v>25.5</c:v>
                </c:pt>
                <c:pt idx="14">
                  <c:v>23</c:v>
                </c:pt>
                <c:pt idx="15">
                  <c:v>22.7</c:v>
                </c:pt>
              </c:numCache>
            </c:numRef>
          </c:val>
          <c:smooth val="0"/>
          <c:extLst>
            <c:ext xmlns:c16="http://schemas.microsoft.com/office/drawing/2014/chart" uri="{C3380CC4-5D6E-409C-BE32-E72D297353CC}">
              <c16:uniqueId val="{00000009-83AE-4A2E-BA4C-F11F101D8E5F}"/>
            </c:ext>
          </c:extLst>
        </c:ser>
        <c:ser>
          <c:idx val="10"/>
          <c:order val="10"/>
          <c:tx>
            <c:strRef>
              <c:f>Sheet1!$A$57</c:f>
              <c:strCache>
                <c:ptCount val="1"/>
                <c:pt idx="0">
                  <c:v>10 Illicit drug offences</c:v>
                </c:pt>
              </c:strCache>
            </c:strRef>
          </c:tx>
          <c:spPr>
            <a:ln w="28575" cap="rnd">
              <a:solidFill>
                <a:schemeClr val="accent5">
                  <a:lumMod val="60000"/>
                </a:schemeClr>
              </a:solidFill>
              <a:round/>
            </a:ln>
            <a:effectLst/>
          </c:spPr>
          <c:marker>
            <c:symbol val="none"/>
          </c:marker>
          <c:cat>
            <c:strRef>
              <c:f>Sheet1!$B$46:$Q$46</c:f>
              <c:strCache>
                <c:ptCount val="16"/>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strCache>
            </c:strRef>
          </c:cat>
          <c:val>
            <c:numRef>
              <c:f>Sheet1!$B$57:$Q$57</c:f>
              <c:numCache>
                <c:formatCode>#,##0.0</c:formatCode>
                <c:ptCount val="16"/>
                <c:pt idx="0">
                  <c:v>283.3</c:v>
                </c:pt>
                <c:pt idx="1">
                  <c:v>328.7</c:v>
                </c:pt>
                <c:pt idx="2">
                  <c:v>335.3</c:v>
                </c:pt>
                <c:pt idx="3">
                  <c:v>367.8</c:v>
                </c:pt>
                <c:pt idx="4">
                  <c:v>440.6</c:v>
                </c:pt>
                <c:pt idx="5">
                  <c:v>479.6</c:v>
                </c:pt>
                <c:pt idx="6">
                  <c:v>553.9</c:v>
                </c:pt>
                <c:pt idx="7">
                  <c:v>523</c:v>
                </c:pt>
                <c:pt idx="8">
                  <c:v>490.5</c:v>
                </c:pt>
                <c:pt idx="9">
                  <c:v>451.9</c:v>
                </c:pt>
                <c:pt idx="10">
                  <c:v>431.7</c:v>
                </c:pt>
                <c:pt idx="11">
                  <c:v>406.5</c:v>
                </c:pt>
                <c:pt idx="12">
                  <c:v>321.7</c:v>
                </c:pt>
                <c:pt idx="13">
                  <c:v>264.89999999999998</c:v>
                </c:pt>
                <c:pt idx="14">
                  <c:v>263.60000000000002</c:v>
                </c:pt>
                <c:pt idx="15">
                  <c:v>212</c:v>
                </c:pt>
              </c:numCache>
            </c:numRef>
          </c:val>
          <c:smooth val="0"/>
          <c:extLst>
            <c:ext xmlns:c16="http://schemas.microsoft.com/office/drawing/2014/chart" uri="{C3380CC4-5D6E-409C-BE32-E72D297353CC}">
              <c16:uniqueId val="{0000000A-83AE-4A2E-BA4C-F11F101D8E5F}"/>
            </c:ext>
          </c:extLst>
        </c:ser>
        <c:ser>
          <c:idx val="11"/>
          <c:order val="11"/>
          <c:tx>
            <c:strRef>
              <c:f>Sheet1!$A$58</c:f>
              <c:strCache>
                <c:ptCount val="1"/>
                <c:pt idx="0">
                  <c:v>11 Weapons/explosives</c:v>
                </c:pt>
              </c:strCache>
            </c:strRef>
          </c:tx>
          <c:spPr>
            <a:ln w="28575" cap="rnd">
              <a:solidFill>
                <a:schemeClr val="accent6">
                  <a:lumMod val="60000"/>
                </a:schemeClr>
              </a:solidFill>
              <a:round/>
            </a:ln>
            <a:effectLst/>
          </c:spPr>
          <c:marker>
            <c:symbol val="none"/>
          </c:marker>
          <c:cat>
            <c:strRef>
              <c:f>Sheet1!$B$46:$Q$46</c:f>
              <c:strCache>
                <c:ptCount val="16"/>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strCache>
            </c:strRef>
          </c:cat>
          <c:val>
            <c:numRef>
              <c:f>Sheet1!$B$58:$Q$58</c:f>
              <c:numCache>
                <c:formatCode>#,##0.0</c:formatCode>
                <c:ptCount val="16"/>
                <c:pt idx="0">
                  <c:v>72.3</c:v>
                </c:pt>
                <c:pt idx="1">
                  <c:v>80.8</c:v>
                </c:pt>
                <c:pt idx="2">
                  <c:v>76.8</c:v>
                </c:pt>
                <c:pt idx="3">
                  <c:v>71</c:v>
                </c:pt>
                <c:pt idx="4">
                  <c:v>63.5</c:v>
                </c:pt>
                <c:pt idx="5">
                  <c:v>48.2</c:v>
                </c:pt>
                <c:pt idx="6">
                  <c:v>48</c:v>
                </c:pt>
                <c:pt idx="7">
                  <c:v>44.6</c:v>
                </c:pt>
                <c:pt idx="8">
                  <c:v>42.6</c:v>
                </c:pt>
                <c:pt idx="9">
                  <c:v>41.9</c:v>
                </c:pt>
                <c:pt idx="10">
                  <c:v>41.8</c:v>
                </c:pt>
                <c:pt idx="11">
                  <c:v>41.8</c:v>
                </c:pt>
                <c:pt idx="12">
                  <c:v>39.1</c:v>
                </c:pt>
                <c:pt idx="13">
                  <c:v>37.4</c:v>
                </c:pt>
                <c:pt idx="14">
                  <c:v>36.299999999999997</c:v>
                </c:pt>
                <c:pt idx="15">
                  <c:v>39</c:v>
                </c:pt>
              </c:numCache>
            </c:numRef>
          </c:val>
          <c:smooth val="0"/>
          <c:extLst>
            <c:ext xmlns:c16="http://schemas.microsoft.com/office/drawing/2014/chart" uri="{C3380CC4-5D6E-409C-BE32-E72D297353CC}">
              <c16:uniqueId val="{0000000B-83AE-4A2E-BA4C-F11F101D8E5F}"/>
            </c:ext>
          </c:extLst>
        </c:ser>
        <c:ser>
          <c:idx val="12"/>
          <c:order val="12"/>
          <c:tx>
            <c:strRef>
              <c:f>Sheet1!$A$59</c:f>
              <c:strCache>
                <c:ptCount val="1"/>
                <c:pt idx="0">
                  <c:v>12 Property damage and environmental pollution</c:v>
                </c:pt>
              </c:strCache>
            </c:strRef>
          </c:tx>
          <c:spPr>
            <a:ln w="28575" cap="rnd">
              <a:solidFill>
                <a:schemeClr val="accent1">
                  <a:lumMod val="80000"/>
                  <a:lumOff val="20000"/>
                </a:schemeClr>
              </a:solidFill>
              <a:round/>
            </a:ln>
            <a:effectLst/>
          </c:spPr>
          <c:marker>
            <c:symbol val="none"/>
          </c:marker>
          <c:cat>
            <c:strRef>
              <c:f>Sheet1!$B$46:$Q$46</c:f>
              <c:strCache>
                <c:ptCount val="16"/>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strCache>
            </c:strRef>
          </c:cat>
          <c:val>
            <c:numRef>
              <c:f>Sheet1!$B$59:$Q$59</c:f>
              <c:numCache>
                <c:formatCode>#,##0.0</c:formatCode>
                <c:ptCount val="16"/>
                <c:pt idx="0">
                  <c:v>321.2</c:v>
                </c:pt>
                <c:pt idx="1">
                  <c:v>285.5</c:v>
                </c:pt>
                <c:pt idx="2">
                  <c:v>235.4</c:v>
                </c:pt>
                <c:pt idx="3">
                  <c:v>241.7</c:v>
                </c:pt>
                <c:pt idx="4">
                  <c:v>212.4</c:v>
                </c:pt>
                <c:pt idx="5">
                  <c:v>195.9</c:v>
                </c:pt>
                <c:pt idx="6">
                  <c:v>192.6</c:v>
                </c:pt>
                <c:pt idx="7">
                  <c:v>180</c:v>
                </c:pt>
                <c:pt idx="8">
                  <c:v>175.6</c:v>
                </c:pt>
                <c:pt idx="9">
                  <c:v>151</c:v>
                </c:pt>
                <c:pt idx="10">
                  <c:v>137.5</c:v>
                </c:pt>
                <c:pt idx="11">
                  <c:v>128.69999999999999</c:v>
                </c:pt>
                <c:pt idx="12">
                  <c:v>130.1</c:v>
                </c:pt>
                <c:pt idx="13">
                  <c:v>136.9</c:v>
                </c:pt>
                <c:pt idx="14">
                  <c:v>124.5</c:v>
                </c:pt>
                <c:pt idx="15">
                  <c:v>124.3</c:v>
                </c:pt>
              </c:numCache>
            </c:numRef>
          </c:val>
          <c:smooth val="0"/>
          <c:extLst>
            <c:ext xmlns:c16="http://schemas.microsoft.com/office/drawing/2014/chart" uri="{C3380CC4-5D6E-409C-BE32-E72D297353CC}">
              <c16:uniqueId val="{0000000C-83AE-4A2E-BA4C-F11F101D8E5F}"/>
            </c:ext>
          </c:extLst>
        </c:ser>
        <c:ser>
          <c:idx val="13"/>
          <c:order val="13"/>
          <c:tx>
            <c:strRef>
              <c:f>Sheet1!$A$60</c:f>
              <c:strCache>
                <c:ptCount val="1"/>
                <c:pt idx="0">
                  <c:v>13 Public order offences</c:v>
                </c:pt>
              </c:strCache>
            </c:strRef>
          </c:tx>
          <c:spPr>
            <a:ln w="28575" cap="rnd">
              <a:solidFill>
                <a:schemeClr val="accent2">
                  <a:lumMod val="80000"/>
                  <a:lumOff val="20000"/>
                </a:schemeClr>
              </a:solidFill>
              <a:round/>
            </a:ln>
            <a:effectLst/>
          </c:spPr>
          <c:marker>
            <c:symbol val="none"/>
          </c:marker>
          <c:cat>
            <c:strRef>
              <c:f>Sheet1!$B$46:$Q$46</c:f>
              <c:strCache>
                <c:ptCount val="16"/>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strCache>
            </c:strRef>
          </c:cat>
          <c:val>
            <c:numRef>
              <c:f>Sheet1!$B$60:$Q$60</c:f>
              <c:numCache>
                <c:formatCode>#,##0.0</c:formatCode>
                <c:ptCount val="16"/>
                <c:pt idx="0">
                  <c:v>448.6</c:v>
                </c:pt>
                <c:pt idx="1">
                  <c:v>445.6</c:v>
                </c:pt>
                <c:pt idx="2">
                  <c:v>375.7</c:v>
                </c:pt>
                <c:pt idx="3">
                  <c:v>351.4</c:v>
                </c:pt>
                <c:pt idx="4">
                  <c:v>305.2</c:v>
                </c:pt>
                <c:pt idx="5">
                  <c:v>294.5</c:v>
                </c:pt>
                <c:pt idx="6">
                  <c:v>251.6</c:v>
                </c:pt>
                <c:pt idx="7">
                  <c:v>246.3</c:v>
                </c:pt>
                <c:pt idx="8">
                  <c:v>231.7</c:v>
                </c:pt>
                <c:pt idx="9">
                  <c:v>202</c:v>
                </c:pt>
                <c:pt idx="10">
                  <c:v>150.80000000000001</c:v>
                </c:pt>
                <c:pt idx="11">
                  <c:v>125</c:v>
                </c:pt>
                <c:pt idx="12">
                  <c:v>130.30000000000001</c:v>
                </c:pt>
                <c:pt idx="13">
                  <c:v>124.4</c:v>
                </c:pt>
                <c:pt idx="14">
                  <c:v>122.4</c:v>
                </c:pt>
                <c:pt idx="15">
                  <c:v>109.6</c:v>
                </c:pt>
              </c:numCache>
            </c:numRef>
          </c:val>
          <c:smooth val="0"/>
          <c:extLst>
            <c:ext xmlns:c16="http://schemas.microsoft.com/office/drawing/2014/chart" uri="{C3380CC4-5D6E-409C-BE32-E72D297353CC}">
              <c16:uniqueId val="{0000000D-83AE-4A2E-BA4C-F11F101D8E5F}"/>
            </c:ext>
          </c:extLst>
        </c:ser>
        <c:ser>
          <c:idx val="14"/>
          <c:order val="14"/>
          <c:tx>
            <c:strRef>
              <c:f>Sheet1!$A$61</c:f>
              <c:strCache>
                <c:ptCount val="1"/>
                <c:pt idx="0">
                  <c:v>15 Offences against justice(h)</c:v>
                </c:pt>
              </c:strCache>
            </c:strRef>
          </c:tx>
          <c:spPr>
            <a:ln w="28575" cap="rnd">
              <a:solidFill>
                <a:schemeClr val="accent3">
                  <a:lumMod val="80000"/>
                  <a:lumOff val="20000"/>
                </a:schemeClr>
              </a:solidFill>
              <a:round/>
            </a:ln>
            <a:effectLst/>
          </c:spPr>
          <c:marker>
            <c:symbol val="none"/>
          </c:marker>
          <c:cat>
            <c:strRef>
              <c:f>Sheet1!$B$46:$Q$46</c:f>
              <c:strCache>
                <c:ptCount val="16"/>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strCache>
            </c:strRef>
          </c:cat>
          <c:val>
            <c:numRef>
              <c:f>Sheet1!$B$61:$Q$61</c:f>
              <c:numCache>
                <c:formatCode>#,##0.0</c:formatCode>
                <c:ptCount val="16"/>
                <c:pt idx="0">
                  <c:v>90.5</c:v>
                </c:pt>
                <c:pt idx="1">
                  <c:v>74.900000000000006</c:v>
                </c:pt>
                <c:pt idx="2">
                  <c:v>59.5</c:v>
                </c:pt>
                <c:pt idx="3">
                  <c:v>56.7</c:v>
                </c:pt>
                <c:pt idx="4">
                  <c:v>48.3</c:v>
                </c:pt>
                <c:pt idx="5">
                  <c:v>41.1</c:v>
                </c:pt>
                <c:pt idx="6">
                  <c:v>38</c:v>
                </c:pt>
                <c:pt idx="7">
                  <c:v>34.799999999999997</c:v>
                </c:pt>
                <c:pt idx="8">
                  <c:v>30.1</c:v>
                </c:pt>
                <c:pt idx="9">
                  <c:v>30.4</c:v>
                </c:pt>
                <c:pt idx="10">
                  <c:v>23.4</c:v>
                </c:pt>
                <c:pt idx="11">
                  <c:v>18.600000000000001</c:v>
                </c:pt>
                <c:pt idx="12">
                  <c:v>23.5</c:v>
                </c:pt>
                <c:pt idx="13">
                  <c:v>18.3</c:v>
                </c:pt>
                <c:pt idx="14">
                  <c:v>19.600000000000001</c:v>
                </c:pt>
                <c:pt idx="15">
                  <c:v>18.2</c:v>
                </c:pt>
              </c:numCache>
            </c:numRef>
          </c:val>
          <c:smooth val="0"/>
          <c:extLst>
            <c:ext xmlns:c16="http://schemas.microsoft.com/office/drawing/2014/chart" uri="{C3380CC4-5D6E-409C-BE32-E72D297353CC}">
              <c16:uniqueId val="{0000000E-83AE-4A2E-BA4C-F11F101D8E5F}"/>
            </c:ext>
          </c:extLst>
        </c:ser>
        <c:ser>
          <c:idx val="15"/>
          <c:order val="15"/>
          <c:tx>
            <c:strRef>
              <c:f>Sheet1!$A$62</c:f>
              <c:strCache>
                <c:ptCount val="1"/>
                <c:pt idx="0">
                  <c:v>16 Miscellaneous offences</c:v>
                </c:pt>
              </c:strCache>
            </c:strRef>
          </c:tx>
          <c:spPr>
            <a:ln w="28575" cap="rnd">
              <a:solidFill>
                <a:schemeClr val="accent4">
                  <a:lumMod val="80000"/>
                  <a:lumOff val="20000"/>
                </a:schemeClr>
              </a:solidFill>
              <a:round/>
            </a:ln>
            <a:effectLst/>
          </c:spPr>
          <c:marker>
            <c:symbol val="none"/>
          </c:marker>
          <c:cat>
            <c:strRef>
              <c:f>Sheet1!$B$46:$Q$46</c:f>
              <c:strCache>
                <c:ptCount val="16"/>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strCache>
            </c:strRef>
          </c:cat>
          <c:val>
            <c:numRef>
              <c:f>Sheet1!$B$62:$Q$62</c:f>
              <c:numCache>
                <c:formatCode>#,##0.0</c:formatCode>
                <c:ptCount val="16"/>
                <c:pt idx="0">
                  <c:v>0</c:v>
                </c:pt>
                <c:pt idx="1">
                  <c:v>0</c:v>
                </c:pt>
                <c:pt idx="2">
                  <c:v>0</c:v>
                </c:pt>
                <c:pt idx="3">
                  <c:v>0.8</c:v>
                </c:pt>
                <c:pt idx="4">
                  <c:v>0</c:v>
                </c:pt>
                <c:pt idx="5">
                  <c:v>0</c:v>
                </c:pt>
                <c:pt idx="6">
                  <c:v>0</c:v>
                </c:pt>
                <c:pt idx="7">
                  <c:v>1.4</c:v>
                </c:pt>
                <c:pt idx="8">
                  <c:v>2.8</c:v>
                </c:pt>
                <c:pt idx="9">
                  <c:v>1.4</c:v>
                </c:pt>
                <c:pt idx="10">
                  <c:v>2.7</c:v>
                </c:pt>
                <c:pt idx="11">
                  <c:v>7.8</c:v>
                </c:pt>
                <c:pt idx="12">
                  <c:v>5.4</c:v>
                </c:pt>
                <c:pt idx="13">
                  <c:v>6.7</c:v>
                </c:pt>
                <c:pt idx="14">
                  <c:v>6.5</c:v>
                </c:pt>
                <c:pt idx="15">
                  <c:v>6.4</c:v>
                </c:pt>
              </c:numCache>
            </c:numRef>
          </c:val>
          <c:smooth val="0"/>
          <c:extLst>
            <c:ext xmlns:c16="http://schemas.microsoft.com/office/drawing/2014/chart" uri="{C3380CC4-5D6E-409C-BE32-E72D297353CC}">
              <c16:uniqueId val="{0000000F-83AE-4A2E-BA4C-F11F101D8E5F}"/>
            </c:ext>
          </c:extLst>
        </c:ser>
        <c:dLbls>
          <c:showLegendKey val="0"/>
          <c:showVal val="0"/>
          <c:showCatName val="0"/>
          <c:showSerName val="0"/>
          <c:showPercent val="0"/>
          <c:showBubbleSize val="0"/>
        </c:dLbls>
        <c:smooth val="0"/>
        <c:axId val="4860192"/>
        <c:axId val="4859232"/>
      </c:lineChart>
      <c:catAx>
        <c:axId val="4860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859232"/>
        <c:crosses val="autoZero"/>
        <c:auto val="1"/>
        <c:lblAlgn val="ctr"/>
        <c:lblOffset val="100"/>
        <c:noMultiLvlLbl val="0"/>
      </c:catAx>
      <c:valAx>
        <c:axId val="485923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860192"/>
        <c:crosses val="autoZero"/>
        <c:crossBetween val="between"/>
      </c:valAx>
      <c:spPr>
        <a:noFill/>
        <a:ln>
          <a:noFill/>
        </a:ln>
        <a:effectLst/>
      </c:spPr>
    </c:plotArea>
    <c:legend>
      <c:legendPos val="b"/>
      <c:layout>
        <c:manualLayout>
          <c:xMode val="edge"/>
          <c:yMode val="edge"/>
          <c:x val="5.68034605201144E-4"/>
          <c:y val="0.75377509482994887"/>
          <c:w val="0.99943196539479884"/>
          <c:h val="0.2404950670379782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FF9340CB8F7EB4997B2DB42177774D5" ma:contentTypeVersion="7" ma:contentTypeDescription="Create a new document." ma:contentTypeScope="" ma:versionID="900330af0b0d62e2245479181b598da9">
  <xsd:schema xmlns:xsd="http://www.w3.org/2001/XMLSchema" xmlns:xs="http://www.w3.org/2001/XMLSchema" xmlns:p="http://schemas.microsoft.com/office/2006/metadata/properties" xmlns:ns2="a9ec758c-7b29-4bbd-836f-c599af6fef2b" xmlns:ns3="9ce53bef-e5d1-4308-a048-986453adcb2d" targetNamespace="http://schemas.microsoft.com/office/2006/metadata/properties" ma:root="true" ma:fieldsID="67d8de1576043efac6e41853bebce522" ns2:_="" ns3:_="">
    <xsd:import namespace="a9ec758c-7b29-4bbd-836f-c599af6fef2b"/>
    <xsd:import namespace="9ce53bef-e5d1-4308-a048-986453adcb2d"/>
    <xsd:element name="properties">
      <xsd:complexType>
        <xsd:sequence>
          <xsd:element name="documentManagement">
            <xsd:complexType>
              <xsd:all>
                <xsd:element ref="ns2:_dlc_DocId" minOccurs="0"/>
                <xsd:element ref="ns2:_dlc_DocIdUrl" minOccurs="0"/>
                <xsd:element ref="ns2:_dlc_DocIdPersistId" minOccurs="0"/>
                <xsd:element ref="ns2:Filenumber" minOccurs="0"/>
                <xsd:element ref="ns3:MediaServiceMetadata" minOccurs="0"/>
                <xsd:element ref="ns3:MediaServiceFastMetadata" minOccurs="0"/>
                <xsd:element ref="ns3:MediaServiceSearchProperties" minOccurs="0"/>
                <xsd:element ref="ns3:MediaServiceObjectDetectorVersions" minOccurs="0"/>
                <xsd:element ref="ns3:SubmissionTo" minOccurs="0"/>
                <xsd:element ref="ns3:Sarahssub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758c-7b29-4bbd-836f-c599af6fef2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ilenumber" ma:index="11" nillable="true" ma:displayName="File number" ma:internalName="Filenumb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e53bef-e5d1-4308-a048-986453adcb2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SubmissionTo" ma:index="16" nillable="true" ma:displayName="Submission to" ma:format="Dropdown" ma:internalName="SubmissionTo">
      <xsd:simpleType>
        <xsd:restriction base="dms:Text">
          <xsd:maxLength value="255"/>
        </xsd:restriction>
      </xsd:simpleType>
    </xsd:element>
    <xsd:element name="Sarahssubs" ma:index="17" nillable="true" ma:displayName="Sarah's subs" ma:format="Dropdown" ma:list="UserInfo" ma:SharePointGroup="0" ma:internalName="Sarahssub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ilenumber xmlns="a9ec758c-7b29-4bbd-836f-c599af6fef2b" xsi:nil="true"/>
    <_dlc_DocId xmlns="a9ec758c-7b29-4bbd-836f-c599af6fef2b">CS3F356C3TDS-1011335364-7685</_dlc_DocId>
    <_dlc_DocIdUrl xmlns="a9ec758c-7b29-4bbd-836f-c599af6fef2b">
      <Url>https://qldhrc.sharepoint.com/sites/LegalResearchandPolicy/_layouts/15/DocIdRedir.aspx?ID=CS3F356C3TDS-1011335364-7685</Url>
      <Description>CS3F356C3TDS-1011335364-7685</Description>
    </_dlc_DocIdUrl>
    <SubmissionTo xmlns="9ce53bef-e5d1-4308-a048-986453adcb2d" xsi:nil="true"/>
    <Sarahssubs xmlns="9ce53bef-e5d1-4308-a048-986453adcb2d">
      <UserInfo>
        <DisplayName/>
        <AccountId xsi:nil="true"/>
        <AccountType/>
      </UserInfo>
    </Sarahssub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7DC833-81BF-4820-A55E-25E6B8F37DBC}">
  <ds:schemaRefs>
    <ds:schemaRef ds:uri="http://schemas.openxmlformats.org/officeDocument/2006/bibliography"/>
  </ds:schemaRefs>
</ds:datastoreItem>
</file>

<file path=customXml/itemProps3.xml><?xml version="1.0" encoding="utf-8"?>
<ds:datastoreItem xmlns:ds="http://schemas.openxmlformats.org/officeDocument/2006/customXml" ds:itemID="{2BDACFE7-7ABF-47DB-8CDA-3C81AA34971D}"/>
</file>

<file path=customXml/itemProps4.xml><?xml version="1.0" encoding="utf-8"?>
<ds:datastoreItem xmlns:ds="http://schemas.openxmlformats.org/officeDocument/2006/customXml" ds:itemID="{64946526-4C4F-42D7-94D3-C77227A4AFB0}">
  <ds:schemaRefs>
    <ds:schemaRef ds:uri="http://schemas.microsoft.com/office/2006/metadata/properties"/>
    <ds:schemaRef ds:uri="http://schemas.microsoft.com/office/infopath/2007/PartnerControls"/>
    <ds:schemaRef ds:uri="a9ec758c-7b29-4bbd-836f-c599af6fef2b"/>
    <ds:schemaRef ds:uri="9ce53bef-e5d1-4308-a048-986453adcb2d"/>
  </ds:schemaRefs>
</ds:datastoreItem>
</file>

<file path=customXml/itemProps5.xml><?xml version="1.0" encoding="utf-8"?>
<ds:datastoreItem xmlns:ds="http://schemas.openxmlformats.org/officeDocument/2006/customXml" ds:itemID="{754ED41F-8E69-4D25-BCA1-F6B8334E6661}">
  <ds:schemaRefs>
    <ds:schemaRef ds:uri="http://schemas.microsoft.com/sharepoint/events"/>
  </ds:schemaRefs>
</ds:datastoreItem>
</file>

<file path=customXml/itemProps6.xml><?xml version="1.0" encoding="utf-8"?>
<ds:datastoreItem xmlns:ds="http://schemas.openxmlformats.org/officeDocument/2006/customXml" ds:itemID="{D6029942-07A6-4EBD-ACC7-80B1BBC46D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27</Pages>
  <Words>6989</Words>
  <Characters>39841</Characters>
  <DocSecurity>0</DocSecurity>
  <Lines>332</Lines>
  <Paragraphs>93</Paragraphs>
  <ScaleCrop>false</ScaleCrop>
  <Company/>
  <LinksUpToDate>false</LinksUpToDate>
  <CharactersWithSpaces>46737</CharactersWithSpaces>
  <SharedDoc>false</SharedDoc>
  <HLinks>
    <vt:vector size="102" baseType="variant">
      <vt:variant>
        <vt:i4>1572921</vt:i4>
      </vt:variant>
      <vt:variant>
        <vt:i4>98</vt:i4>
      </vt:variant>
      <vt:variant>
        <vt:i4>0</vt:i4>
      </vt:variant>
      <vt:variant>
        <vt:i4>5</vt:i4>
      </vt:variant>
      <vt:variant>
        <vt:lpwstr/>
      </vt:variant>
      <vt:variant>
        <vt:lpwstr>_Toc195550834</vt:lpwstr>
      </vt:variant>
      <vt:variant>
        <vt:i4>1572921</vt:i4>
      </vt:variant>
      <vt:variant>
        <vt:i4>92</vt:i4>
      </vt:variant>
      <vt:variant>
        <vt:i4>0</vt:i4>
      </vt:variant>
      <vt:variant>
        <vt:i4>5</vt:i4>
      </vt:variant>
      <vt:variant>
        <vt:lpwstr/>
      </vt:variant>
      <vt:variant>
        <vt:lpwstr>_Toc195550833</vt:lpwstr>
      </vt:variant>
      <vt:variant>
        <vt:i4>1572921</vt:i4>
      </vt:variant>
      <vt:variant>
        <vt:i4>86</vt:i4>
      </vt:variant>
      <vt:variant>
        <vt:i4>0</vt:i4>
      </vt:variant>
      <vt:variant>
        <vt:i4>5</vt:i4>
      </vt:variant>
      <vt:variant>
        <vt:lpwstr/>
      </vt:variant>
      <vt:variant>
        <vt:lpwstr>_Toc195550832</vt:lpwstr>
      </vt:variant>
      <vt:variant>
        <vt:i4>1572921</vt:i4>
      </vt:variant>
      <vt:variant>
        <vt:i4>80</vt:i4>
      </vt:variant>
      <vt:variant>
        <vt:i4>0</vt:i4>
      </vt:variant>
      <vt:variant>
        <vt:i4>5</vt:i4>
      </vt:variant>
      <vt:variant>
        <vt:lpwstr/>
      </vt:variant>
      <vt:variant>
        <vt:lpwstr>_Toc195550831</vt:lpwstr>
      </vt:variant>
      <vt:variant>
        <vt:i4>1572921</vt:i4>
      </vt:variant>
      <vt:variant>
        <vt:i4>74</vt:i4>
      </vt:variant>
      <vt:variant>
        <vt:i4>0</vt:i4>
      </vt:variant>
      <vt:variant>
        <vt:i4>5</vt:i4>
      </vt:variant>
      <vt:variant>
        <vt:lpwstr/>
      </vt:variant>
      <vt:variant>
        <vt:lpwstr>_Toc195550830</vt:lpwstr>
      </vt:variant>
      <vt:variant>
        <vt:i4>1638457</vt:i4>
      </vt:variant>
      <vt:variant>
        <vt:i4>68</vt:i4>
      </vt:variant>
      <vt:variant>
        <vt:i4>0</vt:i4>
      </vt:variant>
      <vt:variant>
        <vt:i4>5</vt:i4>
      </vt:variant>
      <vt:variant>
        <vt:lpwstr/>
      </vt:variant>
      <vt:variant>
        <vt:lpwstr>_Toc195550829</vt:lpwstr>
      </vt:variant>
      <vt:variant>
        <vt:i4>1638457</vt:i4>
      </vt:variant>
      <vt:variant>
        <vt:i4>62</vt:i4>
      </vt:variant>
      <vt:variant>
        <vt:i4>0</vt:i4>
      </vt:variant>
      <vt:variant>
        <vt:i4>5</vt:i4>
      </vt:variant>
      <vt:variant>
        <vt:lpwstr/>
      </vt:variant>
      <vt:variant>
        <vt:lpwstr>_Toc195550828</vt:lpwstr>
      </vt:variant>
      <vt:variant>
        <vt:i4>1638457</vt:i4>
      </vt:variant>
      <vt:variant>
        <vt:i4>56</vt:i4>
      </vt:variant>
      <vt:variant>
        <vt:i4>0</vt:i4>
      </vt:variant>
      <vt:variant>
        <vt:i4>5</vt:i4>
      </vt:variant>
      <vt:variant>
        <vt:lpwstr/>
      </vt:variant>
      <vt:variant>
        <vt:lpwstr>_Toc195550827</vt:lpwstr>
      </vt:variant>
      <vt:variant>
        <vt:i4>1638457</vt:i4>
      </vt:variant>
      <vt:variant>
        <vt:i4>50</vt:i4>
      </vt:variant>
      <vt:variant>
        <vt:i4>0</vt:i4>
      </vt:variant>
      <vt:variant>
        <vt:i4>5</vt:i4>
      </vt:variant>
      <vt:variant>
        <vt:lpwstr/>
      </vt:variant>
      <vt:variant>
        <vt:lpwstr>_Toc195550826</vt:lpwstr>
      </vt:variant>
      <vt:variant>
        <vt:i4>1638457</vt:i4>
      </vt:variant>
      <vt:variant>
        <vt:i4>44</vt:i4>
      </vt:variant>
      <vt:variant>
        <vt:i4>0</vt:i4>
      </vt:variant>
      <vt:variant>
        <vt:i4>5</vt:i4>
      </vt:variant>
      <vt:variant>
        <vt:lpwstr/>
      </vt:variant>
      <vt:variant>
        <vt:lpwstr>_Toc195550825</vt:lpwstr>
      </vt:variant>
      <vt:variant>
        <vt:i4>1638457</vt:i4>
      </vt:variant>
      <vt:variant>
        <vt:i4>38</vt:i4>
      </vt:variant>
      <vt:variant>
        <vt:i4>0</vt:i4>
      </vt:variant>
      <vt:variant>
        <vt:i4>5</vt:i4>
      </vt:variant>
      <vt:variant>
        <vt:lpwstr/>
      </vt:variant>
      <vt:variant>
        <vt:lpwstr>_Toc195550824</vt:lpwstr>
      </vt:variant>
      <vt:variant>
        <vt:i4>1638457</vt:i4>
      </vt:variant>
      <vt:variant>
        <vt:i4>32</vt:i4>
      </vt:variant>
      <vt:variant>
        <vt:i4>0</vt:i4>
      </vt:variant>
      <vt:variant>
        <vt:i4>5</vt:i4>
      </vt:variant>
      <vt:variant>
        <vt:lpwstr/>
      </vt:variant>
      <vt:variant>
        <vt:lpwstr>_Toc195550823</vt:lpwstr>
      </vt:variant>
      <vt:variant>
        <vt:i4>1638457</vt:i4>
      </vt:variant>
      <vt:variant>
        <vt:i4>26</vt:i4>
      </vt:variant>
      <vt:variant>
        <vt:i4>0</vt:i4>
      </vt:variant>
      <vt:variant>
        <vt:i4>5</vt:i4>
      </vt:variant>
      <vt:variant>
        <vt:lpwstr/>
      </vt:variant>
      <vt:variant>
        <vt:lpwstr>_Toc195550822</vt:lpwstr>
      </vt:variant>
      <vt:variant>
        <vt:i4>1638457</vt:i4>
      </vt:variant>
      <vt:variant>
        <vt:i4>20</vt:i4>
      </vt:variant>
      <vt:variant>
        <vt:i4>0</vt:i4>
      </vt:variant>
      <vt:variant>
        <vt:i4>5</vt:i4>
      </vt:variant>
      <vt:variant>
        <vt:lpwstr/>
      </vt:variant>
      <vt:variant>
        <vt:lpwstr>_Toc195550821</vt:lpwstr>
      </vt:variant>
      <vt:variant>
        <vt:i4>1638457</vt:i4>
      </vt:variant>
      <vt:variant>
        <vt:i4>14</vt:i4>
      </vt:variant>
      <vt:variant>
        <vt:i4>0</vt:i4>
      </vt:variant>
      <vt:variant>
        <vt:i4>5</vt:i4>
      </vt:variant>
      <vt:variant>
        <vt:lpwstr/>
      </vt:variant>
      <vt:variant>
        <vt:lpwstr>_Toc195550820</vt:lpwstr>
      </vt:variant>
      <vt:variant>
        <vt:i4>1703993</vt:i4>
      </vt:variant>
      <vt:variant>
        <vt:i4>8</vt:i4>
      </vt:variant>
      <vt:variant>
        <vt:i4>0</vt:i4>
      </vt:variant>
      <vt:variant>
        <vt:i4>5</vt:i4>
      </vt:variant>
      <vt:variant>
        <vt:lpwstr/>
      </vt:variant>
      <vt:variant>
        <vt:lpwstr>_Toc195550819</vt:lpwstr>
      </vt:variant>
      <vt:variant>
        <vt:i4>1703993</vt:i4>
      </vt:variant>
      <vt:variant>
        <vt:i4>2</vt:i4>
      </vt:variant>
      <vt:variant>
        <vt:i4>0</vt:i4>
      </vt:variant>
      <vt:variant>
        <vt:i4>5</vt:i4>
      </vt:variant>
      <vt:variant>
        <vt:lpwstr/>
      </vt:variant>
      <vt:variant>
        <vt:lpwstr>_Toc195550818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2024-12-05T05:23:00Z</cp:lastPrinted>
  <dcterms:created xsi:type="dcterms:W3CDTF">2025-04-10T22:34:00Z</dcterms:created>
  <dcterms:modified xsi:type="dcterms:W3CDTF">2025-04-17T01:43:00Z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0x0101008FF9340CB8F7EB4997B2DB42177774D5</vt:lpwstr>
  </property>
  <property fmtid="{D5CDD505-2E9C-101B-9397-08002B2CF9AE}" pid="3" name="_dlc_DocIdItemGuid">
    <vt:lpwstr>e66f686c-c77b-4cf8-bac7-398975ef69f9</vt:lpwstr>
  </property>
  <property fmtid="{D5CDD505-2E9C-101B-9397-08002B2CF9AE}" pid="4" name="Order">
    <vt:r8>229200</vt:r8>
  </property>
</Properties>
</file>