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42AE" w14:textId="77777777" w:rsidR="00312EBD" w:rsidRDefault="00312EBD" w:rsidP="00A4212E">
      <w:pPr>
        <w:rPr>
          <w:sz w:val="144"/>
          <w:szCs w:val="144"/>
        </w:rPr>
      </w:pPr>
    </w:p>
    <w:p w14:paraId="533FFD3A" w14:textId="77777777" w:rsidR="00527ECE" w:rsidRDefault="00527ECE" w:rsidP="00A4212E">
      <w:pPr>
        <w:rPr>
          <w:sz w:val="96"/>
          <w:szCs w:val="96"/>
        </w:rPr>
      </w:pPr>
    </w:p>
    <w:p w14:paraId="58E28930" w14:textId="131A2C04" w:rsidR="00527ECE" w:rsidRPr="00A51858" w:rsidRDefault="00A51858" w:rsidP="00A51858">
      <w:pPr>
        <w:pStyle w:val="Title"/>
        <w:spacing w:line="240" w:lineRule="auto"/>
        <w:rPr>
          <w:sz w:val="56"/>
          <w:szCs w:val="56"/>
        </w:rPr>
      </w:pPr>
      <w:r w:rsidRPr="00A51858">
        <w:rPr>
          <w:sz w:val="56"/>
          <w:szCs w:val="56"/>
        </w:rPr>
        <w:t>Community Protection and Public Child Sex Offender Register (Daniel’s Law) Bill 2025</w:t>
      </w:r>
    </w:p>
    <w:p w14:paraId="05B5DE97" w14:textId="5CA988F3" w:rsidR="008D4132" w:rsidRDefault="008D4132" w:rsidP="00EB2E13">
      <w:pPr>
        <w:spacing w:line="240" w:lineRule="auto"/>
        <w:rPr>
          <w:sz w:val="36"/>
          <w:szCs w:val="36"/>
        </w:rPr>
      </w:pPr>
      <w:r>
        <w:rPr>
          <w:sz w:val="36"/>
          <w:szCs w:val="36"/>
        </w:rPr>
        <w:t xml:space="preserve">Submission to </w:t>
      </w:r>
      <w:r w:rsidR="00A51858">
        <w:rPr>
          <w:sz w:val="36"/>
          <w:szCs w:val="36"/>
        </w:rPr>
        <w:t>Justice, Integrity and Community Safety Committee</w:t>
      </w:r>
      <w:r w:rsidR="00552812">
        <w:rPr>
          <w:sz w:val="36"/>
          <w:szCs w:val="36"/>
        </w:rPr>
        <w:t>, Queensland Parliament</w:t>
      </w:r>
    </w:p>
    <w:p w14:paraId="2D290CC4" w14:textId="7FFFCAF6" w:rsidR="00527ECE" w:rsidRDefault="00A51858" w:rsidP="00EB2E13">
      <w:pPr>
        <w:spacing w:line="240" w:lineRule="auto"/>
        <w:rPr>
          <w:sz w:val="36"/>
          <w:szCs w:val="36"/>
        </w:rPr>
      </w:pPr>
      <w:r>
        <w:rPr>
          <w:sz w:val="36"/>
          <w:szCs w:val="36"/>
        </w:rPr>
        <w:t>10 September 2025</w:t>
      </w:r>
    </w:p>
    <w:p w14:paraId="1ADB80BD" w14:textId="77777777" w:rsidR="00527ECE" w:rsidRPr="00BF7719" w:rsidRDefault="00527ECE" w:rsidP="00BF7719">
      <w:pPr>
        <w:pStyle w:val="Contents"/>
      </w:pPr>
      <w:r>
        <w:rPr>
          <w:sz w:val="36"/>
          <w:szCs w:val="36"/>
        </w:rPr>
        <w:br w:type="page"/>
      </w:r>
      <w:r>
        <w:lastRenderedPageBreak/>
        <w:t>Content</w:t>
      </w:r>
      <w:r w:rsidR="00271C99">
        <w:t>s</w:t>
      </w:r>
    </w:p>
    <w:sdt>
      <w:sdtPr>
        <w:rPr>
          <w:rFonts w:ascii="Arial" w:eastAsiaTheme="minorEastAsia" w:hAnsi="Arial" w:cstheme="minorBidi"/>
          <w:color w:val="auto"/>
          <w:sz w:val="24"/>
          <w:szCs w:val="24"/>
          <w:lang w:val="en-GB" w:eastAsia="en-US"/>
        </w:rPr>
        <w:id w:val="-1950150517"/>
        <w:docPartObj>
          <w:docPartGallery w:val="Table of Contents"/>
          <w:docPartUnique/>
        </w:docPartObj>
      </w:sdtPr>
      <w:sdtEndPr>
        <w:rPr>
          <w:b/>
        </w:rPr>
      </w:sdtEndPr>
      <w:sdtContent>
        <w:p w14:paraId="2CB39714" w14:textId="43FCA26B" w:rsidR="00487C42" w:rsidRDefault="00487C42">
          <w:pPr>
            <w:pStyle w:val="TOCHeading"/>
          </w:pPr>
        </w:p>
        <w:p w14:paraId="5EA90A40" w14:textId="5F9B2E2C" w:rsidR="006A3512" w:rsidRDefault="00487C42">
          <w:pPr>
            <w:pStyle w:val="TOC1"/>
            <w:tabs>
              <w:tab w:val="right" w:leader="dot" w:pos="9322"/>
            </w:tabs>
            <w:rPr>
              <w:rFonts w:asciiTheme="minorHAnsi" w:eastAsiaTheme="minorEastAsia" w:hAnsiTheme="minorHAnsi"/>
              <w:noProof/>
              <w:kern w:val="2"/>
              <w:szCs w:val="24"/>
              <w:lang w:eastAsia="en-AU"/>
              <w14:ligatures w14:val="standardContextual"/>
            </w:rPr>
          </w:pPr>
          <w:r>
            <w:fldChar w:fldCharType="begin"/>
          </w:r>
          <w:r>
            <w:instrText xml:space="preserve"> TOC \o "1-3" \h \z \u </w:instrText>
          </w:r>
          <w:r>
            <w:fldChar w:fldCharType="separate"/>
          </w:r>
          <w:hyperlink w:anchor="_Toc208387242" w:history="1">
            <w:r w:rsidR="006A3512" w:rsidRPr="00514794">
              <w:rPr>
                <w:rStyle w:val="Hyperlink"/>
                <w:noProof/>
              </w:rPr>
              <w:t>Introduction</w:t>
            </w:r>
            <w:r w:rsidR="006A3512">
              <w:rPr>
                <w:noProof/>
                <w:webHidden/>
              </w:rPr>
              <w:tab/>
            </w:r>
            <w:r w:rsidR="006A3512">
              <w:rPr>
                <w:noProof/>
                <w:webHidden/>
              </w:rPr>
              <w:fldChar w:fldCharType="begin"/>
            </w:r>
            <w:r w:rsidR="006A3512">
              <w:rPr>
                <w:noProof/>
                <w:webHidden/>
              </w:rPr>
              <w:instrText xml:space="preserve"> PAGEREF _Toc208387242 \h </w:instrText>
            </w:r>
            <w:r w:rsidR="006A3512">
              <w:rPr>
                <w:noProof/>
                <w:webHidden/>
              </w:rPr>
            </w:r>
            <w:r w:rsidR="006A3512">
              <w:rPr>
                <w:noProof/>
                <w:webHidden/>
              </w:rPr>
              <w:fldChar w:fldCharType="separate"/>
            </w:r>
            <w:r w:rsidR="006A3512">
              <w:rPr>
                <w:noProof/>
                <w:webHidden/>
              </w:rPr>
              <w:t>3</w:t>
            </w:r>
            <w:r w:rsidR="006A3512">
              <w:rPr>
                <w:noProof/>
                <w:webHidden/>
              </w:rPr>
              <w:fldChar w:fldCharType="end"/>
            </w:r>
          </w:hyperlink>
        </w:p>
        <w:p w14:paraId="15FB1783" w14:textId="4B591296" w:rsidR="006A3512" w:rsidRDefault="006A3512">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08387243" w:history="1">
            <w:r w:rsidRPr="00514794">
              <w:rPr>
                <w:rStyle w:val="Hyperlink"/>
                <w:noProof/>
              </w:rPr>
              <w:t>Recommendations</w:t>
            </w:r>
            <w:r>
              <w:rPr>
                <w:noProof/>
                <w:webHidden/>
              </w:rPr>
              <w:tab/>
            </w:r>
            <w:r>
              <w:rPr>
                <w:noProof/>
                <w:webHidden/>
              </w:rPr>
              <w:fldChar w:fldCharType="begin"/>
            </w:r>
            <w:r>
              <w:rPr>
                <w:noProof/>
                <w:webHidden/>
              </w:rPr>
              <w:instrText xml:space="preserve"> PAGEREF _Toc208387243 \h </w:instrText>
            </w:r>
            <w:r>
              <w:rPr>
                <w:noProof/>
                <w:webHidden/>
              </w:rPr>
            </w:r>
            <w:r>
              <w:rPr>
                <w:noProof/>
                <w:webHidden/>
              </w:rPr>
              <w:fldChar w:fldCharType="separate"/>
            </w:r>
            <w:r>
              <w:rPr>
                <w:noProof/>
                <w:webHidden/>
              </w:rPr>
              <w:t>4</w:t>
            </w:r>
            <w:r>
              <w:rPr>
                <w:noProof/>
                <w:webHidden/>
              </w:rPr>
              <w:fldChar w:fldCharType="end"/>
            </w:r>
          </w:hyperlink>
        </w:p>
        <w:p w14:paraId="5CC1C365" w14:textId="0F7D8A99" w:rsidR="006A3512" w:rsidRDefault="006A3512">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08387244" w:history="1">
            <w:r w:rsidRPr="00514794">
              <w:rPr>
                <w:rStyle w:val="Hyperlink"/>
                <w:noProof/>
              </w:rPr>
              <w:t>Background</w:t>
            </w:r>
            <w:r>
              <w:rPr>
                <w:noProof/>
                <w:webHidden/>
              </w:rPr>
              <w:tab/>
            </w:r>
            <w:r>
              <w:rPr>
                <w:noProof/>
                <w:webHidden/>
              </w:rPr>
              <w:fldChar w:fldCharType="begin"/>
            </w:r>
            <w:r>
              <w:rPr>
                <w:noProof/>
                <w:webHidden/>
              </w:rPr>
              <w:instrText xml:space="preserve"> PAGEREF _Toc208387244 \h </w:instrText>
            </w:r>
            <w:r>
              <w:rPr>
                <w:noProof/>
                <w:webHidden/>
              </w:rPr>
            </w:r>
            <w:r>
              <w:rPr>
                <w:noProof/>
                <w:webHidden/>
              </w:rPr>
              <w:fldChar w:fldCharType="separate"/>
            </w:r>
            <w:r>
              <w:rPr>
                <w:noProof/>
                <w:webHidden/>
              </w:rPr>
              <w:t>6</w:t>
            </w:r>
            <w:r>
              <w:rPr>
                <w:noProof/>
                <w:webHidden/>
              </w:rPr>
              <w:fldChar w:fldCharType="end"/>
            </w:r>
          </w:hyperlink>
        </w:p>
        <w:p w14:paraId="1071EC7C" w14:textId="0DB91AE0" w:rsidR="006A3512" w:rsidRDefault="006A3512">
          <w:pPr>
            <w:pStyle w:val="TOC1"/>
            <w:tabs>
              <w:tab w:val="right" w:leader="dot" w:pos="9322"/>
            </w:tabs>
            <w:rPr>
              <w:rFonts w:asciiTheme="minorHAnsi" w:eastAsiaTheme="minorEastAsia" w:hAnsiTheme="minorHAnsi"/>
              <w:noProof/>
              <w:kern w:val="2"/>
              <w:szCs w:val="24"/>
              <w:lang w:eastAsia="en-AU"/>
              <w14:ligatures w14:val="standardContextual"/>
            </w:rPr>
          </w:pPr>
          <w:hyperlink w:anchor="_Toc208387245" w:history="1">
            <w:r w:rsidRPr="00514794">
              <w:rPr>
                <w:rStyle w:val="Hyperlink"/>
                <w:noProof/>
              </w:rPr>
              <w:t>Key issues</w:t>
            </w:r>
            <w:r>
              <w:rPr>
                <w:noProof/>
                <w:webHidden/>
              </w:rPr>
              <w:tab/>
            </w:r>
            <w:r>
              <w:rPr>
                <w:noProof/>
                <w:webHidden/>
              </w:rPr>
              <w:fldChar w:fldCharType="begin"/>
            </w:r>
            <w:r>
              <w:rPr>
                <w:noProof/>
                <w:webHidden/>
              </w:rPr>
              <w:instrText xml:space="preserve"> PAGEREF _Toc208387245 \h </w:instrText>
            </w:r>
            <w:r>
              <w:rPr>
                <w:noProof/>
                <w:webHidden/>
              </w:rPr>
            </w:r>
            <w:r>
              <w:rPr>
                <w:noProof/>
                <w:webHidden/>
              </w:rPr>
              <w:fldChar w:fldCharType="separate"/>
            </w:r>
            <w:r>
              <w:rPr>
                <w:noProof/>
                <w:webHidden/>
              </w:rPr>
              <w:t>8</w:t>
            </w:r>
            <w:r>
              <w:rPr>
                <w:noProof/>
                <w:webHidden/>
              </w:rPr>
              <w:fldChar w:fldCharType="end"/>
            </w:r>
          </w:hyperlink>
        </w:p>
        <w:p w14:paraId="7D8A0F02" w14:textId="30DA557E" w:rsidR="006A3512" w:rsidRDefault="006A3512">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8387246" w:history="1">
            <w:r w:rsidRPr="00514794">
              <w:rPr>
                <w:rStyle w:val="Hyperlink"/>
                <w:noProof/>
              </w:rPr>
              <w:t>Overriding the Human Rights Act</w:t>
            </w:r>
            <w:r>
              <w:rPr>
                <w:noProof/>
                <w:webHidden/>
              </w:rPr>
              <w:tab/>
            </w:r>
            <w:r>
              <w:rPr>
                <w:noProof/>
                <w:webHidden/>
              </w:rPr>
              <w:fldChar w:fldCharType="begin"/>
            </w:r>
            <w:r>
              <w:rPr>
                <w:noProof/>
                <w:webHidden/>
              </w:rPr>
              <w:instrText xml:space="preserve"> PAGEREF _Toc208387246 \h </w:instrText>
            </w:r>
            <w:r>
              <w:rPr>
                <w:noProof/>
                <w:webHidden/>
              </w:rPr>
            </w:r>
            <w:r>
              <w:rPr>
                <w:noProof/>
                <w:webHidden/>
              </w:rPr>
              <w:fldChar w:fldCharType="separate"/>
            </w:r>
            <w:r>
              <w:rPr>
                <w:noProof/>
                <w:webHidden/>
              </w:rPr>
              <w:t>8</w:t>
            </w:r>
            <w:r>
              <w:rPr>
                <w:noProof/>
                <w:webHidden/>
              </w:rPr>
              <w:fldChar w:fldCharType="end"/>
            </w:r>
          </w:hyperlink>
        </w:p>
        <w:p w14:paraId="346EC83F" w14:textId="2247A876" w:rsidR="006A3512" w:rsidRDefault="006A3512">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8387247" w:history="1">
            <w:r w:rsidRPr="00514794">
              <w:rPr>
                <w:rStyle w:val="Hyperlink"/>
                <w:noProof/>
              </w:rPr>
              <w:t>Lack of evidentiary basis</w:t>
            </w:r>
            <w:r>
              <w:rPr>
                <w:noProof/>
                <w:webHidden/>
              </w:rPr>
              <w:tab/>
            </w:r>
            <w:r>
              <w:rPr>
                <w:noProof/>
                <w:webHidden/>
              </w:rPr>
              <w:fldChar w:fldCharType="begin"/>
            </w:r>
            <w:r>
              <w:rPr>
                <w:noProof/>
                <w:webHidden/>
              </w:rPr>
              <w:instrText xml:space="preserve"> PAGEREF _Toc208387247 \h </w:instrText>
            </w:r>
            <w:r>
              <w:rPr>
                <w:noProof/>
                <w:webHidden/>
              </w:rPr>
            </w:r>
            <w:r>
              <w:rPr>
                <w:noProof/>
                <w:webHidden/>
              </w:rPr>
              <w:fldChar w:fldCharType="separate"/>
            </w:r>
            <w:r>
              <w:rPr>
                <w:noProof/>
                <w:webHidden/>
              </w:rPr>
              <w:t>11</w:t>
            </w:r>
            <w:r>
              <w:rPr>
                <w:noProof/>
                <w:webHidden/>
              </w:rPr>
              <w:fldChar w:fldCharType="end"/>
            </w:r>
          </w:hyperlink>
        </w:p>
        <w:p w14:paraId="1904F0EE" w14:textId="2192DCCA" w:rsidR="006A3512" w:rsidRDefault="006A3512">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8387248" w:history="1">
            <w:r w:rsidRPr="00514794">
              <w:rPr>
                <w:rStyle w:val="Hyperlink"/>
                <w:noProof/>
              </w:rPr>
              <w:t>Existing mechanisms are less restrictive</w:t>
            </w:r>
            <w:r>
              <w:rPr>
                <w:noProof/>
                <w:webHidden/>
              </w:rPr>
              <w:tab/>
            </w:r>
            <w:r>
              <w:rPr>
                <w:noProof/>
                <w:webHidden/>
              </w:rPr>
              <w:fldChar w:fldCharType="begin"/>
            </w:r>
            <w:r>
              <w:rPr>
                <w:noProof/>
                <w:webHidden/>
              </w:rPr>
              <w:instrText xml:space="preserve"> PAGEREF _Toc208387248 \h </w:instrText>
            </w:r>
            <w:r>
              <w:rPr>
                <w:noProof/>
                <w:webHidden/>
              </w:rPr>
            </w:r>
            <w:r>
              <w:rPr>
                <w:noProof/>
                <w:webHidden/>
              </w:rPr>
              <w:fldChar w:fldCharType="separate"/>
            </w:r>
            <w:r>
              <w:rPr>
                <w:noProof/>
                <w:webHidden/>
              </w:rPr>
              <w:t>14</w:t>
            </w:r>
            <w:r>
              <w:rPr>
                <w:noProof/>
                <w:webHidden/>
              </w:rPr>
              <w:fldChar w:fldCharType="end"/>
            </w:r>
          </w:hyperlink>
        </w:p>
        <w:p w14:paraId="6D9B9E58" w14:textId="4906AA11" w:rsidR="006A3512" w:rsidRDefault="006A3512">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8387249" w:history="1">
            <w:r w:rsidRPr="00514794">
              <w:rPr>
                <w:rStyle w:val="Hyperlink"/>
                <w:noProof/>
              </w:rPr>
              <w:t>Undermining families’ rights</w:t>
            </w:r>
            <w:r>
              <w:rPr>
                <w:noProof/>
                <w:webHidden/>
              </w:rPr>
              <w:tab/>
            </w:r>
            <w:r>
              <w:rPr>
                <w:noProof/>
                <w:webHidden/>
              </w:rPr>
              <w:fldChar w:fldCharType="begin"/>
            </w:r>
            <w:r>
              <w:rPr>
                <w:noProof/>
                <w:webHidden/>
              </w:rPr>
              <w:instrText xml:space="preserve"> PAGEREF _Toc208387249 \h </w:instrText>
            </w:r>
            <w:r>
              <w:rPr>
                <w:noProof/>
                <w:webHidden/>
              </w:rPr>
            </w:r>
            <w:r>
              <w:rPr>
                <w:noProof/>
                <w:webHidden/>
              </w:rPr>
              <w:fldChar w:fldCharType="separate"/>
            </w:r>
            <w:r>
              <w:rPr>
                <w:noProof/>
                <w:webHidden/>
              </w:rPr>
              <w:t>16</w:t>
            </w:r>
            <w:r>
              <w:rPr>
                <w:noProof/>
                <w:webHidden/>
              </w:rPr>
              <w:fldChar w:fldCharType="end"/>
            </w:r>
          </w:hyperlink>
        </w:p>
        <w:p w14:paraId="0616858A" w14:textId="4F30E284" w:rsidR="006A3512" w:rsidRDefault="006A3512">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8387250" w:history="1">
            <w:r w:rsidRPr="00514794">
              <w:rPr>
                <w:rStyle w:val="Hyperlink"/>
                <w:noProof/>
              </w:rPr>
              <w:t>Limiting offenders’ rights</w:t>
            </w:r>
            <w:r>
              <w:rPr>
                <w:noProof/>
                <w:webHidden/>
              </w:rPr>
              <w:tab/>
            </w:r>
            <w:r>
              <w:rPr>
                <w:noProof/>
                <w:webHidden/>
              </w:rPr>
              <w:fldChar w:fldCharType="begin"/>
            </w:r>
            <w:r>
              <w:rPr>
                <w:noProof/>
                <w:webHidden/>
              </w:rPr>
              <w:instrText xml:space="preserve"> PAGEREF _Toc208387250 \h </w:instrText>
            </w:r>
            <w:r>
              <w:rPr>
                <w:noProof/>
                <w:webHidden/>
              </w:rPr>
            </w:r>
            <w:r>
              <w:rPr>
                <w:noProof/>
                <w:webHidden/>
              </w:rPr>
              <w:fldChar w:fldCharType="separate"/>
            </w:r>
            <w:r>
              <w:rPr>
                <w:noProof/>
                <w:webHidden/>
              </w:rPr>
              <w:t>17</w:t>
            </w:r>
            <w:r>
              <w:rPr>
                <w:noProof/>
                <w:webHidden/>
              </w:rPr>
              <w:fldChar w:fldCharType="end"/>
            </w:r>
          </w:hyperlink>
        </w:p>
        <w:p w14:paraId="290DC471" w14:textId="2ED6DB8D" w:rsidR="006A3512" w:rsidRDefault="006A3512">
          <w:pPr>
            <w:pStyle w:val="TOC2"/>
            <w:tabs>
              <w:tab w:val="right" w:leader="dot" w:pos="9322"/>
            </w:tabs>
            <w:rPr>
              <w:rFonts w:asciiTheme="minorHAnsi" w:eastAsiaTheme="minorEastAsia" w:hAnsiTheme="minorHAnsi"/>
              <w:noProof/>
              <w:kern w:val="2"/>
              <w:szCs w:val="24"/>
              <w:lang w:eastAsia="en-AU"/>
              <w14:ligatures w14:val="standardContextual"/>
            </w:rPr>
          </w:pPr>
          <w:hyperlink w:anchor="_Toc208387251" w:history="1">
            <w:r w:rsidRPr="00514794">
              <w:rPr>
                <w:rStyle w:val="Hyperlink"/>
                <w:noProof/>
              </w:rPr>
              <w:t>Exclusion of children from the register</w:t>
            </w:r>
            <w:r>
              <w:rPr>
                <w:noProof/>
                <w:webHidden/>
              </w:rPr>
              <w:tab/>
            </w:r>
            <w:r>
              <w:rPr>
                <w:noProof/>
                <w:webHidden/>
              </w:rPr>
              <w:fldChar w:fldCharType="begin"/>
            </w:r>
            <w:r>
              <w:rPr>
                <w:noProof/>
                <w:webHidden/>
              </w:rPr>
              <w:instrText xml:space="preserve"> PAGEREF _Toc208387251 \h </w:instrText>
            </w:r>
            <w:r>
              <w:rPr>
                <w:noProof/>
                <w:webHidden/>
              </w:rPr>
            </w:r>
            <w:r>
              <w:rPr>
                <w:noProof/>
                <w:webHidden/>
              </w:rPr>
              <w:fldChar w:fldCharType="separate"/>
            </w:r>
            <w:r>
              <w:rPr>
                <w:noProof/>
                <w:webHidden/>
              </w:rPr>
              <w:t>21</w:t>
            </w:r>
            <w:r>
              <w:rPr>
                <w:noProof/>
                <w:webHidden/>
              </w:rPr>
              <w:fldChar w:fldCharType="end"/>
            </w:r>
          </w:hyperlink>
        </w:p>
        <w:p w14:paraId="00B79D41" w14:textId="5DE21D23" w:rsidR="00487C42" w:rsidRDefault="00487C42">
          <w:r>
            <w:rPr>
              <w:b/>
              <w:bCs/>
              <w:lang w:val="en-GB"/>
            </w:rPr>
            <w:fldChar w:fldCharType="end"/>
          </w:r>
        </w:p>
      </w:sdtContent>
    </w:sdt>
    <w:p w14:paraId="2633EE92" w14:textId="5FA13007" w:rsidR="00527ECE" w:rsidRDefault="00527ECE" w:rsidP="0070042F">
      <w:pPr>
        <w:pStyle w:val="Bodytextnumbered"/>
        <w:numPr>
          <w:ilvl w:val="0"/>
          <w:numId w:val="0"/>
        </w:numPr>
      </w:pPr>
      <w:r>
        <w:br w:type="page"/>
      </w:r>
    </w:p>
    <w:p w14:paraId="31541B00" w14:textId="464F3A75" w:rsidR="00527ECE" w:rsidRDefault="003D6092" w:rsidP="008D4132">
      <w:pPr>
        <w:pStyle w:val="Heading1"/>
      </w:pPr>
      <w:bookmarkStart w:id="0" w:name="_Toc208387242"/>
      <w:r>
        <w:lastRenderedPageBreak/>
        <w:t>Introduction</w:t>
      </w:r>
      <w:bookmarkEnd w:id="0"/>
      <w:r>
        <w:t xml:space="preserve"> </w:t>
      </w:r>
    </w:p>
    <w:p w14:paraId="12B08B77" w14:textId="5436566D" w:rsidR="00B61073" w:rsidRDefault="00B61073" w:rsidP="00352570">
      <w:pPr>
        <w:pStyle w:val="Bodytextnumbered"/>
      </w:pPr>
      <w:r>
        <w:t xml:space="preserve">Thank you for the opportunity to provide a submission on the </w:t>
      </w:r>
      <w:r w:rsidR="004D2A17" w:rsidRPr="004D2A17">
        <w:t xml:space="preserve">Community Protection and Public Child Sex Offender Register (Daniel’s Law) Bill 2025 </w:t>
      </w:r>
      <w:r>
        <w:t>(</w:t>
      </w:r>
      <w:r>
        <w:rPr>
          <w:b/>
          <w:bCs/>
        </w:rPr>
        <w:t>the Bill</w:t>
      </w:r>
      <w:r>
        <w:t>)</w:t>
      </w:r>
      <w:r w:rsidR="000805DC">
        <w:t xml:space="preserve"> which proposes to establish a public child sex offender register (</w:t>
      </w:r>
      <w:r w:rsidR="000805DC" w:rsidRPr="000805DC">
        <w:rPr>
          <w:b/>
          <w:bCs/>
        </w:rPr>
        <w:t>a public register</w:t>
      </w:r>
      <w:r w:rsidR="000805DC">
        <w:t>) in Queensland.</w:t>
      </w:r>
    </w:p>
    <w:p w14:paraId="19E3011D" w14:textId="6AB685F7" w:rsidR="00B61073" w:rsidRDefault="00B61073" w:rsidP="00352570">
      <w:pPr>
        <w:pStyle w:val="Bodytextnumbered"/>
      </w:pPr>
      <w:r>
        <w:t>The Queensland Human Rights Commission (</w:t>
      </w:r>
      <w:r>
        <w:rPr>
          <w:b/>
          <w:bCs/>
        </w:rPr>
        <w:t>the Commission</w:t>
      </w:r>
      <w:r>
        <w:t xml:space="preserve">) is an independent statutory body established under the </w:t>
      </w:r>
      <w:r>
        <w:rPr>
          <w:i/>
          <w:iCs/>
        </w:rPr>
        <w:t>Anti-Discrimination Act 1991</w:t>
      </w:r>
      <w:r>
        <w:t xml:space="preserve"> with functions under that Act and the </w:t>
      </w:r>
      <w:r>
        <w:rPr>
          <w:i/>
          <w:iCs/>
        </w:rPr>
        <w:t>Human Rights Act 2019</w:t>
      </w:r>
      <w:r>
        <w:t xml:space="preserve"> (</w:t>
      </w:r>
      <w:r>
        <w:rPr>
          <w:b/>
          <w:bCs/>
        </w:rPr>
        <w:t>Human Rights Act</w:t>
      </w:r>
      <w:r>
        <w:t>) to promote an understanding, acceptance, and public discussion of human rights in Queensland. This submission has been approved by the Queensland Human Rights Commissioner.</w:t>
      </w:r>
    </w:p>
    <w:p w14:paraId="34AE87CF" w14:textId="611F3606" w:rsidR="00B61073" w:rsidRPr="00C00158" w:rsidRDefault="00E178C6" w:rsidP="00352570">
      <w:pPr>
        <w:pStyle w:val="Bodytextnumbered"/>
        <w:rPr>
          <w:lang w:val="en-US"/>
        </w:rPr>
      </w:pPr>
      <w:r w:rsidRPr="00E178C6">
        <w:rPr>
          <w:lang w:val="en-US"/>
        </w:rPr>
        <w:t>Every child in Queensland has the right to be safe and protected from harm. Child sexual abuse is a devastating and damaging violation of children’s rights</w:t>
      </w:r>
      <w:r w:rsidR="00D31F71" w:rsidRPr="00E178C6">
        <w:rPr>
          <w:lang w:val="en-US"/>
        </w:rPr>
        <w:t>,</w:t>
      </w:r>
      <w:r w:rsidR="00052CA0">
        <w:rPr>
          <w:lang w:val="en-US"/>
        </w:rPr>
        <w:t xml:space="preserve"> </w:t>
      </w:r>
      <w:r w:rsidR="00052CA0">
        <w:t>and the government is obligated to take proactive measures to prevent child sexual abuse from occurring</w:t>
      </w:r>
      <w:r w:rsidR="00B61073">
        <w:rPr>
          <w:lang w:val="en-US"/>
        </w:rPr>
        <w:t>.</w:t>
      </w:r>
      <w:r w:rsidR="007C474D">
        <w:rPr>
          <w:rStyle w:val="FootnoteReference"/>
          <w:lang w:val="en-US"/>
        </w:rPr>
        <w:footnoteReference w:id="1"/>
      </w:r>
      <w:r w:rsidR="00B61073">
        <w:rPr>
          <w:lang w:val="en-US"/>
        </w:rPr>
        <w:t xml:space="preserve"> </w:t>
      </w:r>
      <w:r w:rsidR="00B61073" w:rsidRPr="00C00158">
        <w:rPr>
          <w:lang w:val="en-US"/>
        </w:rPr>
        <w:t>At the same time, government has a responsibility to ensure that the policies it enacts are evidence-based and limit human rights no more than necessary to achieve their purpose.</w:t>
      </w:r>
      <w:r w:rsidR="00B61073">
        <w:rPr>
          <w:rStyle w:val="FootnoteReference"/>
          <w:lang w:val="en-US"/>
        </w:rPr>
        <w:footnoteReference w:id="2"/>
      </w:r>
      <w:r w:rsidR="00B61073" w:rsidRPr="00C00158">
        <w:rPr>
          <w:lang w:val="en-US"/>
        </w:rPr>
        <w:t xml:space="preserve">   </w:t>
      </w:r>
    </w:p>
    <w:p w14:paraId="0195FE50" w14:textId="2B36A168" w:rsidR="005F66C8" w:rsidRPr="00FA5416" w:rsidRDefault="005F66C8" w:rsidP="00352570">
      <w:pPr>
        <w:pStyle w:val="Bodytextnumbered"/>
      </w:pPr>
      <w:r>
        <w:t xml:space="preserve">The government states </w:t>
      </w:r>
      <w:r w:rsidR="00003180">
        <w:t xml:space="preserve">the </w:t>
      </w:r>
      <w:r>
        <w:t>purpose of the Bill is ‘</w:t>
      </w:r>
      <w:r w:rsidRPr="00972D3D">
        <w:rPr>
          <w:i/>
          <w:iCs/>
          <w:lang w:val="en-GB"/>
        </w:rPr>
        <w:t xml:space="preserve">to safeguard children by empowering the community </w:t>
      </w:r>
      <w:r w:rsidR="00233F0E" w:rsidRPr="00972D3D">
        <w:rPr>
          <w:i/>
          <w:iCs/>
          <w:lang w:val="en-GB"/>
        </w:rPr>
        <w:t>–</w:t>
      </w:r>
      <w:r w:rsidRPr="00972D3D">
        <w:rPr>
          <w:i/>
          <w:iCs/>
          <w:lang w:val="en-GB"/>
        </w:rPr>
        <w:t xml:space="preserve"> and </w:t>
      </w:r>
      <w:r w:rsidR="00233F0E" w:rsidRPr="00972D3D">
        <w:rPr>
          <w:i/>
          <w:iCs/>
          <w:lang w:val="en-GB"/>
        </w:rPr>
        <w:t>families</w:t>
      </w:r>
      <w:r w:rsidRPr="00972D3D">
        <w:rPr>
          <w:i/>
          <w:iCs/>
          <w:lang w:val="en-GB"/>
        </w:rPr>
        <w:t xml:space="preserve"> in particular</w:t>
      </w:r>
      <w:r w:rsidR="00233F0E" w:rsidRPr="00972D3D">
        <w:rPr>
          <w:i/>
          <w:iCs/>
          <w:lang w:val="en-GB"/>
        </w:rPr>
        <w:t xml:space="preserve"> –</w:t>
      </w:r>
      <w:r w:rsidRPr="00972D3D">
        <w:rPr>
          <w:i/>
          <w:iCs/>
          <w:lang w:val="en-GB"/>
        </w:rPr>
        <w:t xml:space="preserve"> to take protective actions in the best interests of children (consistent with section 26(2) of the HR Act) to prevent children from being subject to the devastating harm which results from sexual offending</w:t>
      </w:r>
      <w:r>
        <w:rPr>
          <w:lang w:val="en-GB"/>
        </w:rPr>
        <w:t>’</w:t>
      </w:r>
      <w:r w:rsidRPr="00271E3A">
        <w:rPr>
          <w:lang w:val="en-GB"/>
        </w:rPr>
        <w:t>.</w:t>
      </w:r>
      <w:r>
        <w:rPr>
          <w:rStyle w:val="FootnoteReference"/>
          <w:lang w:val="en-GB"/>
        </w:rPr>
        <w:footnoteReference w:id="3"/>
      </w:r>
    </w:p>
    <w:p w14:paraId="153F1DAB" w14:textId="16792A4C" w:rsidR="00770B3A" w:rsidRDefault="00513D0A" w:rsidP="00770B3A">
      <w:pPr>
        <w:pStyle w:val="Bodytextnumbered"/>
      </w:pPr>
      <w:r>
        <w:t xml:space="preserve">However, </w:t>
      </w:r>
      <w:r w:rsidR="00903016">
        <w:t xml:space="preserve">no evidence </w:t>
      </w:r>
      <w:r w:rsidR="005A26D0">
        <w:t>is available to demonstrate</w:t>
      </w:r>
      <w:r w:rsidR="00903016">
        <w:t xml:space="preserve"> that public child sex offender registers </w:t>
      </w:r>
      <w:r w:rsidR="00882244">
        <w:t>reduce sexual offending against children</w:t>
      </w:r>
      <w:r w:rsidR="009C2DB6">
        <w:t>.</w:t>
      </w:r>
      <w:r w:rsidR="00D52510">
        <w:t xml:space="preserve"> Conversel</w:t>
      </w:r>
      <w:r w:rsidR="00882244">
        <w:t>y,</w:t>
      </w:r>
      <w:r w:rsidR="001D636C">
        <w:t xml:space="preserve"> public child sex offender registers have been shown to </w:t>
      </w:r>
      <w:r w:rsidR="00046B70" w:rsidRPr="00046B70">
        <w:rPr>
          <w:i/>
          <w:iCs/>
        </w:rPr>
        <w:t>increase</w:t>
      </w:r>
      <w:r w:rsidR="001D636C">
        <w:t xml:space="preserve"> sex offence rec</w:t>
      </w:r>
      <w:r w:rsidR="000805DC">
        <w:t>idivism (</w:t>
      </w:r>
      <w:r w:rsidR="00FD2105">
        <w:t>reoffending</w:t>
      </w:r>
      <w:r w:rsidR="000805DC">
        <w:t>)</w:t>
      </w:r>
      <w:r w:rsidR="001D636C">
        <w:t xml:space="preserve">. This is understood to be </w:t>
      </w:r>
      <w:r w:rsidR="00046B70">
        <w:t xml:space="preserve">partially </w:t>
      </w:r>
      <w:r w:rsidR="001D636C">
        <w:t xml:space="preserve">a result of the negative consequences of public registration </w:t>
      </w:r>
      <w:r w:rsidR="00FD2105">
        <w:t>which can include</w:t>
      </w:r>
      <w:r w:rsidR="001D636C">
        <w:t xml:space="preserve"> exclusion from </w:t>
      </w:r>
      <w:r w:rsidR="00A66430">
        <w:t>housing</w:t>
      </w:r>
      <w:r w:rsidR="00152358">
        <w:t xml:space="preserve"> and</w:t>
      </w:r>
      <w:r w:rsidR="00A66430">
        <w:t xml:space="preserve"> employment, </w:t>
      </w:r>
      <w:r w:rsidR="00E75196">
        <w:t>and being subject</w:t>
      </w:r>
      <w:r w:rsidR="00CB04F0">
        <w:t>ed</w:t>
      </w:r>
      <w:r w:rsidR="00E75196">
        <w:t xml:space="preserve"> </w:t>
      </w:r>
      <w:r w:rsidR="67F1F1AE">
        <w:t>to</w:t>
      </w:r>
      <w:r w:rsidR="1117A8C2">
        <w:t xml:space="preserve"> </w:t>
      </w:r>
      <w:r w:rsidR="00D03F80">
        <w:t xml:space="preserve">harassment and </w:t>
      </w:r>
      <w:r w:rsidR="005B3328">
        <w:t>assault</w:t>
      </w:r>
      <w:r w:rsidR="00CB04F0">
        <w:t>,</w:t>
      </w:r>
      <w:r w:rsidR="00FD2105">
        <w:t xml:space="preserve"> a</w:t>
      </w:r>
      <w:r w:rsidR="004F2346">
        <w:t xml:space="preserve">ll of </w:t>
      </w:r>
      <w:r w:rsidR="005B3328">
        <w:t xml:space="preserve">which </w:t>
      </w:r>
      <w:r w:rsidR="00FD2105">
        <w:t>can disrupt</w:t>
      </w:r>
      <w:r w:rsidR="00046B70">
        <w:t xml:space="preserve"> rehabilitation</w:t>
      </w:r>
      <w:r w:rsidR="004F2346">
        <w:t xml:space="preserve"> efforts</w:t>
      </w:r>
      <w:r w:rsidR="00D03F80">
        <w:t xml:space="preserve">. </w:t>
      </w:r>
    </w:p>
    <w:p w14:paraId="0272A1F9" w14:textId="1D77A891" w:rsidR="00C027A6" w:rsidRDefault="00F63698" w:rsidP="00196494">
      <w:pPr>
        <w:pStyle w:val="Bodytextnumbered"/>
      </w:pPr>
      <w:r>
        <w:t>As the</w:t>
      </w:r>
      <w:r w:rsidR="00C027A6">
        <w:t xml:space="preserve"> </w:t>
      </w:r>
      <w:r w:rsidR="00046B70">
        <w:t xml:space="preserve">Bill </w:t>
      </w:r>
      <w:r w:rsidR="00561C68">
        <w:t>is not capable of achieving</w:t>
      </w:r>
      <w:r w:rsidR="00102BA9">
        <w:t xml:space="preserve"> its purpose </w:t>
      </w:r>
      <w:r w:rsidR="00031137">
        <w:t>to protect</w:t>
      </w:r>
      <w:r w:rsidR="007B3296">
        <w:t xml:space="preserve"> children </w:t>
      </w:r>
      <w:r w:rsidR="00102BA9">
        <w:t>from sexual abuse, the limits placed on human rights</w:t>
      </w:r>
      <w:r w:rsidR="00A44A51">
        <w:t xml:space="preserve"> by the Bill</w:t>
      </w:r>
      <w:r w:rsidR="006E70AF">
        <w:t xml:space="preserve"> </w:t>
      </w:r>
      <w:r w:rsidR="00B01472">
        <w:t>are not justifiable.</w:t>
      </w:r>
      <w:r w:rsidR="00B12F44">
        <w:t xml:space="preserve"> </w:t>
      </w:r>
    </w:p>
    <w:p w14:paraId="01C87999" w14:textId="3DF3B3EB" w:rsidR="000B1A2A" w:rsidRDefault="000B1A2A" w:rsidP="000B1A2A">
      <w:pPr>
        <w:pStyle w:val="Bodytextnumbered"/>
      </w:pPr>
      <w:r>
        <w:lastRenderedPageBreak/>
        <w:t xml:space="preserve">The Bill will </w:t>
      </w:r>
      <w:r w:rsidR="00C8503D">
        <w:t>also</w:t>
      </w:r>
      <w:r w:rsidR="00C8503D" w:rsidRPr="007D40F5">
        <w:t xml:space="preserve"> </w:t>
      </w:r>
      <w:r>
        <w:t xml:space="preserve">limit the human rights of </w:t>
      </w:r>
      <w:r w:rsidRPr="007D40F5">
        <w:t xml:space="preserve">victims of child sexual abuse. As </w:t>
      </w:r>
      <w:r w:rsidR="009B40CC" w:rsidRPr="007D40F5">
        <w:t>most</w:t>
      </w:r>
      <w:r w:rsidRPr="007D40F5">
        <w:t xml:space="preserve"> offenders are known to their victim, </w:t>
      </w:r>
      <w:r w:rsidR="00597AF1">
        <w:t>identifying</w:t>
      </w:r>
      <w:r w:rsidRPr="007D40F5">
        <w:t xml:space="preserve"> an offender risks identifying their victim. </w:t>
      </w:r>
      <w:r w:rsidR="00597AF1">
        <w:t>Publishing</w:t>
      </w:r>
      <w:r w:rsidRPr="007D40F5">
        <w:t xml:space="preserve"> an offender</w:t>
      </w:r>
      <w:r w:rsidR="00F714E6">
        <w:t>’</w:t>
      </w:r>
      <w:r w:rsidRPr="007D40F5">
        <w:t>s details may also re-traumatis</w:t>
      </w:r>
      <w:r w:rsidR="005E620F">
        <w:t>e</w:t>
      </w:r>
      <w:r w:rsidRPr="007D40F5">
        <w:t xml:space="preserve"> a victim. The Bill makes no provision for consulting victims </w:t>
      </w:r>
      <w:r w:rsidR="00E95E64">
        <w:t>about</w:t>
      </w:r>
      <w:r w:rsidR="00E95E64" w:rsidRPr="007D40F5">
        <w:t xml:space="preserve"> </w:t>
      </w:r>
      <w:r w:rsidRPr="007D40F5">
        <w:t>whether publication will create risks for the victim</w:t>
      </w:r>
      <w:r w:rsidR="00055B87">
        <w:t xml:space="preserve">, </w:t>
      </w:r>
      <w:r w:rsidRPr="007D40F5">
        <w:t xml:space="preserve">and the government has not committed any resources to ensuring support is available to victims identified </w:t>
      </w:r>
      <w:r w:rsidR="00A571D7">
        <w:t>through</w:t>
      </w:r>
      <w:r w:rsidR="00A571D7" w:rsidRPr="007D40F5">
        <w:t xml:space="preserve"> </w:t>
      </w:r>
      <w:r w:rsidRPr="007D40F5">
        <w:t>the public register</w:t>
      </w:r>
      <w:r>
        <w:t xml:space="preserve">. </w:t>
      </w:r>
    </w:p>
    <w:p w14:paraId="6112F548" w14:textId="00CD2014" w:rsidR="00601095" w:rsidRDefault="007D40F5" w:rsidP="00352570">
      <w:pPr>
        <w:pStyle w:val="Bodytextnumbered"/>
      </w:pPr>
      <w:r>
        <w:t xml:space="preserve">The </w:t>
      </w:r>
      <w:r w:rsidR="007321C9">
        <w:t xml:space="preserve">Commission recommends that the </w:t>
      </w:r>
      <w:r>
        <w:t xml:space="preserve">government </w:t>
      </w:r>
      <w:r w:rsidR="000B1A2A">
        <w:t>abandon the Bill and</w:t>
      </w:r>
      <w:r>
        <w:t xml:space="preserve"> </w:t>
      </w:r>
      <w:r w:rsidRPr="00D119E4">
        <w:t>instead pursue h</w:t>
      </w:r>
      <w:r w:rsidR="00B0121C" w:rsidRPr="00D119E4">
        <w:t xml:space="preserve">uman rights compatible approaches to child safety that will be effective </w:t>
      </w:r>
      <w:r w:rsidR="001264CC" w:rsidRPr="00D119E4">
        <w:t>in</w:t>
      </w:r>
      <w:r w:rsidR="00B0121C" w:rsidRPr="00D119E4">
        <w:t xml:space="preserve"> reduc</w:t>
      </w:r>
      <w:r w:rsidR="001264CC" w:rsidRPr="00D119E4">
        <w:t>ing</w:t>
      </w:r>
      <w:r w:rsidR="00B0121C" w:rsidRPr="00D119E4">
        <w:t xml:space="preserve"> chi</w:t>
      </w:r>
      <w:r w:rsidRPr="00D119E4">
        <w:t>l</w:t>
      </w:r>
      <w:r w:rsidR="00B0121C" w:rsidRPr="00D119E4">
        <w:t>d sex offending and will not cause disproportionate harm, including to victims</w:t>
      </w:r>
      <w:r w:rsidR="00B0121C" w:rsidRPr="00B0121C">
        <w:t xml:space="preserve">. </w:t>
      </w:r>
    </w:p>
    <w:p w14:paraId="6FCD249A" w14:textId="1E8A91C1" w:rsidR="003D6092" w:rsidRDefault="003D6092" w:rsidP="008D4132">
      <w:pPr>
        <w:pStyle w:val="Heading1"/>
      </w:pPr>
      <w:bookmarkStart w:id="1" w:name="_Toc208387243"/>
      <w:r>
        <w:t>Recommendations</w:t>
      </w:r>
      <w:bookmarkEnd w:id="1"/>
    </w:p>
    <w:p w14:paraId="273E9DA4" w14:textId="77777777" w:rsidR="00643AF8" w:rsidRDefault="00643AF8" w:rsidP="00643AF8">
      <w:pPr>
        <w:pStyle w:val="Bodytextnumbered"/>
      </w:pPr>
      <w:r>
        <w:t>The Commission recommends:</w:t>
      </w:r>
    </w:p>
    <w:p w14:paraId="00D41208" w14:textId="225C984B" w:rsidR="00E734E4" w:rsidRDefault="00E734E4" w:rsidP="00E734E4">
      <w:pPr>
        <w:pStyle w:val="Bodytextnumbered"/>
        <w:numPr>
          <w:ilvl w:val="1"/>
          <w:numId w:val="21"/>
        </w:numPr>
      </w:pPr>
      <w:r>
        <w:t xml:space="preserve">As the Bill is incompatible with human rights, the </w:t>
      </w:r>
      <w:r w:rsidRPr="00643AF8">
        <w:t>Committee should recommend to parliament that this Bill not be passed (</w:t>
      </w:r>
      <w:r w:rsidRPr="00D74C83">
        <w:rPr>
          <w:b/>
          <w:bCs/>
        </w:rPr>
        <w:t xml:space="preserve">RECOMMENDATION </w:t>
      </w:r>
      <w:r>
        <w:rPr>
          <w:b/>
          <w:bCs/>
        </w:rPr>
        <w:t>1</w:t>
      </w:r>
      <w:r w:rsidRPr="00643AF8">
        <w:t>)</w:t>
      </w:r>
      <w:r>
        <w:t xml:space="preserve"> and</w:t>
      </w:r>
      <w:r w:rsidRPr="00643AF8">
        <w:t xml:space="preserve"> </w:t>
      </w:r>
      <w:r w:rsidRPr="00C903CD">
        <w:t xml:space="preserve">that the $10 million in funding allocated to establishing the register be diverted to support evidence-based strategies </w:t>
      </w:r>
      <w:r>
        <w:t>that will</w:t>
      </w:r>
      <w:r w:rsidRPr="00C903CD">
        <w:t xml:space="preserve"> reduc</w:t>
      </w:r>
      <w:r>
        <w:t>e</w:t>
      </w:r>
      <w:r w:rsidRPr="00C903CD">
        <w:t xml:space="preserve"> child sexual abuse (</w:t>
      </w:r>
      <w:r w:rsidRPr="00CB7B25">
        <w:rPr>
          <w:b/>
          <w:bCs/>
        </w:rPr>
        <w:t xml:space="preserve">RECOMMENDATION </w:t>
      </w:r>
      <w:r>
        <w:rPr>
          <w:b/>
          <w:bCs/>
        </w:rPr>
        <w:t>1A</w:t>
      </w:r>
      <w:r w:rsidRPr="00C903CD">
        <w:t>)</w:t>
      </w:r>
      <w:r>
        <w:t>.</w:t>
      </w:r>
    </w:p>
    <w:p w14:paraId="753E2AA2" w14:textId="6CF6806F" w:rsidR="00E734E4" w:rsidRDefault="00E734E4" w:rsidP="00E734E4">
      <w:pPr>
        <w:pStyle w:val="Bodytextnumbered"/>
      </w:pPr>
      <w:r>
        <w:t>Alternatively, at a minimum:</w:t>
      </w:r>
    </w:p>
    <w:p w14:paraId="6AD60E4D" w14:textId="010C0660" w:rsidR="00E734E4" w:rsidRDefault="00E734E4" w:rsidP="00E734E4">
      <w:pPr>
        <w:pStyle w:val="Bodytextnumbered"/>
        <w:numPr>
          <w:ilvl w:val="1"/>
          <w:numId w:val="21"/>
        </w:numPr>
      </w:pPr>
      <w:r>
        <w:t>A</w:t>
      </w:r>
      <w:r w:rsidRPr="00C903CD">
        <w:t xml:space="preserve">ppropriate mechanisms must be put in place to monitor the impact of the scheme on identified offenders, including impacts on housing, employment, and future offending behaviours </w:t>
      </w:r>
      <w:r>
        <w:t>(</w:t>
      </w:r>
      <w:r w:rsidRPr="00C903CD">
        <w:t>including sexual and non-sexual recidivism</w:t>
      </w:r>
      <w:r>
        <w:t>)</w:t>
      </w:r>
      <w:r w:rsidRPr="00C903CD">
        <w:t xml:space="preserve"> to ensure the scheme is not leading to increased offending (</w:t>
      </w:r>
      <w:r w:rsidRPr="00CB7B25">
        <w:rPr>
          <w:b/>
          <w:bCs/>
        </w:rPr>
        <w:t>RECOMMENDATION 2</w:t>
      </w:r>
      <w:r w:rsidRPr="00C903CD">
        <w:t>)</w:t>
      </w:r>
      <w:r>
        <w:t>.</w:t>
      </w:r>
    </w:p>
    <w:p w14:paraId="14D1AA89" w14:textId="2268E29E" w:rsidR="00E734E4" w:rsidRPr="00F2297C" w:rsidRDefault="00E734E4" w:rsidP="00E734E4">
      <w:pPr>
        <w:pStyle w:val="Bodytextnumbered"/>
        <w:numPr>
          <w:ilvl w:val="1"/>
          <w:numId w:val="21"/>
        </w:numPr>
      </w:pPr>
      <w:r>
        <w:t>The public register</w:t>
      </w:r>
      <w:r w:rsidRPr="00C903CD">
        <w:t xml:space="preserve"> website</w:t>
      </w:r>
      <w:r>
        <w:t xml:space="preserve"> should</w:t>
      </w:r>
      <w:r w:rsidRPr="00C903CD">
        <w:t xml:space="preserve"> incorporate</w:t>
      </w:r>
      <w:r>
        <w:t xml:space="preserve">: </w:t>
      </w:r>
      <w:r w:rsidRPr="00C903CD">
        <w:t>additional information to assist parents and families keep their children safe (</w:t>
      </w:r>
      <w:r w:rsidRPr="00CB7B25">
        <w:rPr>
          <w:b/>
          <w:bCs/>
        </w:rPr>
        <w:t xml:space="preserve">RECOMMENDATION </w:t>
      </w:r>
      <w:r>
        <w:rPr>
          <w:b/>
          <w:bCs/>
        </w:rPr>
        <w:t>3</w:t>
      </w:r>
      <w:r w:rsidRPr="00C903CD">
        <w:t>)</w:t>
      </w:r>
      <w:r>
        <w:t xml:space="preserve">; and </w:t>
      </w:r>
      <w:r w:rsidRPr="00037139">
        <w:rPr>
          <w:rFonts w:eastAsia="Calibri" w:cs="Times New Roman"/>
        </w:rPr>
        <w:t xml:space="preserve">contextual information </w:t>
      </w:r>
      <w:r>
        <w:rPr>
          <w:rFonts w:eastAsia="Calibri" w:cs="Times New Roman"/>
        </w:rPr>
        <w:t>to</w:t>
      </w:r>
      <w:r w:rsidRPr="00037139">
        <w:rPr>
          <w:rFonts w:eastAsia="Calibri" w:cs="Times New Roman"/>
        </w:rPr>
        <w:t xml:space="preserve"> explain who is, and who is not, included in the public register scheme</w:t>
      </w:r>
      <w:r>
        <w:rPr>
          <w:rFonts w:eastAsia="Calibri" w:cs="Times New Roman"/>
        </w:rPr>
        <w:t>,</w:t>
      </w:r>
      <w:r w:rsidRPr="00037139">
        <w:rPr>
          <w:rFonts w:eastAsia="Calibri" w:cs="Times New Roman"/>
        </w:rPr>
        <w:t xml:space="preserve"> and what the information means (</w:t>
      </w:r>
      <w:r w:rsidRPr="00037139">
        <w:rPr>
          <w:rFonts w:eastAsia="Calibri" w:cs="Times New Roman"/>
          <w:b/>
          <w:bCs/>
        </w:rPr>
        <w:t xml:space="preserve">RECOMMENDATION </w:t>
      </w:r>
      <w:r>
        <w:rPr>
          <w:rFonts w:eastAsia="Calibri" w:cs="Times New Roman"/>
          <w:b/>
          <w:bCs/>
        </w:rPr>
        <w:t>3A</w:t>
      </w:r>
      <w:r w:rsidRPr="00037139">
        <w:rPr>
          <w:rFonts w:eastAsia="Calibri" w:cs="Times New Roman"/>
        </w:rPr>
        <w:t>)</w:t>
      </w:r>
      <w:r>
        <w:rPr>
          <w:rFonts w:eastAsia="Calibri" w:cs="Times New Roman"/>
        </w:rPr>
        <w:t>.</w:t>
      </w:r>
    </w:p>
    <w:p w14:paraId="074439EC" w14:textId="5391EDAB" w:rsidR="00E734E4" w:rsidRPr="00037139" w:rsidRDefault="00E734E4" w:rsidP="00E734E4">
      <w:pPr>
        <w:pStyle w:val="Bodytextnumbered"/>
        <w:numPr>
          <w:ilvl w:val="1"/>
          <w:numId w:val="21"/>
        </w:numPr>
      </w:pPr>
      <w:r>
        <w:t>The government should conduct a formal evaluation of the effectiveness of existing mechanisms before proceeding with this Bill (</w:t>
      </w:r>
      <w:r w:rsidRPr="00567A82">
        <w:rPr>
          <w:b/>
          <w:bCs/>
        </w:rPr>
        <w:t xml:space="preserve">RECOMMENDATION </w:t>
      </w:r>
      <w:r>
        <w:rPr>
          <w:b/>
          <w:bCs/>
        </w:rPr>
        <w:t>4</w:t>
      </w:r>
      <w:r>
        <w:t>).</w:t>
      </w:r>
    </w:p>
    <w:p w14:paraId="56DC1CD0" w14:textId="151D09E7" w:rsidR="00E734E4" w:rsidRDefault="00E734E4" w:rsidP="00E734E4">
      <w:pPr>
        <w:pStyle w:val="Bodytextnumbered"/>
        <w:numPr>
          <w:ilvl w:val="1"/>
          <w:numId w:val="21"/>
        </w:numPr>
      </w:pPr>
      <w:r>
        <w:t>T</w:t>
      </w:r>
      <w:r w:rsidRPr="00C903CD">
        <w:t>he Bill should be amended to require that when determining whether to publish information under all tiers</w:t>
      </w:r>
      <w:r>
        <w:t>,</w:t>
      </w:r>
      <w:r w:rsidRPr="00C903CD">
        <w:t xml:space="preserve"> the </w:t>
      </w:r>
      <w:r>
        <w:t>Police Commissioner</w:t>
      </w:r>
      <w:r w:rsidRPr="00C903CD">
        <w:t xml:space="preserve"> </w:t>
      </w:r>
      <w:r w:rsidRPr="00037139">
        <w:rPr>
          <w:i/>
          <w:iCs/>
        </w:rPr>
        <w:t>must</w:t>
      </w:r>
      <w:r w:rsidRPr="00C903CD">
        <w:t xml:space="preserve"> consider whether publication is supported by the victim (</w:t>
      </w:r>
      <w:r w:rsidRPr="00037139">
        <w:rPr>
          <w:b/>
          <w:bCs/>
        </w:rPr>
        <w:t xml:space="preserve">RECOMMENDATION </w:t>
      </w:r>
      <w:r>
        <w:rPr>
          <w:b/>
          <w:bCs/>
        </w:rPr>
        <w:t>5A</w:t>
      </w:r>
      <w:r w:rsidRPr="00C903CD">
        <w:t>)</w:t>
      </w:r>
      <w:r>
        <w:t>.</w:t>
      </w:r>
      <w:r w:rsidRPr="00C903CD">
        <w:t xml:space="preserve"> To facilitate this amendment, the Bill should be amended to provide for the </w:t>
      </w:r>
      <w:r>
        <w:t>Police Commissioner</w:t>
      </w:r>
      <w:r w:rsidRPr="00C903CD">
        <w:t xml:space="preserve"> to seek submissions from victims prior to publication of a reportable offender’s details (</w:t>
      </w:r>
      <w:r w:rsidRPr="00037139">
        <w:rPr>
          <w:b/>
          <w:bCs/>
        </w:rPr>
        <w:t xml:space="preserve">RECOMMENDATION </w:t>
      </w:r>
      <w:r>
        <w:rPr>
          <w:b/>
          <w:bCs/>
        </w:rPr>
        <w:t>5B</w:t>
      </w:r>
      <w:r w:rsidRPr="00C903CD">
        <w:t>)</w:t>
      </w:r>
      <w:r>
        <w:t>.</w:t>
      </w:r>
    </w:p>
    <w:p w14:paraId="77231786" w14:textId="77777777" w:rsidR="00E734E4" w:rsidRDefault="00E734E4" w:rsidP="00E734E4">
      <w:pPr>
        <w:pStyle w:val="Bodytextnumbered"/>
        <w:numPr>
          <w:ilvl w:val="2"/>
          <w:numId w:val="21"/>
        </w:numPr>
      </w:pPr>
      <w:r>
        <w:lastRenderedPageBreak/>
        <w:t>A</w:t>
      </w:r>
      <w:r w:rsidRPr="00C903CD">
        <w:t xml:space="preserve">lternatively, the Bill should be amended to require that a victim be notified of the intention to publish information and that the </w:t>
      </w:r>
      <w:r>
        <w:t xml:space="preserve">Police </w:t>
      </w:r>
      <w:r w:rsidRPr="00C903CD">
        <w:t xml:space="preserve">Commissioner </w:t>
      </w:r>
      <w:r w:rsidRPr="00746ADF">
        <w:rPr>
          <w:i/>
          <w:iCs/>
        </w:rPr>
        <w:t xml:space="preserve">must </w:t>
      </w:r>
      <w:r w:rsidRPr="00C903CD">
        <w:t>consider the impacts of publication on a victim, including the likelihood that the victim will be identified (</w:t>
      </w:r>
      <w:r w:rsidRPr="00746ADF">
        <w:rPr>
          <w:b/>
          <w:bCs/>
        </w:rPr>
        <w:t xml:space="preserve">RECOMMENDATION </w:t>
      </w:r>
      <w:r>
        <w:rPr>
          <w:b/>
          <w:bCs/>
        </w:rPr>
        <w:t>5C</w:t>
      </w:r>
      <w:r w:rsidRPr="00C903CD">
        <w:t>)</w:t>
      </w:r>
      <w:r>
        <w:t>.</w:t>
      </w:r>
      <w:r w:rsidRPr="00C903CD">
        <w:t xml:space="preserve"> </w:t>
      </w:r>
    </w:p>
    <w:p w14:paraId="46B39AF6" w14:textId="6130FC2D" w:rsidR="00E734E4" w:rsidRDefault="00AB0FC1" w:rsidP="00E734E4">
      <w:pPr>
        <w:pStyle w:val="Bodytextnumbered"/>
        <w:numPr>
          <w:ilvl w:val="1"/>
          <w:numId w:val="21"/>
        </w:numPr>
      </w:pPr>
      <w:r>
        <w:t>The government should e</w:t>
      </w:r>
      <w:r w:rsidR="00E734E4" w:rsidRPr="00C903CD">
        <w:t xml:space="preserve">stablish mechanisms by which the impact of the Bill on victims </w:t>
      </w:r>
      <w:r w:rsidR="00E734E4">
        <w:t>is</w:t>
      </w:r>
      <w:r w:rsidR="00E734E4" w:rsidRPr="00C903CD">
        <w:t xml:space="preserve"> collected</w:t>
      </w:r>
      <w:r w:rsidR="00E734E4">
        <w:t>, and t</w:t>
      </w:r>
      <w:r w:rsidR="00E734E4" w:rsidRPr="00C903CD">
        <w:t>his information must be considered as part of the proposed independent statutory review (</w:t>
      </w:r>
      <w:r w:rsidR="00E734E4" w:rsidRPr="00746ADF">
        <w:rPr>
          <w:b/>
          <w:bCs/>
        </w:rPr>
        <w:t xml:space="preserve">RECOMMENDATION </w:t>
      </w:r>
      <w:r w:rsidR="00E734E4">
        <w:rPr>
          <w:b/>
          <w:bCs/>
        </w:rPr>
        <w:t>5D</w:t>
      </w:r>
      <w:r w:rsidR="00E734E4" w:rsidRPr="00C903CD">
        <w:t>)</w:t>
      </w:r>
      <w:r w:rsidR="00E734E4">
        <w:t>.</w:t>
      </w:r>
    </w:p>
    <w:p w14:paraId="734C986B" w14:textId="77777777" w:rsidR="00E734E4" w:rsidRDefault="00E734E4" w:rsidP="00E734E4">
      <w:pPr>
        <w:pStyle w:val="Bodytextnumbered"/>
        <w:numPr>
          <w:ilvl w:val="1"/>
          <w:numId w:val="21"/>
        </w:numPr>
      </w:pPr>
      <w:r>
        <w:t>T</w:t>
      </w:r>
      <w:r w:rsidRPr="00C903CD">
        <w:t>he government should commit to resourcing victim</w:t>
      </w:r>
      <w:r>
        <w:t xml:space="preserve"> </w:t>
      </w:r>
      <w:r w:rsidRPr="00C903CD">
        <w:t>support services to provide additional support to victims identified by the scheme</w:t>
      </w:r>
      <w:r>
        <w:t>,</w:t>
      </w:r>
      <w:r w:rsidRPr="00C903CD">
        <w:t xml:space="preserve"> or who suffer re-traumatisation following the publication of details of their offender (</w:t>
      </w:r>
      <w:r w:rsidRPr="00F70CA7">
        <w:rPr>
          <w:b/>
          <w:bCs/>
        </w:rPr>
        <w:t xml:space="preserve">RECOMMENDMATION </w:t>
      </w:r>
      <w:r>
        <w:rPr>
          <w:b/>
          <w:bCs/>
        </w:rPr>
        <w:t>5E</w:t>
      </w:r>
      <w:r w:rsidRPr="00C903CD">
        <w:t>)</w:t>
      </w:r>
      <w:r>
        <w:t>.</w:t>
      </w:r>
    </w:p>
    <w:p w14:paraId="5C8044E5" w14:textId="77777777" w:rsidR="00E734E4" w:rsidRPr="00CF5052" w:rsidRDefault="00E734E4" w:rsidP="00E734E4">
      <w:pPr>
        <w:pStyle w:val="Bodytextnumbered"/>
        <w:numPr>
          <w:ilvl w:val="1"/>
          <w:numId w:val="21"/>
        </w:numPr>
      </w:pPr>
      <w:r w:rsidRPr="00CF5052">
        <w:t>The impacts of the Bill on families and cohabitants of reportable offenders should be carefully monitored and considered in the context of the proposed independent statutory review (</w:t>
      </w:r>
      <w:r w:rsidRPr="00CF5052">
        <w:rPr>
          <w:b/>
          <w:bCs/>
        </w:rPr>
        <w:t xml:space="preserve">RECOMMENDATION </w:t>
      </w:r>
      <w:r>
        <w:rPr>
          <w:b/>
          <w:bCs/>
        </w:rPr>
        <w:t>6</w:t>
      </w:r>
      <w:r w:rsidRPr="00CF5052">
        <w:t>).</w:t>
      </w:r>
    </w:p>
    <w:p w14:paraId="3FDFE121" w14:textId="77777777" w:rsidR="00E734E4" w:rsidRDefault="00E734E4" w:rsidP="00E734E4">
      <w:pPr>
        <w:pStyle w:val="Bodytextnumbered"/>
        <w:numPr>
          <w:ilvl w:val="1"/>
          <w:numId w:val="21"/>
        </w:numPr>
      </w:pPr>
      <w:r w:rsidRPr="00CF5052">
        <w:t xml:space="preserve">The proposed offences should be extended to criminalise conduct which incites or may </w:t>
      </w:r>
      <w:r w:rsidRPr="00CF5052">
        <w:rPr>
          <w:rFonts w:eastAsia="Calibri" w:cs="Times New Roman"/>
        </w:rPr>
        <w:t>incite</w:t>
      </w:r>
      <w:r w:rsidRPr="00CF5052">
        <w:t xml:space="preserve"> the harassment or intimidation of the family or acquaintances of an identified offender (</w:t>
      </w:r>
      <w:r w:rsidRPr="00CF5052">
        <w:rPr>
          <w:b/>
          <w:bCs/>
        </w:rPr>
        <w:t xml:space="preserve">RECOMMENDATION </w:t>
      </w:r>
      <w:r>
        <w:rPr>
          <w:b/>
          <w:bCs/>
        </w:rPr>
        <w:t>7</w:t>
      </w:r>
      <w:r w:rsidRPr="00CF5052">
        <w:t>)</w:t>
      </w:r>
      <w:r>
        <w:t>.</w:t>
      </w:r>
    </w:p>
    <w:p w14:paraId="71CBD035" w14:textId="1E333534" w:rsidR="00E734E4" w:rsidRPr="0071112E" w:rsidRDefault="00E734E4" w:rsidP="00E734E4">
      <w:pPr>
        <w:pStyle w:val="Bodytextnumbered"/>
        <w:numPr>
          <w:ilvl w:val="1"/>
          <w:numId w:val="21"/>
        </w:numPr>
        <w:rPr>
          <w:rFonts w:eastAsia="Calibri" w:cs="Times New Roman"/>
        </w:rPr>
      </w:pPr>
      <w:r>
        <w:rPr>
          <w:rFonts w:eastAsia="Calibri" w:cs="Times New Roman"/>
        </w:rPr>
        <w:t>T</w:t>
      </w:r>
      <w:r w:rsidRPr="0071112E">
        <w:rPr>
          <w:rFonts w:eastAsia="Calibri" w:cs="Times New Roman"/>
        </w:rPr>
        <w:t xml:space="preserve">he Bill </w:t>
      </w:r>
      <w:r w:rsidR="004532EE">
        <w:rPr>
          <w:rFonts w:eastAsia="Calibri" w:cs="Times New Roman"/>
        </w:rPr>
        <w:t xml:space="preserve">should </w:t>
      </w:r>
      <w:r w:rsidRPr="0071112E">
        <w:rPr>
          <w:rFonts w:eastAsia="Calibri" w:cs="Times New Roman"/>
        </w:rPr>
        <w:t xml:space="preserve">make provision for the reporting and recording of unauthorised use </w:t>
      </w:r>
      <w:r w:rsidR="0058461D">
        <w:rPr>
          <w:rFonts w:eastAsia="Calibri" w:cs="Times New Roman"/>
        </w:rPr>
        <w:t xml:space="preserve">of reportable offenders’ information </w:t>
      </w:r>
      <w:r w:rsidRPr="0071112E">
        <w:rPr>
          <w:rFonts w:eastAsia="Calibri" w:cs="Times New Roman"/>
        </w:rPr>
        <w:t xml:space="preserve">and suspected harassment or vigilantism </w:t>
      </w:r>
      <w:r>
        <w:rPr>
          <w:rFonts w:eastAsia="Calibri" w:cs="Times New Roman"/>
        </w:rPr>
        <w:t>of reportable offenders</w:t>
      </w:r>
      <w:r w:rsidRPr="0071112E">
        <w:rPr>
          <w:rFonts w:eastAsia="Calibri" w:cs="Times New Roman"/>
        </w:rPr>
        <w:t xml:space="preserve"> </w:t>
      </w:r>
      <w:r>
        <w:rPr>
          <w:rFonts w:eastAsia="Calibri" w:cs="Times New Roman"/>
        </w:rPr>
        <w:t>(</w:t>
      </w:r>
      <w:r w:rsidRPr="0071112E">
        <w:rPr>
          <w:rFonts w:eastAsia="Calibri" w:cs="Times New Roman"/>
          <w:b/>
          <w:bCs/>
        </w:rPr>
        <w:t xml:space="preserve">RECOMMENDATION </w:t>
      </w:r>
      <w:r>
        <w:rPr>
          <w:rFonts w:eastAsia="Calibri" w:cs="Times New Roman"/>
          <w:b/>
          <w:bCs/>
        </w:rPr>
        <w:t>8A</w:t>
      </w:r>
      <w:r w:rsidRPr="0071112E">
        <w:rPr>
          <w:rFonts w:eastAsia="Calibri" w:cs="Times New Roman"/>
        </w:rPr>
        <w:t>)</w:t>
      </w:r>
      <w:r>
        <w:rPr>
          <w:rFonts w:eastAsia="Calibri" w:cs="Times New Roman"/>
        </w:rPr>
        <w:t>.</w:t>
      </w:r>
      <w:r w:rsidRPr="0071112E">
        <w:rPr>
          <w:rFonts w:eastAsia="Calibri" w:cs="Times New Roman"/>
        </w:rPr>
        <w:t xml:space="preserve"> The proposed public register website should also include a link to Crime Stoppers Queensland website (</w:t>
      </w:r>
      <w:r w:rsidRPr="0071112E">
        <w:rPr>
          <w:rFonts w:eastAsia="Calibri" w:cs="Times New Roman"/>
          <w:b/>
          <w:bCs/>
        </w:rPr>
        <w:t xml:space="preserve">RECOMMENDATION </w:t>
      </w:r>
      <w:r>
        <w:rPr>
          <w:rFonts w:eastAsia="Calibri" w:cs="Times New Roman"/>
          <w:b/>
          <w:bCs/>
        </w:rPr>
        <w:t>8B</w:t>
      </w:r>
      <w:r w:rsidRPr="0071112E">
        <w:rPr>
          <w:rFonts w:eastAsia="Calibri" w:cs="Times New Roman"/>
        </w:rPr>
        <w:t xml:space="preserve">).  </w:t>
      </w:r>
    </w:p>
    <w:p w14:paraId="26B98E6A" w14:textId="0D3B6E84" w:rsidR="00E734E4" w:rsidRDefault="00E734E4" w:rsidP="00E734E4">
      <w:pPr>
        <w:keepLines/>
        <w:numPr>
          <w:ilvl w:val="1"/>
          <w:numId w:val="21"/>
        </w:numPr>
        <w:spacing w:after="120"/>
        <w:rPr>
          <w:rFonts w:eastAsia="Calibri" w:cs="Times New Roman"/>
          <w:sz w:val="22"/>
        </w:rPr>
      </w:pPr>
      <w:r>
        <w:rPr>
          <w:rFonts w:eastAsia="Calibri" w:cs="Times New Roman"/>
          <w:sz w:val="22"/>
        </w:rPr>
        <w:t>T</w:t>
      </w:r>
      <w:r w:rsidRPr="00C903CD">
        <w:rPr>
          <w:rFonts w:eastAsia="Calibri" w:cs="Times New Roman"/>
          <w:sz w:val="22"/>
        </w:rPr>
        <w:t>o minimise the impact of the Bill on the human rights of reportable offenders, the Bill should be amended to</w:t>
      </w:r>
      <w:r>
        <w:rPr>
          <w:rFonts w:eastAsia="Calibri" w:cs="Times New Roman"/>
          <w:sz w:val="22"/>
        </w:rPr>
        <w:t xml:space="preserve"> </w:t>
      </w:r>
      <w:r w:rsidRPr="00C903CD">
        <w:rPr>
          <w:rFonts w:eastAsia="Calibri" w:cs="Times New Roman"/>
          <w:sz w:val="22"/>
        </w:rPr>
        <w:t>(</w:t>
      </w:r>
      <w:r w:rsidRPr="00C903CD">
        <w:rPr>
          <w:rFonts w:eastAsia="Calibri" w:cs="Times New Roman"/>
          <w:b/>
          <w:bCs/>
          <w:sz w:val="22"/>
        </w:rPr>
        <w:t xml:space="preserve">RECOMMENDATION </w:t>
      </w:r>
      <w:r>
        <w:rPr>
          <w:rFonts w:eastAsia="Calibri" w:cs="Times New Roman"/>
          <w:b/>
          <w:bCs/>
          <w:sz w:val="22"/>
        </w:rPr>
        <w:t>9</w:t>
      </w:r>
      <w:r w:rsidRPr="00C903CD">
        <w:rPr>
          <w:rFonts w:eastAsia="Calibri" w:cs="Times New Roman"/>
          <w:sz w:val="22"/>
        </w:rPr>
        <w:t>)</w:t>
      </w:r>
      <w:r>
        <w:rPr>
          <w:rFonts w:eastAsia="Calibri" w:cs="Times New Roman"/>
          <w:sz w:val="22"/>
        </w:rPr>
        <w:t>:</w:t>
      </w:r>
    </w:p>
    <w:p w14:paraId="0BBB9C70" w14:textId="77777777" w:rsidR="00E734E4" w:rsidRDefault="00E734E4" w:rsidP="00E734E4">
      <w:pPr>
        <w:keepLines/>
        <w:numPr>
          <w:ilvl w:val="2"/>
          <w:numId w:val="21"/>
        </w:numPr>
        <w:spacing w:after="120"/>
        <w:rPr>
          <w:rFonts w:eastAsia="Calibri" w:cs="Times New Roman"/>
          <w:sz w:val="22"/>
        </w:rPr>
      </w:pPr>
      <w:r w:rsidRPr="00C903CD">
        <w:rPr>
          <w:rFonts w:eastAsia="Calibri" w:cs="Times New Roman"/>
          <w:sz w:val="22"/>
        </w:rPr>
        <w:t xml:space="preserve">require that the </w:t>
      </w:r>
      <w:r>
        <w:rPr>
          <w:rFonts w:eastAsia="Calibri" w:cs="Times New Roman"/>
          <w:sz w:val="22"/>
        </w:rPr>
        <w:t>Police Commissioner</w:t>
      </w:r>
      <w:r w:rsidRPr="00C903CD">
        <w:rPr>
          <w:rFonts w:eastAsia="Calibri" w:cs="Times New Roman"/>
          <w:sz w:val="22"/>
        </w:rPr>
        <w:t xml:space="preserve"> remove the details of a reportable offender which are published under Tier 1 ‘as soon as practicable’ </w:t>
      </w:r>
      <w:r w:rsidRPr="00C903CD">
        <w:rPr>
          <w:rFonts w:eastAsia="Calibri" w:cs="Times New Roman"/>
          <w:i/>
          <w:iCs/>
          <w:sz w:val="22"/>
        </w:rPr>
        <w:t>but within 8 hours</w:t>
      </w:r>
      <w:r w:rsidRPr="00C903CD">
        <w:rPr>
          <w:rFonts w:eastAsia="Calibri" w:cs="Times New Roman"/>
          <w:sz w:val="22"/>
        </w:rPr>
        <w:t xml:space="preserve"> (</w:t>
      </w:r>
      <w:r w:rsidRPr="00C903CD">
        <w:rPr>
          <w:rFonts w:eastAsia="Calibri" w:cs="Times New Roman"/>
          <w:b/>
          <w:bCs/>
          <w:sz w:val="22"/>
        </w:rPr>
        <w:t xml:space="preserve">RECOMMENDATION </w:t>
      </w:r>
      <w:r>
        <w:rPr>
          <w:rFonts w:eastAsia="Calibri" w:cs="Times New Roman"/>
          <w:b/>
          <w:bCs/>
          <w:sz w:val="22"/>
        </w:rPr>
        <w:t>9A</w:t>
      </w:r>
      <w:r>
        <w:rPr>
          <w:rFonts w:eastAsia="Calibri" w:cs="Times New Roman"/>
          <w:sz w:val="22"/>
        </w:rPr>
        <w:t>)</w:t>
      </w:r>
    </w:p>
    <w:p w14:paraId="376D2A90" w14:textId="77777777" w:rsidR="00E734E4" w:rsidRDefault="00E734E4" w:rsidP="00E734E4">
      <w:pPr>
        <w:keepLines/>
        <w:numPr>
          <w:ilvl w:val="2"/>
          <w:numId w:val="21"/>
        </w:numPr>
        <w:spacing w:after="120"/>
        <w:rPr>
          <w:rFonts w:eastAsia="Calibri" w:cs="Times New Roman"/>
          <w:sz w:val="22"/>
        </w:rPr>
      </w:pPr>
      <w:r w:rsidRPr="00C903CD">
        <w:rPr>
          <w:rFonts w:eastAsia="Calibri" w:cs="Times New Roman"/>
          <w:sz w:val="22"/>
        </w:rPr>
        <w:t>provide a more restrictive definition of ‘locality’ e.g., to mean ‘suburb’ if the person lives in a metropolitan area, or ‘town’ if the person lives in a regional or remote area (</w:t>
      </w:r>
      <w:r w:rsidRPr="00C903CD">
        <w:rPr>
          <w:rFonts w:eastAsia="Calibri" w:cs="Times New Roman"/>
          <w:b/>
          <w:bCs/>
          <w:sz w:val="22"/>
        </w:rPr>
        <w:t xml:space="preserve">RECOMMENDATION </w:t>
      </w:r>
      <w:r>
        <w:rPr>
          <w:rFonts w:eastAsia="Calibri" w:cs="Times New Roman"/>
          <w:b/>
          <w:bCs/>
          <w:sz w:val="22"/>
        </w:rPr>
        <w:t>9B</w:t>
      </w:r>
      <w:r w:rsidRPr="00C903CD">
        <w:rPr>
          <w:rFonts w:eastAsia="Calibri" w:cs="Times New Roman"/>
          <w:sz w:val="22"/>
        </w:rPr>
        <w:t>)</w:t>
      </w:r>
    </w:p>
    <w:p w14:paraId="7206A0CA" w14:textId="2087974F" w:rsidR="00E734E4" w:rsidRDefault="00E734E4" w:rsidP="00E734E4">
      <w:pPr>
        <w:keepLines/>
        <w:numPr>
          <w:ilvl w:val="2"/>
          <w:numId w:val="21"/>
        </w:numPr>
        <w:spacing w:after="120"/>
        <w:rPr>
          <w:rFonts w:eastAsia="Calibri" w:cs="Times New Roman"/>
          <w:sz w:val="22"/>
        </w:rPr>
      </w:pPr>
      <w:r w:rsidRPr="00C903CD">
        <w:rPr>
          <w:rFonts w:eastAsia="Calibri" w:cs="Times New Roman"/>
          <w:sz w:val="22"/>
        </w:rPr>
        <w:t xml:space="preserve">impose a duty on the </w:t>
      </w:r>
      <w:r>
        <w:rPr>
          <w:rFonts w:eastAsia="Calibri" w:cs="Times New Roman"/>
          <w:sz w:val="22"/>
        </w:rPr>
        <w:t>Police Commissioner</w:t>
      </w:r>
      <w:r w:rsidRPr="00C903CD">
        <w:rPr>
          <w:rFonts w:eastAsia="Calibri" w:cs="Times New Roman"/>
          <w:sz w:val="22"/>
        </w:rPr>
        <w:t xml:space="preserve"> to maintain the public register, including by ensuring that offenders who are no longer subject to reporting requirements are removed as soon as practicable</w:t>
      </w:r>
      <w:r>
        <w:rPr>
          <w:rFonts w:eastAsia="Calibri" w:cs="Times New Roman"/>
          <w:sz w:val="22"/>
        </w:rPr>
        <w:t xml:space="preserve"> </w:t>
      </w:r>
      <w:r w:rsidRPr="00C903CD">
        <w:rPr>
          <w:rFonts w:eastAsia="Calibri" w:cs="Times New Roman"/>
          <w:sz w:val="22"/>
        </w:rPr>
        <w:t>(</w:t>
      </w:r>
      <w:r w:rsidRPr="00C903CD">
        <w:rPr>
          <w:rFonts w:eastAsia="Calibri" w:cs="Times New Roman"/>
          <w:b/>
          <w:bCs/>
          <w:sz w:val="22"/>
        </w:rPr>
        <w:t xml:space="preserve">RECOMMENDATION </w:t>
      </w:r>
      <w:r>
        <w:rPr>
          <w:rFonts w:eastAsia="Calibri" w:cs="Times New Roman"/>
          <w:b/>
          <w:bCs/>
          <w:sz w:val="22"/>
        </w:rPr>
        <w:t>9C</w:t>
      </w:r>
      <w:r w:rsidRPr="00C903CD">
        <w:rPr>
          <w:rFonts w:eastAsia="Calibri" w:cs="Times New Roman"/>
          <w:sz w:val="22"/>
        </w:rPr>
        <w:t>)</w:t>
      </w:r>
      <w:r>
        <w:rPr>
          <w:rFonts w:eastAsia="Calibri" w:cs="Times New Roman"/>
          <w:sz w:val="22"/>
        </w:rPr>
        <w:t>.</w:t>
      </w:r>
    </w:p>
    <w:p w14:paraId="43180FA5" w14:textId="34FBF390" w:rsidR="00E734E4" w:rsidRPr="00E352E4" w:rsidRDefault="00E734E4" w:rsidP="00E734E4">
      <w:pPr>
        <w:keepLines/>
        <w:numPr>
          <w:ilvl w:val="2"/>
          <w:numId w:val="21"/>
        </w:numPr>
        <w:spacing w:after="120"/>
        <w:rPr>
          <w:rFonts w:eastAsia="Calibri" w:cs="Times New Roman"/>
          <w:sz w:val="22"/>
        </w:rPr>
      </w:pPr>
      <w:r w:rsidRPr="00E352E4">
        <w:rPr>
          <w:rFonts w:eastAsia="Calibri" w:cs="Times New Roman"/>
          <w:sz w:val="22"/>
        </w:rPr>
        <w:t>require the</w:t>
      </w:r>
      <w:r w:rsidR="00626990">
        <w:rPr>
          <w:rFonts w:eastAsia="Calibri" w:cs="Times New Roman"/>
          <w:sz w:val="22"/>
        </w:rPr>
        <w:t xml:space="preserve"> Police</w:t>
      </w:r>
      <w:r w:rsidRPr="00E352E4">
        <w:rPr>
          <w:rFonts w:eastAsia="Calibri" w:cs="Times New Roman"/>
          <w:sz w:val="22"/>
        </w:rPr>
        <w:t xml:space="preserve"> Commissioner </w:t>
      </w:r>
      <w:r>
        <w:rPr>
          <w:rFonts w:eastAsia="Calibri" w:cs="Times New Roman"/>
          <w:sz w:val="22"/>
        </w:rPr>
        <w:t xml:space="preserve">to </w:t>
      </w:r>
      <w:r w:rsidRPr="00E352E4">
        <w:rPr>
          <w:rFonts w:eastAsia="Calibri" w:cs="Times New Roman"/>
          <w:sz w:val="22"/>
        </w:rPr>
        <w:t>consider the following matters when determining whether to publish a reportable offender</w:t>
      </w:r>
      <w:r>
        <w:rPr>
          <w:rFonts w:eastAsia="Calibri" w:cs="Times New Roman"/>
          <w:sz w:val="22"/>
        </w:rPr>
        <w:t>’</w:t>
      </w:r>
      <w:r w:rsidRPr="00E352E4">
        <w:rPr>
          <w:rFonts w:eastAsia="Calibri" w:cs="Times New Roman"/>
          <w:sz w:val="22"/>
        </w:rPr>
        <w:t>s details:</w:t>
      </w:r>
    </w:p>
    <w:p w14:paraId="742B25D2" w14:textId="3E5B3544" w:rsidR="00E734E4" w:rsidRPr="00E352E4" w:rsidRDefault="00E734E4" w:rsidP="00E734E4">
      <w:pPr>
        <w:keepLines/>
        <w:numPr>
          <w:ilvl w:val="3"/>
          <w:numId w:val="21"/>
        </w:numPr>
        <w:spacing w:after="120"/>
        <w:rPr>
          <w:rFonts w:eastAsia="Calibri" w:cs="Times New Roman"/>
          <w:sz w:val="22"/>
        </w:rPr>
      </w:pPr>
      <w:r w:rsidRPr="00E352E4">
        <w:rPr>
          <w:rFonts w:eastAsia="Calibri" w:cs="Times New Roman"/>
          <w:sz w:val="22"/>
        </w:rPr>
        <w:lastRenderedPageBreak/>
        <w:t xml:space="preserve">any medical, psychiatric, psychological or other assessment </w:t>
      </w:r>
      <w:r>
        <w:rPr>
          <w:rFonts w:eastAsia="Calibri" w:cs="Times New Roman"/>
          <w:sz w:val="22"/>
        </w:rPr>
        <w:t>of</w:t>
      </w:r>
      <w:r w:rsidRPr="00E352E4">
        <w:rPr>
          <w:rFonts w:eastAsia="Calibri" w:cs="Times New Roman"/>
          <w:sz w:val="22"/>
        </w:rPr>
        <w:t xml:space="preserve"> the </w:t>
      </w:r>
      <w:r>
        <w:rPr>
          <w:rFonts w:eastAsia="Calibri" w:cs="Times New Roman"/>
          <w:sz w:val="22"/>
        </w:rPr>
        <w:t>reportable</w:t>
      </w:r>
      <w:r w:rsidRPr="00E352E4">
        <w:rPr>
          <w:rFonts w:eastAsia="Calibri" w:cs="Times New Roman"/>
          <w:sz w:val="22"/>
        </w:rPr>
        <w:t xml:space="preserve"> offender; </w:t>
      </w:r>
    </w:p>
    <w:p w14:paraId="3656E765" w14:textId="248AD187" w:rsidR="00E734E4" w:rsidRPr="00E352E4" w:rsidRDefault="00E734E4" w:rsidP="00E734E4">
      <w:pPr>
        <w:keepLines/>
        <w:numPr>
          <w:ilvl w:val="3"/>
          <w:numId w:val="21"/>
        </w:numPr>
        <w:spacing w:after="120"/>
        <w:rPr>
          <w:rFonts w:eastAsia="Calibri" w:cs="Times New Roman"/>
          <w:sz w:val="22"/>
        </w:rPr>
      </w:pPr>
      <w:r w:rsidRPr="00E352E4">
        <w:rPr>
          <w:rFonts w:eastAsia="Calibri" w:cs="Times New Roman"/>
          <w:sz w:val="22"/>
        </w:rPr>
        <w:t xml:space="preserve">any information indicating whether the </w:t>
      </w:r>
      <w:r>
        <w:rPr>
          <w:rFonts w:eastAsia="Calibri" w:cs="Times New Roman"/>
          <w:sz w:val="22"/>
        </w:rPr>
        <w:t>reportable</w:t>
      </w:r>
      <w:r w:rsidRPr="00E352E4">
        <w:rPr>
          <w:rFonts w:eastAsia="Calibri" w:cs="Times New Roman"/>
          <w:sz w:val="22"/>
        </w:rPr>
        <w:t xml:space="preserve"> offender is likely to commit a prescribed offence in the future (including evidence of rehabilitation);</w:t>
      </w:r>
    </w:p>
    <w:p w14:paraId="3EF7DC24" w14:textId="77777777" w:rsidR="00E734E4" w:rsidRPr="00E352E4" w:rsidRDefault="00E734E4" w:rsidP="00E734E4">
      <w:pPr>
        <w:keepLines/>
        <w:numPr>
          <w:ilvl w:val="3"/>
          <w:numId w:val="21"/>
        </w:numPr>
        <w:spacing w:after="120"/>
        <w:rPr>
          <w:rFonts w:eastAsia="Calibri" w:cs="Times New Roman"/>
          <w:sz w:val="22"/>
        </w:rPr>
      </w:pPr>
      <w:r w:rsidRPr="00E352E4">
        <w:rPr>
          <w:rFonts w:eastAsia="Calibri" w:cs="Times New Roman"/>
          <w:sz w:val="22"/>
        </w:rPr>
        <w:t xml:space="preserve">whether publication may negatively impact the reportable offender’s successful rehabilitation; </w:t>
      </w:r>
    </w:p>
    <w:p w14:paraId="45C531BC" w14:textId="3C0B67FD" w:rsidR="00E734E4" w:rsidRDefault="00E734E4" w:rsidP="00E734E4">
      <w:pPr>
        <w:keepLines/>
        <w:numPr>
          <w:ilvl w:val="3"/>
          <w:numId w:val="21"/>
        </w:numPr>
        <w:spacing w:after="120"/>
      </w:pPr>
      <w:r w:rsidRPr="00E352E4">
        <w:rPr>
          <w:rFonts w:eastAsia="Calibri" w:cs="Times New Roman"/>
          <w:sz w:val="22"/>
        </w:rPr>
        <w:t xml:space="preserve">the </w:t>
      </w:r>
      <w:r>
        <w:rPr>
          <w:rFonts w:eastAsia="Calibri" w:cs="Times New Roman"/>
          <w:sz w:val="22"/>
        </w:rPr>
        <w:t>reportable</w:t>
      </w:r>
      <w:r w:rsidRPr="00E352E4">
        <w:rPr>
          <w:rFonts w:eastAsia="Calibri" w:cs="Times New Roman"/>
          <w:sz w:val="22"/>
        </w:rPr>
        <w:t xml:space="preserve"> offender's age and the age of any victims of any offences by the </w:t>
      </w:r>
      <w:r>
        <w:rPr>
          <w:rFonts w:eastAsia="Calibri" w:cs="Times New Roman"/>
          <w:sz w:val="22"/>
        </w:rPr>
        <w:t>reportable</w:t>
      </w:r>
      <w:r w:rsidRPr="00E352E4">
        <w:rPr>
          <w:rFonts w:eastAsia="Calibri" w:cs="Times New Roman"/>
          <w:sz w:val="22"/>
        </w:rPr>
        <w:t xml:space="preserve"> offender at the time those offences</w:t>
      </w:r>
      <w:r w:rsidRPr="009D2D0C">
        <w:t xml:space="preserve"> </w:t>
      </w:r>
      <w:r w:rsidRPr="00383F36">
        <w:rPr>
          <w:rFonts w:eastAsia="Calibri" w:cs="Times New Roman"/>
          <w:sz w:val="22"/>
        </w:rPr>
        <w:t>were committed</w:t>
      </w:r>
      <w:r>
        <w:t xml:space="preserve"> (</w:t>
      </w:r>
      <w:r w:rsidRPr="00F72222">
        <w:rPr>
          <w:b/>
          <w:bCs/>
        </w:rPr>
        <w:t xml:space="preserve">RECOMMENDATION </w:t>
      </w:r>
      <w:r>
        <w:rPr>
          <w:b/>
          <w:bCs/>
        </w:rPr>
        <w:t>9D</w:t>
      </w:r>
      <w:r>
        <w:t>).</w:t>
      </w:r>
    </w:p>
    <w:p w14:paraId="41A18F07" w14:textId="25FF20AF" w:rsidR="00E734E4" w:rsidRPr="00E734E4" w:rsidRDefault="00E734E4" w:rsidP="00E734E4">
      <w:pPr>
        <w:pStyle w:val="Bodytextnumbered"/>
        <w:numPr>
          <w:ilvl w:val="2"/>
          <w:numId w:val="21"/>
        </w:numPr>
        <w:rPr>
          <w:rFonts w:eastAsia="MS Mincho" w:cs="Arial"/>
        </w:rPr>
      </w:pPr>
      <w:r>
        <w:t xml:space="preserve">require </w:t>
      </w:r>
      <w:r w:rsidRPr="00E352E4">
        <w:t>the</w:t>
      </w:r>
      <w:r>
        <w:t xml:space="preserve"> Police Commissioner to notify an offender of an intention to publish their details under Tier 2, and to require the Commissioner to give the person no less than 21 days to make submissions, which must be considered (</w:t>
      </w:r>
      <w:r w:rsidRPr="00C903CD">
        <w:rPr>
          <w:b/>
          <w:bCs/>
        </w:rPr>
        <w:t xml:space="preserve">RECOMMENDATION </w:t>
      </w:r>
      <w:r>
        <w:rPr>
          <w:b/>
          <w:bCs/>
        </w:rPr>
        <w:t>9E</w:t>
      </w:r>
      <w:r>
        <w:t>).</w:t>
      </w:r>
    </w:p>
    <w:p w14:paraId="20BD2B9D" w14:textId="7150C141" w:rsidR="003D6092" w:rsidRDefault="003D6092" w:rsidP="008D4132">
      <w:pPr>
        <w:pStyle w:val="Heading1"/>
      </w:pPr>
      <w:bookmarkStart w:id="2" w:name="_Toc208387244"/>
      <w:r>
        <w:t>Background</w:t>
      </w:r>
      <w:bookmarkEnd w:id="2"/>
      <w:r>
        <w:t xml:space="preserve"> </w:t>
      </w:r>
    </w:p>
    <w:p w14:paraId="1319C0A6" w14:textId="288DCD31" w:rsidR="00CA1534" w:rsidRDefault="00031A78" w:rsidP="00643AF8">
      <w:pPr>
        <w:pStyle w:val="Bodytextnumbered"/>
      </w:pPr>
      <w:r w:rsidRPr="00031A78">
        <w:t xml:space="preserve">The Bill </w:t>
      </w:r>
      <w:r w:rsidR="005F199C">
        <w:t>proposes to</w:t>
      </w:r>
      <w:r w:rsidRPr="00031A78">
        <w:t xml:space="preserve"> amend the </w:t>
      </w:r>
      <w:r w:rsidRPr="00CA1534">
        <w:rPr>
          <w:i/>
          <w:iCs/>
        </w:rPr>
        <w:t>Child Protection (Offender Reporting and Offender Prohibition Order) Act 2004</w:t>
      </w:r>
      <w:r w:rsidRPr="00031A78">
        <w:t xml:space="preserve"> (</w:t>
      </w:r>
      <w:r w:rsidRPr="00CA1534">
        <w:rPr>
          <w:b/>
          <w:bCs/>
        </w:rPr>
        <w:t>CPOROPOA</w:t>
      </w:r>
      <w:r w:rsidRPr="00031A78">
        <w:t xml:space="preserve">) </w:t>
      </w:r>
      <w:r w:rsidR="00CA1534">
        <w:t xml:space="preserve">to </w:t>
      </w:r>
      <w:r w:rsidR="004A7279">
        <w:t xml:space="preserve">enable the publication of particular information about </w:t>
      </w:r>
      <w:r w:rsidR="00CA1534">
        <w:t>‘</w:t>
      </w:r>
      <w:r w:rsidRPr="00031A78">
        <w:t>reportable offenders</w:t>
      </w:r>
      <w:r w:rsidR="00CA1534">
        <w:t>’</w:t>
      </w:r>
      <w:r w:rsidR="004A7279">
        <w:t>.</w:t>
      </w:r>
    </w:p>
    <w:p w14:paraId="22E13EB1" w14:textId="2D254BEA" w:rsidR="00CA1534" w:rsidRDefault="00CA1534" w:rsidP="00CA1534">
      <w:pPr>
        <w:pStyle w:val="Bodytextnumbered"/>
      </w:pPr>
      <w:r>
        <w:t>Reportable offenders</w:t>
      </w:r>
      <w:r w:rsidR="009A6441">
        <w:t xml:space="preserve"> </w:t>
      </w:r>
      <w:r w:rsidR="00D57381">
        <w:t xml:space="preserve">include </w:t>
      </w:r>
      <w:r w:rsidR="009A6441">
        <w:t xml:space="preserve">persons who </w:t>
      </w:r>
      <w:r w:rsidR="00B2323D">
        <w:t xml:space="preserve">are sentenced for a </w:t>
      </w:r>
      <w:r w:rsidR="005F199C">
        <w:t>‘</w:t>
      </w:r>
      <w:r w:rsidR="00B2323D">
        <w:t>reportable offence</w:t>
      </w:r>
      <w:r w:rsidR="005F199C">
        <w:t>’</w:t>
      </w:r>
      <w:r w:rsidR="00B2323D">
        <w:t>, subject to a reporting or prohibition order, or a</w:t>
      </w:r>
      <w:r w:rsidR="00D45953">
        <w:t xml:space="preserve"> post</w:t>
      </w:r>
      <w:r w:rsidR="00B2323D">
        <w:t xml:space="preserve"> </w:t>
      </w:r>
      <w:r w:rsidR="00B2323D" w:rsidRPr="00283568">
        <w:rPr>
          <w:i/>
          <w:iCs/>
        </w:rPr>
        <w:t>Dangerous Prisoners (Sexual Offenders) Act 2003</w:t>
      </w:r>
      <w:r w:rsidR="00B2323D">
        <w:t xml:space="preserve"> </w:t>
      </w:r>
      <w:r w:rsidR="00EE07AF">
        <w:t>(</w:t>
      </w:r>
      <w:r w:rsidR="00EE07AF" w:rsidRPr="00EE07AF">
        <w:rPr>
          <w:b/>
          <w:bCs/>
        </w:rPr>
        <w:t>DPSOA</w:t>
      </w:r>
      <w:r w:rsidR="00EE07AF">
        <w:t>)</w:t>
      </w:r>
      <w:r w:rsidR="00703764">
        <w:t xml:space="preserve"> supervision order</w:t>
      </w:r>
      <w:r w:rsidR="00B2323D">
        <w:t>.</w:t>
      </w:r>
      <w:r w:rsidR="00D42E4F">
        <w:rPr>
          <w:rStyle w:val="FootnoteReference"/>
        </w:rPr>
        <w:footnoteReference w:id="4"/>
      </w:r>
      <w:r w:rsidR="00CF0AE7">
        <w:t xml:space="preserve"> In simple terms, reportable offenders are </w:t>
      </w:r>
      <w:r w:rsidR="00274B12">
        <w:t>pe</w:t>
      </w:r>
      <w:r w:rsidR="00BD6F37">
        <w:t xml:space="preserve">rsons </w:t>
      </w:r>
      <w:r w:rsidR="00CF0AE7">
        <w:t xml:space="preserve">who have been convicted of a sexual offence </w:t>
      </w:r>
      <w:r w:rsidR="00BF0197">
        <w:t>in relation to</w:t>
      </w:r>
      <w:r w:rsidR="00CF0AE7">
        <w:t xml:space="preserve"> a child.</w:t>
      </w:r>
    </w:p>
    <w:p w14:paraId="5BD7F459" w14:textId="3E96D820" w:rsidR="00CA1534" w:rsidRDefault="00FC726C" w:rsidP="00CA1534">
      <w:pPr>
        <w:pStyle w:val="Bodytextnumbered"/>
      </w:pPr>
      <w:r>
        <w:t xml:space="preserve">The Bill proposes that the personal details of </w:t>
      </w:r>
      <w:r w:rsidR="004A7279">
        <w:t>report</w:t>
      </w:r>
      <w:r>
        <w:t>able</w:t>
      </w:r>
      <w:r w:rsidR="004A7279">
        <w:t xml:space="preserve"> offenders </w:t>
      </w:r>
      <w:r w:rsidR="00E34C37">
        <w:t xml:space="preserve">may </w:t>
      </w:r>
      <w:r w:rsidR="00CA1534">
        <w:t>be published in the following circumstances:</w:t>
      </w:r>
    </w:p>
    <w:p w14:paraId="708E3344" w14:textId="440E08FF" w:rsidR="004A7279" w:rsidRDefault="00226FF2" w:rsidP="00CA1534">
      <w:pPr>
        <w:pStyle w:val="Bodytextnumbered"/>
        <w:numPr>
          <w:ilvl w:val="1"/>
          <w:numId w:val="13"/>
        </w:numPr>
      </w:pPr>
      <w:r>
        <w:t>Under Tier 1, particular details about a</w:t>
      </w:r>
      <w:r w:rsidR="00031A78" w:rsidRPr="00031A78">
        <w:t xml:space="preserve"> reportable offender</w:t>
      </w:r>
      <w:r>
        <w:t>,</w:t>
      </w:r>
      <w:r w:rsidR="00D676A9">
        <w:t xml:space="preserve"> including a photo of their face</w:t>
      </w:r>
      <w:r w:rsidR="004A7279">
        <w:t xml:space="preserve">, </w:t>
      </w:r>
      <w:r w:rsidR="00707E32">
        <w:t xml:space="preserve">may </w:t>
      </w:r>
      <w:r w:rsidR="00C21DC0">
        <w:t>be publish</w:t>
      </w:r>
      <w:r w:rsidR="00D676A9">
        <w:t xml:space="preserve">ed on a public website </w:t>
      </w:r>
      <w:r>
        <w:t xml:space="preserve">in circumstances where the reportable offender </w:t>
      </w:r>
      <w:r w:rsidRPr="00226FF2">
        <w:t xml:space="preserve">has </w:t>
      </w:r>
      <w:r w:rsidR="00326871">
        <w:t>failed to comply with</w:t>
      </w:r>
      <w:r w:rsidR="00326871" w:rsidRPr="00226FF2">
        <w:t xml:space="preserve"> </w:t>
      </w:r>
      <w:r w:rsidRPr="00226FF2">
        <w:t>their reporting obligations or contravened the conditions of a supervision order and their whereabouts are unknown to police</w:t>
      </w:r>
      <w:r w:rsidR="00031A78" w:rsidRPr="00031A78">
        <w:t xml:space="preserve">. </w:t>
      </w:r>
      <w:r w:rsidR="00934D41">
        <w:t>The</w:t>
      </w:r>
      <w:r w:rsidR="00964DC1">
        <w:t xml:space="preserve"> reportable offenders’ personal</w:t>
      </w:r>
      <w:r w:rsidR="00934D41">
        <w:t xml:space="preserve"> details </w:t>
      </w:r>
      <w:r w:rsidR="00AB6324">
        <w:t>must be removed ‘as soon as practicable’ following the location of the offender.</w:t>
      </w:r>
      <w:r w:rsidR="001A2319">
        <w:rPr>
          <w:rStyle w:val="FootnoteReference"/>
        </w:rPr>
        <w:footnoteReference w:id="5"/>
      </w:r>
      <w:r w:rsidR="00AB6324">
        <w:t xml:space="preserve"> </w:t>
      </w:r>
    </w:p>
    <w:p w14:paraId="70A0D548" w14:textId="6D8B95D2" w:rsidR="00643AF8" w:rsidRDefault="00226FF2" w:rsidP="00CA1534">
      <w:pPr>
        <w:pStyle w:val="Bodytextnumbered"/>
        <w:numPr>
          <w:ilvl w:val="1"/>
          <w:numId w:val="13"/>
        </w:numPr>
      </w:pPr>
      <w:r>
        <w:lastRenderedPageBreak/>
        <w:t>Under Tier 2, a member of the community will be permitted to apply</w:t>
      </w:r>
      <w:r w:rsidR="00DB7DF0">
        <w:t xml:space="preserve"> to view </w:t>
      </w:r>
      <w:r w:rsidR="00C6420F">
        <w:t>facial photos of reportable offenders who reside in their ‘locality’</w:t>
      </w:r>
      <w:r w:rsidR="00D86D92">
        <w:t xml:space="preserve"> (the general locality </w:t>
      </w:r>
      <w:r w:rsidR="00414D2A">
        <w:t>where the person resides)</w:t>
      </w:r>
      <w:r w:rsidR="00283568">
        <w:t>.</w:t>
      </w:r>
      <w:r w:rsidR="005C52D4">
        <w:t xml:space="preserve"> </w:t>
      </w:r>
      <w:r w:rsidR="00283568">
        <w:t>Facial photos will be provided where:</w:t>
      </w:r>
      <w:r w:rsidR="00C6420F">
        <w:t xml:space="preserve"> </w:t>
      </w:r>
      <w:r w:rsidR="00283568">
        <w:t>the offender</w:t>
      </w:r>
      <w:r w:rsidR="008C3C15">
        <w:t xml:space="preserve"> </w:t>
      </w:r>
      <w:r w:rsidR="00F170B2">
        <w:t xml:space="preserve">has committed a further reportable offence; </w:t>
      </w:r>
      <w:r w:rsidR="00283568">
        <w:t>the offender has</w:t>
      </w:r>
      <w:r w:rsidR="00414D2A">
        <w:t xml:space="preserve"> had</w:t>
      </w:r>
      <w:r w:rsidR="00F170B2">
        <w:t xml:space="preserve"> reporting obligations imposed for life</w:t>
      </w:r>
      <w:r w:rsidR="00283568">
        <w:t>;</w:t>
      </w:r>
      <w:r w:rsidR="00F170B2">
        <w:t xml:space="preserve"> </w:t>
      </w:r>
      <w:r w:rsidR="00283568">
        <w:t>the offender is</w:t>
      </w:r>
      <w:r w:rsidR="00F170B2">
        <w:t xml:space="preserve"> subject to a </w:t>
      </w:r>
      <w:r w:rsidR="00EE07AF">
        <w:t>DPSOA</w:t>
      </w:r>
      <w:r w:rsidR="00F170B2">
        <w:t xml:space="preserve"> order</w:t>
      </w:r>
      <w:r w:rsidR="00414D2A">
        <w:t>;</w:t>
      </w:r>
      <w:r>
        <w:t xml:space="preserve"> or </w:t>
      </w:r>
      <w:r w:rsidR="000D103D">
        <w:t>the offender is deemed to be a ‘</w:t>
      </w:r>
      <w:r w:rsidR="000D103D" w:rsidRPr="001E3523">
        <w:t>serious risk’</w:t>
      </w:r>
      <w:r w:rsidR="000D103D">
        <w:t xml:space="preserve"> by the </w:t>
      </w:r>
      <w:r w:rsidR="00DB1B65">
        <w:t>Police Commissioner</w:t>
      </w:r>
      <w:r w:rsidR="000D103D">
        <w:t>.</w:t>
      </w:r>
      <w:r w:rsidR="001A4295">
        <w:rPr>
          <w:rStyle w:val="FootnoteReference"/>
        </w:rPr>
        <w:footnoteReference w:id="6"/>
      </w:r>
      <w:r w:rsidR="000D103D">
        <w:t xml:space="preserve"> </w:t>
      </w:r>
    </w:p>
    <w:p w14:paraId="30B65DD5" w14:textId="75269A98" w:rsidR="005642CC" w:rsidRDefault="000D103D" w:rsidP="005642CC">
      <w:pPr>
        <w:pStyle w:val="Bodytextnumbered"/>
        <w:numPr>
          <w:ilvl w:val="1"/>
          <w:numId w:val="13"/>
        </w:numPr>
      </w:pPr>
      <w:r>
        <w:t>Under Tier 3, a</w:t>
      </w:r>
      <w:r w:rsidR="00235F0B">
        <w:t xml:space="preserve"> parent, guardian</w:t>
      </w:r>
      <w:r w:rsidR="005C52D4">
        <w:t>,</w:t>
      </w:r>
      <w:r w:rsidR="00235F0B">
        <w:t xml:space="preserve"> or person with ongoing parental responsibility for a child </w:t>
      </w:r>
      <w:r w:rsidR="00CD5B04">
        <w:t xml:space="preserve">may </w:t>
      </w:r>
      <w:r w:rsidR="008C5F31">
        <w:t>apply to be informed about whether a specific person who has had</w:t>
      </w:r>
      <w:r w:rsidR="00125A08">
        <w:t>,</w:t>
      </w:r>
      <w:r w:rsidR="008C5F31">
        <w:t xml:space="preserve"> or will have</w:t>
      </w:r>
      <w:r w:rsidR="00125A08">
        <w:t>,</w:t>
      </w:r>
      <w:r w:rsidR="008C5F31">
        <w:t xml:space="preserve"> unsupervised contact</w:t>
      </w:r>
      <w:r w:rsidR="008E4E21">
        <w:t xml:space="preserve"> (any </w:t>
      </w:r>
      <w:r w:rsidR="00034AC3">
        <w:t xml:space="preserve">unsupervised </w:t>
      </w:r>
      <w:r w:rsidR="008E4E21">
        <w:t>physical conta</w:t>
      </w:r>
      <w:r w:rsidR="00C553B8">
        <w:t>ct</w:t>
      </w:r>
      <w:r w:rsidR="008E4E21">
        <w:t xml:space="preserve"> or form of communication</w:t>
      </w:r>
      <w:r w:rsidR="00034AC3">
        <w:t>,</w:t>
      </w:r>
      <w:r w:rsidR="008E4E21">
        <w:t xml:space="preserve"> including electronic communication)</w:t>
      </w:r>
      <w:r w:rsidR="008C5F31">
        <w:t xml:space="preserve"> with their child</w:t>
      </w:r>
      <w:r w:rsidR="001F1E49">
        <w:t>, is a reportable offender.</w:t>
      </w:r>
      <w:r w:rsidR="001A4295">
        <w:rPr>
          <w:rStyle w:val="FootnoteReference"/>
        </w:rPr>
        <w:footnoteReference w:id="7"/>
      </w:r>
    </w:p>
    <w:p w14:paraId="17C7C558" w14:textId="7D811C57" w:rsidR="001D26B2" w:rsidRDefault="005642CC" w:rsidP="005642CC">
      <w:pPr>
        <w:pStyle w:val="Bodytextnumbered"/>
      </w:pPr>
      <w:r>
        <w:t xml:space="preserve">Under all Tiers, the </w:t>
      </w:r>
      <w:r w:rsidR="00DB1B65">
        <w:t>Police Commissioner</w:t>
      </w:r>
      <w:r>
        <w:t xml:space="preserve"> will retain discretion to publish</w:t>
      </w:r>
      <w:r w:rsidR="001D26B2">
        <w:t xml:space="preserve"> </w:t>
      </w:r>
      <w:r w:rsidR="001A2319">
        <w:t>a reportable offender</w:t>
      </w:r>
      <w:r w:rsidR="00C04C2C">
        <w:t>’</w:t>
      </w:r>
      <w:r w:rsidR="001A2319">
        <w:t>s personal details</w:t>
      </w:r>
      <w:r>
        <w:t xml:space="preserve">. </w:t>
      </w:r>
    </w:p>
    <w:p w14:paraId="39965BF9" w14:textId="6C5B8933" w:rsidR="001D26B2" w:rsidRDefault="00CA75E2" w:rsidP="005642CC">
      <w:pPr>
        <w:pStyle w:val="Bodytextnumbered"/>
      </w:pPr>
      <w:r>
        <w:t xml:space="preserve">Under Tiers 1 and 2, the </w:t>
      </w:r>
      <w:r w:rsidR="00DB1B65">
        <w:t>Police Commissioner</w:t>
      </w:r>
      <w:r>
        <w:t xml:space="preserve"> may</w:t>
      </w:r>
      <w:r w:rsidR="00076485">
        <w:t xml:space="preserve"> (but is not required</w:t>
      </w:r>
      <w:r w:rsidR="00BB794E">
        <w:t xml:space="preserve"> to</w:t>
      </w:r>
      <w:r w:rsidR="00076485">
        <w:t>) have regard to a number of matters whe</w:t>
      </w:r>
      <w:r w:rsidR="001A2319">
        <w:t>n</w:t>
      </w:r>
      <w:r w:rsidR="00076485">
        <w:t xml:space="preserve"> determining whether to publish</w:t>
      </w:r>
      <w:r w:rsidR="001A2319">
        <w:t xml:space="preserve"> a reportable offender</w:t>
      </w:r>
      <w:r w:rsidR="0056622D">
        <w:t>’</w:t>
      </w:r>
      <w:r w:rsidR="001A2319">
        <w:t>s personal details</w:t>
      </w:r>
      <w:r w:rsidR="00076485">
        <w:t>, including</w:t>
      </w:r>
      <w:r w:rsidR="001D26B2">
        <w:t>:</w:t>
      </w:r>
    </w:p>
    <w:p w14:paraId="07D7F38F" w14:textId="1F68BD1D" w:rsidR="001D26B2" w:rsidRDefault="00076485" w:rsidP="001D26B2">
      <w:pPr>
        <w:pStyle w:val="Bodytextnumbered"/>
        <w:numPr>
          <w:ilvl w:val="1"/>
          <w:numId w:val="13"/>
        </w:numPr>
      </w:pPr>
      <w:r>
        <w:t xml:space="preserve">the effect that publication </w:t>
      </w:r>
      <w:r w:rsidR="008A37D2">
        <w:t xml:space="preserve">of the identifying information </w:t>
      </w:r>
      <w:r>
        <w:t xml:space="preserve">may have on </w:t>
      </w:r>
      <w:r w:rsidR="009F2DA3">
        <w:t xml:space="preserve">a victim of the offender; </w:t>
      </w:r>
    </w:p>
    <w:p w14:paraId="6AD9B537" w14:textId="04239813" w:rsidR="001D26B2" w:rsidRDefault="009F2DA3" w:rsidP="001D26B2">
      <w:pPr>
        <w:pStyle w:val="Bodytextnumbered"/>
        <w:numPr>
          <w:ilvl w:val="1"/>
          <w:numId w:val="13"/>
        </w:numPr>
      </w:pPr>
      <w:r>
        <w:t xml:space="preserve">whether the publication or provision of identifying information would be likely to prejudice </w:t>
      </w:r>
      <w:r w:rsidR="00443CE0">
        <w:t>a criminal proceeding or an investigation by a law enforcement agenc</w:t>
      </w:r>
      <w:r w:rsidR="00125A08">
        <w:t>y</w:t>
      </w:r>
      <w:r w:rsidR="00443CE0">
        <w:t xml:space="preserve">; </w:t>
      </w:r>
    </w:p>
    <w:p w14:paraId="43281B68" w14:textId="6935D054" w:rsidR="001D26B2" w:rsidRDefault="00F0439D" w:rsidP="001D26B2">
      <w:pPr>
        <w:pStyle w:val="Bodytextnumbered"/>
        <w:numPr>
          <w:ilvl w:val="1"/>
          <w:numId w:val="13"/>
        </w:numPr>
      </w:pPr>
      <w:r>
        <w:t xml:space="preserve">whether publication </w:t>
      </w:r>
      <w:r w:rsidR="006268C2">
        <w:t xml:space="preserve">or provision of the </w:t>
      </w:r>
      <w:r w:rsidR="00767205">
        <w:t xml:space="preserve">identifying material </w:t>
      </w:r>
      <w:r>
        <w:t xml:space="preserve">is in the public interest; and </w:t>
      </w:r>
    </w:p>
    <w:p w14:paraId="666F721B" w14:textId="206339EB" w:rsidR="001D26B2" w:rsidRDefault="00F0439D" w:rsidP="001D26B2">
      <w:pPr>
        <w:pStyle w:val="Bodytextnumbered"/>
        <w:numPr>
          <w:ilvl w:val="1"/>
          <w:numId w:val="13"/>
        </w:numPr>
      </w:pPr>
      <w:r>
        <w:t>any other</w:t>
      </w:r>
      <w:r w:rsidR="0026772F">
        <w:t xml:space="preserve"> relevant matter.</w:t>
      </w:r>
      <w:r w:rsidR="00034AC3">
        <w:rPr>
          <w:rStyle w:val="FootnoteReference"/>
        </w:rPr>
        <w:footnoteReference w:id="8"/>
      </w:r>
      <w:r w:rsidR="0026772F">
        <w:t xml:space="preserve"> </w:t>
      </w:r>
    </w:p>
    <w:p w14:paraId="46D93466" w14:textId="4E0F5A50" w:rsidR="005642CC" w:rsidRDefault="0026772F" w:rsidP="001D26B2">
      <w:pPr>
        <w:pStyle w:val="Bodytextnumbered"/>
      </w:pPr>
      <w:r>
        <w:t xml:space="preserve">Under Tier 3, the </w:t>
      </w:r>
      <w:r w:rsidR="00DB1B65">
        <w:t>Police Commissioner</w:t>
      </w:r>
      <w:r>
        <w:t xml:space="preserve"> must be satisfied the relevant offender has had or will have unsupervised contact with the relevant child.</w:t>
      </w:r>
      <w:r w:rsidR="00687DB6">
        <w:rPr>
          <w:rStyle w:val="FootnoteReference"/>
        </w:rPr>
        <w:footnoteReference w:id="9"/>
      </w:r>
      <w:r>
        <w:t xml:space="preserve"> </w:t>
      </w:r>
    </w:p>
    <w:p w14:paraId="69A311DD" w14:textId="0C3ECD0A" w:rsidR="009A0DD8" w:rsidRDefault="009A0DD8" w:rsidP="005642CC">
      <w:pPr>
        <w:pStyle w:val="Bodytextnumbered"/>
      </w:pPr>
      <w:r>
        <w:t>Information provided will be required to be treated as confidential. The unauthorised sharing of information obtained will be an offence punishable by a sentence of up to three years imprisonment.</w:t>
      </w:r>
      <w:r w:rsidR="001C69F7">
        <w:rPr>
          <w:rStyle w:val="FootnoteReference"/>
        </w:rPr>
        <w:footnoteReference w:id="10"/>
      </w:r>
      <w:r>
        <w:t xml:space="preserve"> </w:t>
      </w:r>
    </w:p>
    <w:p w14:paraId="7E1F9778" w14:textId="34BF0DB8" w:rsidR="009A0DD8" w:rsidRDefault="009A0DD8" w:rsidP="005642CC">
      <w:pPr>
        <w:pStyle w:val="Bodytextnumbered"/>
      </w:pPr>
      <w:r>
        <w:lastRenderedPageBreak/>
        <w:t xml:space="preserve">It will be an offence </w:t>
      </w:r>
      <w:r w:rsidR="007B29CA">
        <w:t>if a person</w:t>
      </w:r>
      <w:r w:rsidR="00965768">
        <w:t xml:space="preserve">, by a public act, </w:t>
      </w:r>
      <w:r w:rsidR="007B29CA">
        <w:t xml:space="preserve">intends </w:t>
      </w:r>
      <w:r>
        <w:t>to</w:t>
      </w:r>
      <w:r w:rsidR="002B240D">
        <w:t xml:space="preserve"> </w:t>
      </w:r>
      <w:r w:rsidR="00501B6D">
        <w:t xml:space="preserve">intimidate or harass </w:t>
      </w:r>
      <w:r w:rsidR="00595805">
        <w:t xml:space="preserve">a person </w:t>
      </w:r>
      <w:r w:rsidR="004E51C8">
        <w:t xml:space="preserve">they </w:t>
      </w:r>
      <w:r w:rsidR="009C75B6">
        <w:t>b</w:t>
      </w:r>
      <w:r w:rsidR="00551718">
        <w:t>elieve to be an identified offender</w:t>
      </w:r>
      <w:r w:rsidR="00F96A73">
        <w:t>,</w:t>
      </w:r>
      <w:r>
        <w:t xml:space="preserve"> </w:t>
      </w:r>
      <w:r w:rsidR="005047DA">
        <w:t xml:space="preserve">or </w:t>
      </w:r>
      <w:r w:rsidR="004A2CF1">
        <w:t>incite</w:t>
      </w:r>
      <w:r w:rsidR="00251A2F">
        <w:t>s</w:t>
      </w:r>
      <w:r w:rsidR="004A2CF1">
        <w:t xml:space="preserve"> others</w:t>
      </w:r>
      <w:r w:rsidR="00250975">
        <w:t xml:space="preserve"> or to</w:t>
      </w:r>
      <w:r w:rsidR="005D7108">
        <w:t xml:space="preserve"> do this</w:t>
      </w:r>
      <w:r w:rsidR="00CF40CB">
        <w:t>, punishable by a sentence of up to 10 years</w:t>
      </w:r>
      <w:r w:rsidR="00D31225">
        <w:t xml:space="preserve"> imprisonment</w:t>
      </w:r>
      <w:r w:rsidR="00CF40CB">
        <w:t xml:space="preserve">. Where a person engages in a public act </w:t>
      </w:r>
      <w:r w:rsidR="00BE09CB">
        <w:t xml:space="preserve">likely to </w:t>
      </w:r>
      <w:r w:rsidR="00C160B2">
        <w:t xml:space="preserve">intimidate or harass a person they believe to be an identified offender, or </w:t>
      </w:r>
      <w:r w:rsidR="001F70D7">
        <w:t xml:space="preserve">is likely to </w:t>
      </w:r>
      <w:r w:rsidR="00C160B2">
        <w:t xml:space="preserve">incite others or to do this, </w:t>
      </w:r>
      <w:r w:rsidR="00AC20E9">
        <w:t xml:space="preserve">it is </w:t>
      </w:r>
      <w:r w:rsidR="00C160B2">
        <w:t xml:space="preserve">punishable by a sentence of up to </w:t>
      </w:r>
      <w:r w:rsidR="00D31225">
        <w:t>3</w:t>
      </w:r>
      <w:r w:rsidR="00C160B2">
        <w:t xml:space="preserve"> years</w:t>
      </w:r>
      <w:r w:rsidR="00D31225">
        <w:t xml:space="preserve"> imprisonment</w:t>
      </w:r>
      <w:r w:rsidR="005A24BB">
        <w:t>.</w:t>
      </w:r>
      <w:r w:rsidR="00ED7E09">
        <w:rPr>
          <w:rStyle w:val="FootnoteReference"/>
        </w:rPr>
        <w:footnoteReference w:id="11"/>
      </w:r>
      <w:r w:rsidR="005A24BB">
        <w:t xml:space="preserve"> </w:t>
      </w:r>
    </w:p>
    <w:p w14:paraId="6F0012F2" w14:textId="34978788" w:rsidR="0002439C" w:rsidRDefault="0002439C" w:rsidP="0002439C">
      <w:pPr>
        <w:pStyle w:val="Bodytextnumbered"/>
      </w:pPr>
      <w:r>
        <w:t xml:space="preserve">Publication of information </w:t>
      </w:r>
      <w:r w:rsidR="0052029E">
        <w:t xml:space="preserve">about a reportable offender </w:t>
      </w:r>
      <w:r>
        <w:t>will not be permitted where:</w:t>
      </w:r>
    </w:p>
    <w:p w14:paraId="2F295770" w14:textId="77777777" w:rsidR="0002439C" w:rsidRDefault="000B7F8B" w:rsidP="0002439C">
      <w:pPr>
        <w:pStyle w:val="Bodytextnumbered"/>
        <w:numPr>
          <w:ilvl w:val="1"/>
          <w:numId w:val="13"/>
        </w:numPr>
      </w:pPr>
      <w:r w:rsidRPr="000B7F8B">
        <w:t xml:space="preserve">an offender is under the age of 18 years, or was under the age of 18 years at the time they committed a child sexual offence and has not reoffended or engaged in particular conduct as an adult; </w:t>
      </w:r>
    </w:p>
    <w:p w14:paraId="713AEF27" w14:textId="77777777" w:rsidR="0002439C" w:rsidRDefault="000B7F8B" w:rsidP="0002439C">
      <w:pPr>
        <w:pStyle w:val="Bodytextnumbered"/>
        <w:numPr>
          <w:ilvl w:val="1"/>
          <w:numId w:val="13"/>
        </w:numPr>
      </w:pPr>
      <w:r w:rsidRPr="000B7F8B">
        <w:t xml:space="preserve">an offender is a participant in a witness protection program; or </w:t>
      </w:r>
    </w:p>
    <w:p w14:paraId="04DB6D03" w14:textId="37AD3F14" w:rsidR="000B7F8B" w:rsidRDefault="000B7F8B" w:rsidP="0002439C">
      <w:pPr>
        <w:pStyle w:val="Bodytextnumbered"/>
        <w:numPr>
          <w:ilvl w:val="1"/>
          <w:numId w:val="13"/>
        </w:numPr>
      </w:pPr>
      <w:r w:rsidRPr="000B7F8B">
        <w:t>a court has prohibited identification of the offender or the disclosure or publication of personal information about the offender.</w:t>
      </w:r>
      <w:r w:rsidR="002F1536">
        <w:rPr>
          <w:rStyle w:val="FootnoteReference"/>
        </w:rPr>
        <w:footnoteReference w:id="12"/>
      </w:r>
    </w:p>
    <w:p w14:paraId="63FB79D8" w14:textId="65E3A880" w:rsidR="0057382D" w:rsidRPr="009603B5" w:rsidRDefault="003C7C66" w:rsidP="008D4132">
      <w:pPr>
        <w:pStyle w:val="Bodytextnumbered"/>
      </w:pPr>
      <w:r>
        <w:t>T</w:t>
      </w:r>
      <w:r w:rsidR="0067627C">
        <w:t>wo states in Australia operate public child sex offender registers</w:t>
      </w:r>
      <w:r w:rsidR="004A24DB">
        <w:t>:</w:t>
      </w:r>
      <w:r w:rsidR="00115E83">
        <w:t xml:space="preserve"> </w:t>
      </w:r>
      <w:r w:rsidR="0067627C">
        <w:t>Western Australia</w:t>
      </w:r>
      <w:r w:rsidR="007D37B3">
        <w:t>,</w:t>
      </w:r>
      <w:r w:rsidR="00F71A43">
        <w:t xml:space="preserve"> which established a register in 2012,</w:t>
      </w:r>
      <w:r w:rsidR="00F71A43">
        <w:rPr>
          <w:rStyle w:val="FootnoteReference"/>
        </w:rPr>
        <w:footnoteReference w:id="13"/>
      </w:r>
      <w:r w:rsidR="0067627C">
        <w:t xml:space="preserve"> and South Australia</w:t>
      </w:r>
      <w:r w:rsidR="007D37B3">
        <w:t>,</w:t>
      </w:r>
      <w:r w:rsidR="00F71A43">
        <w:t xml:space="preserve"> which established a register in 2024</w:t>
      </w:r>
      <w:r w:rsidR="0067627C">
        <w:t>.</w:t>
      </w:r>
      <w:r w:rsidR="002F6940">
        <w:rPr>
          <w:rStyle w:val="FootnoteReference"/>
        </w:rPr>
        <w:footnoteReference w:id="14"/>
      </w:r>
      <w:r w:rsidR="0067627C">
        <w:t xml:space="preserve"> </w:t>
      </w:r>
      <w:r w:rsidR="00B433DD">
        <w:t>The registers operate</w:t>
      </w:r>
      <w:r w:rsidR="00EA06C7">
        <w:t xml:space="preserve">d in Western Australia and South Australia are </w:t>
      </w:r>
      <w:r w:rsidR="00B06029">
        <w:t xml:space="preserve">very similar </w:t>
      </w:r>
      <w:r w:rsidR="00EA06C7">
        <w:t>to that proposed by this Bill</w:t>
      </w:r>
      <w:r w:rsidR="00B769E9">
        <w:t xml:space="preserve"> with minor differences</w:t>
      </w:r>
      <w:r w:rsidR="00EA06C7">
        <w:t>.</w:t>
      </w:r>
      <w:r w:rsidR="00B769E9">
        <w:t xml:space="preserve"> For example, </w:t>
      </w:r>
      <w:r w:rsidR="00C2619F">
        <w:t xml:space="preserve">in South Australia, before publishing identifying information of a reportable (registerable) offender who has failed to comply with their reporting obligations, </w:t>
      </w:r>
      <w:r w:rsidR="001C2E4F">
        <w:t>the Police Commissioner must take reasonable steps to consult with any persons that the Commissioner believes may be adversely affected by publication of the information.</w:t>
      </w:r>
      <w:r w:rsidR="00D66690">
        <w:rPr>
          <w:rStyle w:val="FootnoteReference"/>
        </w:rPr>
        <w:footnoteReference w:id="15"/>
      </w:r>
      <w:r w:rsidR="001C2E4F">
        <w:t xml:space="preserve"> </w:t>
      </w:r>
    </w:p>
    <w:p w14:paraId="60F88067" w14:textId="77777777" w:rsidR="00875CE4" w:rsidRDefault="00875CE4" w:rsidP="008D4132">
      <w:pPr>
        <w:pStyle w:val="Heading1"/>
        <w:rPr>
          <w:sz w:val="44"/>
          <w:szCs w:val="44"/>
        </w:rPr>
      </w:pPr>
      <w:bookmarkStart w:id="3" w:name="_Toc208387245"/>
      <w:r>
        <w:rPr>
          <w:sz w:val="44"/>
          <w:szCs w:val="44"/>
        </w:rPr>
        <w:t>Key issues</w:t>
      </w:r>
      <w:bookmarkEnd w:id="3"/>
    </w:p>
    <w:p w14:paraId="492FA5D1" w14:textId="25A3551D" w:rsidR="003D6092" w:rsidRPr="00EA05D8" w:rsidRDefault="00875CE4" w:rsidP="00382BC2">
      <w:pPr>
        <w:pStyle w:val="Heading2"/>
      </w:pPr>
      <w:bookmarkStart w:id="4" w:name="_Toc208387246"/>
      <w:r>
        <w:t>Overriding the</w:t>
      </w:r>
      <w:r w:rsidR="003D6092" w:rsidRPr="00EA05D8">
        <w:t xml:space="preserve"> Human Rights Act</w:t>
      </w:r>
      <w:bookmarkEnd w:id="4"/>
      <w:r w:rsidR="003D6092" w:rsidRPr="00EA05D8">
        <w:t xml:space="preserve"> </w:t>
      </w:r>
    </w:p>
    <w:p w14:paraId="4A4977CC" w14:textId="7A52D482" w:rsidR="002F1050" w:rsidRDefault="00732D64" w:rsidP="00136619">
      <w:pPr>
        <w:pStyle w:val="Bodytextnumbered"/>
      </w:pPr>
      <w:r>
        <w:t>W</w:t>
      </w:r>
      <w:r w:rsidR="00977C84">
        <w:t>hen introducing a Bill,</w:t>
      </w:r>
      <w:r w:rsidR="00136619">
        <w:t xml:space="preserve"> the responsible </w:t>
      </w:r>
      <w:r w:rsidR="0061761A">
        <w:t>M</w:t>
      </w:r>
      <w:r w:rsidR="00136619">
        <w:t xml:space="preserve">inister </w:t>
      </w:r>
      <w:r w:rsidR="00977C84">
        <w:t>must</w:t>
      </w:r>
      <w:r w:rsidR="005D3127">
        <w:t xml:space="preserve"> </w:t>
      </w:r>
      <w:r w:rsidR="00136619">
        <w:t xml:space="preserve">prepare a </w:t>
      </w:r>
      <w:r w:rsidR="00122C4D">
        <w:t>s</w:t>
      </w:r>
      <w:r w:rsidR="00136619">
        <w:t xml:space="preserve">tatement of </w:t>
      </w:r>
      <w:r w:rsidR="00122C4D">
        <w:t>co</w:t>
      </w:r>
      <w:r w:rsidR="00136619">
        <w:t xml:space="preserve">mpatibility which states whether, in the </w:t>
      </w:r>
      <w:r w:rsidR="0061761A">
        <w:t>M</w:t>
      </w:r>
      <w:r w:rsidR="00136619">
        <w:t>inister’s opinion, the Bill is compatible with human rights</w:t>
      </w:r>
      <w:r w:rsidR="00CF3FB7">
        <w:t xml:space="preserve"> and</w:t>
      </w:r>
      <w:r w:rsidR="000F4C8D">
        <w:t>,</w:t>
      </w:r>
      <w:r w:rsidR="00CF3FB7">
        <w:t xml:space="preserve"> if the </w:t>
      </w:r>
      <w:r w:rsidR="002F1050">
        <w:t>Bill is not compatible with human rights, the nature and extent of the incompatibility</w:t>
      </w:r>
      <w:r w:rsidR="00136619">
        <w:t>.</w:t>
      </w:r>
      <w:r w:rsidR="00136619">
        <w:rPr>
          <w:rStyle w:val="FootnoteReference"/>
        </w:rPr>
        <w:footnoteReference w:id="16"/>
      </w:r>
      <w:r w:rsidR="00136619">
        <w:t xml:space="preserve"> </w:t>
      </w:r>
    </w:p>
    <w:p w14:paraId="2E437909" w14:textId="111A21FD" w:rsidR="00136619" w:rsidRDefault="00136619" w:rsidP="00136619">
      <w:pPr>
        <w:pStyle w:val="Bodytextnumbered"/>
      </w:pPr>
      <w:r>
        <w:lastRenderedPageBreak/>
        <w:t xml:space="preserve">The </w:t>
      </w:r>
      <w:r w:rsidR="00122C4D">
        <w:t>s</w:t>
      </w:r>
      <w:r>
        <w:t xml:space="preserve">tatement of </w:t>
      </w:r>
      <w:r w:rsidR="00122C4D">
        <w:t>c</w:t>
      </w:r>
      <w:r>
        <w:t xml:space="preserve">ompatibility </w:t>
      </w:r>
      <w:r w:rsidR="00A2405B">
        <w:t xml:space="preserve">for the Bill </w:t>
      </w:r>
      <w:r w:rsidR="00B00985">
        <w:t xml:space="preserve">states that </w:t>
      </w:r>
      <w:r w:rsidR="006F30BB">
        <w:t>even though the</w:t>
      </w:r>
      <w:r w:rsidR="00B00985">
        <w:t xml:space="preserve"> </w:t>
      </w:r>
      <w:r w:rsidR="006D431F">
        <w:t xml:space="preserve">responsible </w:t>
      </w:r>
      <w:r w:rsidR="000B05FD">
        <w:t>M</w:t>
      </w:r>
      <w:r w:rsidR="00D64BAF">
        <w:t xml:space="preserve">inister is of the opinion the Bill is </w:t>
      </w:r>
      <w:r w:rsidR="00AA1048">
        <w:t xml:space="preserve">not </w:t>
      </w:r>
      <w:r w:rsidR="00D64BAF">
        <w:t>compatible with human rights</w:t>
      </w:r>
      <w:r w:rsidR="00B00985">
        <w:t xml:space="preserve">, </w:t>
      </w:r>
      <w:r w:rsidR="00E15B7B">
        <w:t>t</w:t>
      </w:r>
      <w:r w:rsidR="005E3ED9">
        <w:t>he</w:t>
      </w:r>
      <w:r w:rsidR="00662D4E">
        <w:t xml:space="preserve"> </w:t>
      </w:r>
      <w:r w:rsidR="000B05FD">
        <w:t>M</w:t>
      </w:r>
      <w:r w:rsidR="00662D4E">
        <w:t xml:space="preserve">inister considers it necessary to override the Human Rights Act. </w:t>
      </w:r>
      <w:r w:rsidR="006D431F">
        <w:t>Th</w:t>
      </w:r>
      <w:r w:rsidR="00DE7F0A">
        <w:t xml:space="preserve">e </w:t>
      </w:r>
      <w:r w:rsidR="00122C4D">
        <w:t xml:space="preserve">statement of compatibility </w:t>
      </w:r>
      <w:r w:rsidR="004E0F81">
        <w:t>state</w:t>
      </w:r>
      <w:r w:rsidR="00EA01BC">
        <w:t>s</w:t>
      </w:r>
      <w:r w:rsidR="005E3ED9">
        <w:t xml:space="preserve"> </w:t>
      </w:r>
      <w:r>
        <w:t>‘</w:t>
      </w:r>
      <w:r w:rsidRPr="00412E4A">
        <w:rPr>
          <w:i/>
        </w:rPr>
        <w:t xml:space="preserve">the amendments include an override declaration as a </w:t>
      </w:r>
      <w:r w:rsidRPr="00412E4A">
        <w:t>precautionary measure</w:t>
      </w:r>
      <w:r w:rsidR="00122C4D" w:rsidRPr="00412E4A">
        <w:rPr>
          <w:i/>
        </w:rPr>
        <w:t xml:space="preserve"> [emphasis added]</w:t>
      </w:r>
      <w:r w:rsidR="00634F99" w:rsidRPr="00412E4A">
        <w:rPr>
          <w:i/>
        </w:rPr>
        <w:t>…</w:t>
      </w:r>
      <w:r w:rsidR="00302A7F" w:rsidRPr="00412E4A">
        <w:rPr>
          <w:i/>
        </w:rPr>
        <w:t xml:space="preserve"> to protect the lives and sexual safety of Queensland children</w:t>
      </w:r>
      <w:r w:rsidR="00122C4D" w:rsidRPr="00412E4A">
        <w:rPr>
          <w:i/>
        </w:rPr>
        <w:t xml:space="preserve">’ </w:t>
      </w:r>
      <w:r w:rsidR="00430674">
        <w:rPr>
          <w:iCs/>
        </w:rPr>
        <w:t>which</w:t>
      </w:r>
      <w:r w:rsidR="00A40038" w:rsidRPr="00412E4A">
        <w:rPr>
          <w:i/>
        </w:rPr>
        <w:t xml:space="preserve"> ‘</w:t>
      </w:r>
      <w:r w:rsidR="00F02F1C" w:rsidRPr="00412E4A">
        <w:rPr>
          <w:i/>
        </w:rPr>
        <w:t>remove</w:t>
      </w:r>
      <w:r w:rsidR="00430674">
        <w:rPr>
          <w:i/>
        </w:rPr>
        <w:t>s</w:t>
      </w:r>
      <w:r w:rsidR="00122C4D" w:rsidRPr="00412E4A">
        <w:rPr>
          <w:i/>
        </w:rPr>
        <w:t xml:space="preserve"> </w:t>
      </w:r>
      <w:r w:rsidR="00AB1859" w:rsidRPr="00412E4A">
        <w:rPr>
          <w:i/>
        </w:rPr>
        <w:t xml:space="preserve">the risk that a court might declare the proposed public register, or decisions made by the </w:t>
      </w:r>
      <w:r w:rsidR="00DB1B65" w:rsidRPr="00412E4A">
        <w:rPr>
          <w:i/>
        </w:rPr>
        <w:t>Police Commissioner</w:t>
      </w:r>
      <w:r w:rsidR="00AB1859" w:rsidRPr="00412E4A">
        <w:rPr>
          <w:i/>
        </w:rPr>
        <w:t xml:space="preserve"> under it, incompatible with human rights</w:t>
      </w:r>
      <w:r w:rsidR="002949BD">
        <w:t>.</w:t>
      </w:r>
      <w:r w:rsidR="00AB1859">
        <w:t>’</w:t>
      </w:r>
      <w:r>
        <w:rPr>
          <w:rStyle w:val="FootnoteReference"/>
        </w:rPr>
        <w:footnoteReference w:id="17"/>
      </w:r>
      <w:r>
        <w:t xml:space="preserve"> </w:t>
      </w:r>
    </w:p>
    <w:p w14:paraId="0403F473" w14:textId="4E588FAA" w:rsidR="00956DC0" w:rsidRDefault="00612FF5" w:rsidP="00977C84">
      <w:pPr>
        <w:pStyle w:val="Bodytextnumbered"/>
      </w:pPr>
      <w:r>
        <w:t xml:space="preserve">The Commission is deeply concerned by this </w:t>
      </w:r>
      <w:r w:rsidR="005E3ED9">
        <w:t xml:space="preserve">inappropriate </w:t>
      </w:r>
      <w:r>
        <w:t xml:space="preserve">use of the override provisions in the Human Rights Act. </w:t>
      </w:r>
      <w:r w:rsidR="00AA6936">
        <w:t xml:space="preserve">Overriding the Human Rights Act </w:t>
      </w:r>
      <w:r w:rsidR="00E079B8">
        <w:t>is only lawful in</w:t>
      </w:r>
      <w:r w:rsidR="00AA6936">
        <w:t xml:space="preserve"> </w:t>
      </w:r>
      <w:r w:rsidR="00FD0C8D">
        <w:t>‘</w:t>
      </w:r>
      <w:r w:rsidR="00AA6936">
        <w:t>exceptional circumstances</w:t>
      </w:r>
      <w:r w:rsidR="00FD0C8D">
        <w:t>’</w:t>
      </w:r>
      <w:r w:rsidR="00AA6936">
        <w:t xml:space="preserve"> such as where there is a war, state of emergency, or an exceptional crisis constituting threats to public safety or national security.</w:t>
      </w:r>
      <w:r w:rsidR="005E3ED9">
        <w:rPr>
          <w:rStyle w:val="FootnoteReference"/>
        </w:rPr>
        <w:footnoteReference w:id="18"/>
      </w:r>
      <w:r w:rsidR="00AA6936">
        <w:t xml:space="preserve"> </w:t>
      </w:r>
      <w:r w:rsidR="00977C84">
        <w:t>The override provision</w:t>
      </w:r>
      <w:r w:rsidR="00DF4CE9">
        <w:t>s</w:t>
      </w:r>
      <w:r w:rsidR="00977C84">
        <w:t xml:space="preserve"> w</w:t>
      </w:r>
      <w:r w:rsidR="00DF4CE9">
        <w:t>ere</w:t>
      </w:r>
      <w:r w:rsidR="00977C84">
        <w:t xml:space="preserve"> </w:t>
      </w:r>
      <w:r w:rsidR="000D3B05">
        <w:t xml:space="preserve">intended to be used </w:t>
      </w:r>
      <w:r w:rsidR="00DF4CE9">
        <w:t>in circumstances in which parliament is required to</w:t>
      </w:r>
      <w:r w:rsidR="00BB0C54">
        <w:t xml:space="preserve"> </w:t>
      </w:r>
      <w:r w:rsidR="007A44C1">
        <w:t>act quickly</w:t>
      </w:r>
      <w:r w:rsidR="00984CDC">
        <w:t xml:space="preserve"> in response to </w:t>
      </w:r>
      <w:r w:rsidR="004C686C">
        <w:t>serious emergency situations</w:t>
      </w:r>
      <w:r w:rsidR="0050476C">
        <w:t>,</w:t>
      </w:r>
      <w:r w:rsidR="007A44C1">
        <w:t xml:space="preserve"> </w:t>
      </w:r>
      <w:r w:rsidR="00DF4CE9">
        <w:t>such as when responding to a pandemic</w:t>
      </w:r>
      <w:r w:rsidR="00EA0DAD">
        <w:t xml:space="preserve"> or conflict</w:t>
      </w:r>
      <w:r w:rsidR="007A44C1">
        <w:t xml:space="preserve">. The provisions were not intended to </w:t>
      </w:r>
      <w:r w:rsidR="00FF7175">
        <w:t>be used</w:t>
      </w:r>
      <w:r w:rsidR="00977C84">
        <w:t xml:space="preserve"> as a precaution to avoid </w:t>
      </w:r>
      <w:r w:rsidR="004832F8">
        <w:t>oversight by the judiciary</w:t>
      </w:r>
      <w:r w:rsidR="00977C84">
        <w:t xml:space="preserve">. </w:t>
      </w:r>
    </w:p>
    <w:p w14:paraId="64BFF98F" w14:textId="610A90B8" w:rsidR="00A926CC" w:rsidRDefault="008F0D2B" w:rsidP="00F625AD">
      <w:pPr>
        <w:pStyle w:val="Bodytextnumbered"/>
      </w:pPr>
      <w:r>
        <w:t>Whe</w:t>
      </w:r>
      <w:r w:rsidR="00FF7175">
        <w:t>n</w:t>
      </w:r>
      <w:r>
        <w:t xml:space="preserve"> a </w:t>
      </w:r>
      <w:r w:rsidR="0083077F">
        <w:t>Minister introduces a Bill containing an override declaration, th</w:t>
      </w:r>
      <w:r w:rsidR="004D4D14">
        <w:t>e</w:t>
      </w:r>
      <w:r w:rsidR="0083077F">
        <w:t xml:space="preserve"> Minister is required </w:t>
      </w:r>
      <w:r w:rsidR="00C20A56">
        <w:t>to make a statement outlining the exceptional circumstances that justify the override.</w:t>
      </w:r>
      <w:r w:rsidR="00BB0C54">
        <w:rPr>
          <w:rStyle w:val="FootnoteReference"/>
        </w:rPr>
        <w:footnoteReference w:id="19"/>
      </w:r>
      <w:r w:rsidR="00C20A56">
        <w:t xml:space="preserve"> </w:t>
      </w:r>
      <w:r w:rsidR="00E079B8">
        <w:t xml:space="preserve">The </w:t>
      </w:r>
      <w:r w:rsidR="007A6A81">
        <w:t>e</w:t>
      </w:r>
      <w:r w:rsidR="00A926CC">
        <w:t xml:space="preserve">xceptional </w:t>
      </w:r>
      <w:r w:rsidR="007A6A81">
        <w:t>ci</w:t>
      </w:r>
      <w:r w:rsidR="00A926CC">
        <w:t>rcumstances statement</w:t>
      </w:r>
      <w:r w:rsidR="00E36AA1">
        <w:t xml:space="preserve"> tabled with the Bill </w:t>
      </w:r>
      <w:r w:rsidR="00A926CC">
        <w:t xml:space="preserve">states </w:t>
      </w:r>
      <w:r w:rsidR="006F07C7">
        <w:t>‘</w:t>
      </w:r>
      <w:r w:rsidR="00207AC2" w:rsidRPr="002C4C87">
        <w:rPr>
          <w:i/>
          <w:iCs/>
        </w:rPr>
        <w:t>I</w:t>
      </w:r>
      <w:r w:rsidR="006F07C7" w:rsidRPr="002C4C87">
        <w:rPr>
          <w:i/>
          <w:iCs/>
        </w:rPr>
        <w:t>n the Government’s view, there is a child safety crisis gripping Queensland communities as shown by many horrific abuse cases and allegations over recent times</w:t>
      </w:r>
      <w:r w:rsidR="00207AC2">
        <w:t>.</w:t>
      </w:r>
      <w:r w:rsidR="0001272F">
        <w:t>’</w:t>
      </w:r>
      <w:r w:rsidR="00D1680E">
        <w:rPr>
          <w:rStyle w:val="FootnoteReference"/>
        </w:rPr>
        <w:footnoteReference w:id="20"/>
      </w:r>
      <w:r w:rsidR="00CE6722">
        <w:t xml:space="preserve"> The statement does not provide any data or </w:t>
      </w:r>
      <w:r w:rsidR="00F625AD">
        <w:t xml:space="preserve">other information to support this claim. </w:t>
      </w:r>
    </w:p>
    <w:p w14:paraId="729F8209" w14:textId="71F30A8F" w:rsidR="002D539C" w:rsidRDefault="00A479D1" w:rsidP="00196494">
      <w:pPr>
        <w:pStyle w:val="Bodytextnumbered"/>
      </w:pPr>
      <w:r>
        <w:t xml:space="preserve">The Commission has been unable to identify sufficient evidence </w:t>
      </w:r>
      <w:r w:rsidR="00E31216">
        <w:t xml:space="preserve">to </w:t>
      </w:r>
      <w:r>
        <w:t xml:space="preserve">indicate </w:t>
      </w:r>
      <w:r w:rsidR="007966A3">
        <w:t xml:space="preserve">that Queensland is currently facing an exceptional crisis with respect to </w:t>
      </w:r>
      <w:r w:rsidR="001C06CA">
        <w:t>sexual offending against children</w:t>
      </w:r>
      <w:r w:rsidR="005F4CB2">
        <w:t>.</w:t>
      </w:r>
      <w:r w:rsidR="001B7EDA">
        <w:t xml:space="preserve"> </w:t>
      </w:r>
    </w:p>
    <w:p w14:paraId="085AB989" w14:textId="14826002" w:rsidR="00F6425D" w:rsidRDefault="00A0254A" w:rsidP="00F6425D">
      <w:pPr>
        <w:pStyle w:val="Bodytextnumbered"/>
      </w:pPr>
      <w:r>
        <w:lastRenderedPageBreak/>
        <w:t>T</w:t>
      </w:r>
      <w:r w:rsidR="00F6425D">
        <w:t xml:space="preserve">wo </w:t>
      </w:r>
      <w:r w:rsidR="0010033E">
        <w:t xml:space="preserve">key </w:t>
      </w:r>
      <w:r>
        <w:t xml:space="preserve">agencies </w:t>
      </w:r>
      <w:r w:rsidR="00A177E4">
        <w:t>provide</w:t>
      </w:r>
      <w:r w:rsidR="00F6425D">
        <w:t xml:space="preserve"> </w:t>
      </w:r>
      <w:r w:rsidR="00A177E4">
        <w:t xml:space="preserve">authoritative </w:t>
      </w:r>
      <w:r w:rsidR="00F6425D">
        <w:t xml:space="preserve">crime </w:t>
      </w:r>
      <w:r w:rsidR="00CF12C2">
        <w:t>data</w:t>
      </w:r>
      <w:r w:rsidR="000028D4">
        <w:t xml:space="preserve"> </w:t>
      </w:r>
      <w:r w:rsidR="0010033E">
        <w:t>for</w:t>
      </w:r>
      <w:r w:rsidR="000028D4">
        <w:t xml:space="preserve"> Queensland</w:t>
      </w:r>
      <w:r>
        <w:t>:</w:t>
      </w:r>
      <w:r w:rsidR="00CF12C2">
        <w:t xml:space="preserve"> the </w:t>
      </w:r>
      <w:r w:rsidR="00F6425D">
        <w:t>Queensland Government Statisticians Office</w:t>
      </w:r>
      <w:r w:rsidR="00A479D1">
        <w:t xml:space="preserve"> (QGSO)</w:t>
      </w:r>
      <w:r w:rsidR="00F6425D">
        <w:t xml:space="preserve"> </w:t>
      </w:r>
      <w:r w:rsidR="00CF12C2">
        <w:t>and the Australian Bureau of Statistics</w:t>
      </w:r>
      <w:r w:rsidR="00A479D1">
        <w:t xml:space="preserve"> (ABS)</w:t>
      </w:r>
      <w:r w:rsidR="00CF12C2">
        <w:t xml:space="preserve">. The QGSO </w:t>
      </w:r>
      <w:r w:rsidR="00F6425D" w:rsidRPr="005C6ECB">
        <w:rPr>
          <w:i/>
          <w:iCs/>
        </w:rPr>
        <w:t>Crime Statistics Report 2023-24</w:t>
      </w:r>
      <w:r w:rsidR="00F6425D">
        <w:t xml:space="preserve"> </w:t>
      </w:r>
      <w:r w:rsidR="00C55CBD">
        <w:t xml:space="preserve">indicates </w:t>
      </w:r>
      <w:r w:rsidR="00F6425D">
        <w:t>th</w:t>
      </w:r>
      <w:r w:rsidR="000028D4">
        <w:t xml:space="preserve">at </w:t>
      </w:r>
      <w:r w:rsidR="000B1E03">
        <w:t xml:space="preserve">instances of </w:t>
      </w:r>
      <w:r w:rsidR="00C55D3E">
        <w:t>sexual offending ha</w:t>
      </w:r>
      <w:r w:rsidR="0010033E">
        <w:t>ve</w:t>
      </w:r>
      <w:r w:rsidR="00C55D3E">
        <w:t xml:space="preserve"> remained steady over </w:t>
      </w:r>
      <w:r w:rsidR="003366FF">
        <w:t xml:space="preserve">recent years at </w:t>
      </w:r>
      <w:r w:rsidR="00F6425D">
        <w:t xml:space="preserve">192.6 per 100,000 persons </w:t>
      </w:r>
      <w:r w:rsidR="003366FF">
        <w:t xml:space="preserve">in 2022-23 </w:t>
      </w:r>
      <w:r w:rsidR="00F6425D">
        <w:t>and 192.5</w:t>
      </w:r>
      <w:r w:rsidR="003366FF">
        <w:t xml:space="preserve"> in 2023-24</w:t>
      </w:r>
      <w:r w:rsidR="00F6425D">
        <w:t>.</w:t>
      </w:r>
      <w:r w:rsidR="00693FCE">
        <w:rPr>
          <w:rStyle w:val="FootnoteReference"/>
        </w:rPr>
        <w:footnoteReference w:id="21"/>
      </w:r>
      <w:r w:rsidR="003366FF">
        <w:t xml:space="preserve"> </w:t>
      </w:r>
      <w:r w:rsidR="000B1E03">
        <w:t>D</w:t>
      </w:r>
      <w:r w:rsidR="00F6425D">
        <w:t>ata published by the</w:t>
      </w:r>
      <w:r w:rsidR="00A479D1">
        <w:t xml:space="preserve"> ABS</w:t>
      </w:r>
      <w:r w:rsidR="00F6425D">
        <w:t xml:space="preserve"> shows a gradual increase in the number of sexual assault offences in Queensland, from 86.4 </w:t>
      </w:r>
      <w:r w:rsidR="00B01AF1">
        <w:t xml:space="preserve">per 100,000 persons </w:t>
      </w:r>
      <w:r w:rsidR="00F6425D">
        <w:t>in 2013 to 95.4 in 2019 to 154.6 in 2023.</w:t>
      </w:r>
      <w:r w:rsidR="00EF3009">
        <w:rPr>
          <w:rStyle w:val="FootnoteReference"/>
        </w:rPr>
        <w:footnoteReference w:id="22"/>
      </w:r>
      <w:r w:rsidR="00F6425D">
        <w:t xml:space="preserve"> </w:t>
      </w:r>
    </w:p>
    <w:p w14:paraId="32889648" w14:textId="31C3FAA5" w:rsidR="00072C67" w:rsidRDefault="00B01AF1" w:rsidP="00196494">
      <w:pPr>
        <w:pStyle w:val="Bodytextnumbered"/>
      </w:pPr>
      <w:r>
        <w:t>C</w:t>
      </w:r>
      <w:r w:rsidR="00072C67">
        <w:t>rime data in relation to sexual offences must be interpreted with caution. The consistent rise in rates of recorded sexual offences in recent years has been partially attributed to a</w:t>
      </w:r>
      <w:r w:rsidR="00735D14">
        <w:t xml:space="preserve">n increase in reporting due to a </w:t>
      </w:r>
      <w:r w:rsidR="00072C67">
        <w:t>reduction in stigma, as well as</w:t>
      </w:r>
      <w:r w:rsidR="00C64CB6">
        <w:t xml:space="preserve"> strengthened legislation,</w:t>
      </w:r>
      <w:r w:rsidR="00072C67">
        <w:t xml:space="preserve"> enhanced awareness</w:t>
      </w:r>
      <w:r w:rsidR="00735D14">
        <w:t>,</w:t>
      </w:r>
      <w:r w:rsidR="00072C67">
        <w:t xml:space="preserve"> and better detection systems. </w:t>
      </w:r>
      <w:r w:rsidR="00F2639B">
        <w:t xml:space="preserve">Additionally, the figures published by both the QGSO and the ABS include sexual offences perpetrated against adults as well as children. </w:t>
      </w:r>
    </w:p>
    <w:p w14:paraId="5035D3C8" w14:textId="4F9FE32B" w:rsidR="00F2639B" w:rsidRDefault="00B95ADC" w:rsidP="00F2639B">
      <w:pPr>
        <w:pStyle w:val="Bodytextnumbered"/>
      </w:pPr>
      <w:r>
        <w:t>W</w:t>
      </w:r>
      <w:r w:rsidR="00FF1DBA">
        <w:t>hile the increase in sexual offending present</w:t>
      </w:r>
      <w:r w:rsidR="00C10D9B">
        <w:t>ed</w:t>
      </w:r>
      <w:r w:rsidR="00FF1DBA">
        <w:t xml:space="preserve"> in the ABS data is concerning, </w:t>
      </w:r>
      <w:r w:rsidR="00865F36">
        <w:t xml:space="preserve">the available statistics do not provide a clear picture of the rates of sexual offending against children. </w:t>
      </w:r>
      <w:r w:rsidR="00BD563C">
        <w:t>In the absence of any evidence of an exceptional crisis</w:t>
      </w:r>
      <w:r w:rsidR="00BB05AF" w:rsidRPr="00AA6936">
        <w:t>, the Commission finds no justification for overriding human rights in relation to this Bill.</w:t>
      </w:r>
    </w:p>
    <w:p w14:paraId="2A152825" w14:textId="60D0B097" w:rsidR="00BB05AF" w:rsidRDefault="00BB05AF" w:rsidP="00F2639B">
      <w:pPr>
        <w:pStyle w:val="Bodytextnumbered"/>
      </w:pPr>
      <w:r w:rsidRPr="00AA6936">
        <w:t>The Committee should recommend to parliament that this Bill not be passed (</w:t>
      </w:r>
      <w:r w:rsidRPr="00F2639B">
        <w:rPr>
          <w:b/>
          <w:bCs/>
        </w:rPr>
        <w:t xml:space="preserve">RECOMMENDATION </w:t>
      </w:r>
      <w:r w:rsidR="00E145D2">
        <w:rPr>
          <w:b/>
          <w:bCs/>
        </w:rPr>
        <w:t>1</w:t>
      </w:r>
      <w:r w:rsidRPr="00AA6936">
        <w:t>).</w:t>
      </w:r>
    </w:p>
    <w:p w14:paraId="6569535A" w14:textId="214606CC" w:rsidR="00956DC0" w:rsidRDefault="006F711E" w:rsidP="00974A0A">
      <w:pPr>
        <w:pStyle w:val="Bodytextnumbered"/>
      </w:pPr>
      <w:r>
        <w:t>T</w:t>
      </w:r>
      <w:r w:rsidR="009C18D8">
        <w:t xml:space="preserve">his does not </w:t>
      </w:r>
      <w:r w:rsidR="00276D17">
        <w:t xml:space="preserve">diminish the urgency with which the government </w:t>
      </w:r>
      <w:r w:rsidR="00017B2D">
        <w:t xml:space="preserve">should </w:t>
      </w:r>
      <w:r w:rsidR="00224B0C">
        <w:t xml:space="preserve">take considered action </w:t>
      </w:r>
      <w:r w:rsidR="00593F8F">
        <w:t>in relation to</w:t>
      </w:r>
      <w:r w:rsidR="00276D17">
        <w:t xml:space="preserve"> </w:t>
      </w:r>
      <w:r w:rsidR="001E68C0">
        <w:t>sexual violence against children</w:t>
      </w:r>
      <w:r w:rsidR="00760C95">
        <w:t xml:space="preserve">. </w:t>
      </w:r>
      <w:r w:rsidR="001932EE">
        <w:t>Every instance of c</w:t>
      </w:r>
      <w:r w:rsidR="001932EE" w:rsidRPr="001C2076">
        <w:t xml:space="preserve">hild sexual abuse is a devastating and damaging violation of </w:t>
      </w:r>
      <w:r w:rsidR="00417479">
        <w:t xml:space="preserve">a </w:t>
      </w:r>
      <w:r w:rsidR="001932EE" w:rsidRPr="001C2076">
        <w:t>child’s rights</w:t>
      </w:r>
      <w:r w:rsidR="001932EE">
        <w:t xml:space="preserve">. </w:t>
      </w:r>
      <w:r w:rsidR="00593F1B">
        <w:t>But</w:t>
      </w:r>
      <w:r w:rsidR="00C26EBC">
        <w:t xml:space="preserve"> </w:t>
      </w:r>
      <w:r w:rsidR="00805A9F">
        <w:t xml:space="preserve">in the absence of an </w:t>
      </w:r>
      <w:r w:rsidR="00593F1B">
        <w:t>‘</w:t>
      </w:r>
      <w:r w:rsidR="00805A9F">
        <w:t>exceptional crisis</w:t>
      </w:r>
      <w:r w:rsidR="00593F1B">
        <w:t>’</w:t>
      </w:r>
      <w:r w:rsidR="00805A9F">
        <w:t>, the government must seek to implement solutions compatible with human rights.</w:t>
      </w:r>
      <w:r w:rsidR="005B233C">
        <w:rPr>
          <w:rStyle w:val="FootnoteReference"/>
        </w:rPr>
        <w:footnoteReference w:id="23"/>
      </w:r>
      <w:r w:rsidR="00805A9F">
        <w:t xml:space="preserve"> </w:t>
      </w:r>
      <w:r w:rsidR="005C7941">
        <w:t xml:space="preserve">Even in the event of an exceptional crisis arising, </w:t>
      </w:r>
      <w:r w:rsidR="000E628E">
        <w:t xml:space="preserve">government should pursue human rights compatible approaches wherever possible. </w:t>
      </w:r>
      <w:r w:rsidR="000C7C97">
        <w:t>H</w:t>
      </w:r>
      <w:r w:rsidR="002B3E5D" w:rsidRPr="002B3E5D">
        <w:t>uman rights compatible approach</w:t>
      </w:r>
      <w:r w:rsidR="000C7C97">
        <w:t xml:space="preserve">es </w:t>
      </w:r>
      <w:r w:rsidR="002B3E5D" w:rsidRPr="002B3E5D">
        <w:t>create more effective, sustainable solutions</w:t>
      </w:r>
      <w:r w:rsidR="002B3E5D">
        <w:t xml:space="preserve"> that </w:t>
      </w:r>
      <w:r w:rsidR="00381CF3">
        <w:t xml:space="preserve">will </w:t>
      </w:r>
      <w:r w:rsidR="00957CE9">
        <w:t>produce</w:t>
      </w:r>
      <w:r w:rsidR="002B3E5D">
        <w:t xml:space="preserve"> tangible improvements to child safety without causing more harm than is necessary to achieve that goal</w:t>
      </w:r>
      <w:r w:rsidR="002B3E5D" w:rsidRPr="002B3E5D">
        <w:t>.</w:t>
      </w:r>
      <w:r w:rsidR="00F1259F">
        <w:t xml:space="preserve"> </w:t>
      </w:r>
    </w:p>
    <w:p w14:paraId="654D0CC6" w14:textId="12B5DF91" w:rsidR="00B61073" w:rsidRDefault="00FA7E82" w:rsidP="004F44D9">
      <w:pPr>
        <w:pStyle w:val="Heading2"/>
      </w:pPr>
      <w:bookmarkStart w:id="5" w:name="_Toc208387247"/>
      <w:r>
        <w:lastRenderedPageBreak/>
        <w:t>Lack of evidentiary basis</w:t>
      </w:r>
      <w:bookmarkEnd w:id="5"/>
      <w:r>
        <w:t xml:space="preserve"> </w:t>
      </w:r>
    </w:p>
    <w:p w14:paraId="6E2A2CDA" w14:textId="6610A67E" w:rsidR="000E4273" w:rsidRDefault="00B232C1" w:rsidP="00626990">
      <w:pPr>
        <w:pStyle w:val="Bodytextnumbered"/>
      </w:pPr>
      <w:r>
        <w:t>The</w:t>
      </w:r>
      <w:r w:rsidR="004C4884">
        <w:t xml:space="preserve"> government states the purpose of the Bill is</w:t>
      </w:r>
      <w:r w:rsidR="00206BDC">
        <w:t xml:space="preserve"> </w:t>
      </w:r>
      <w:r w:rsidR="004C4884" w:rsidRPr="004C4884">
        <w:t>‘</w:t>
      </w:r>
      <w:r w:rsidR="00805D9B" w:rsidRPr="000E4273">
        <w:rPr>
          <w:i/>
          <w:iCs/>
        </w:rPr>
        <w:t>to safeguard children by empowering the community—and, in particular, families—to take protective actions in the best interests of children (consistent with section 26(2) of the HR Act) to prevent children from being subject to the devastating harm which results from sexual offending</w:t>
      </w:r>
      <w:r w:rsidR="004C4884" w:rsidRPr="000E4273">
        <w:rPr>
          <w:lang w:val="en-GB"/>
        </w:rPr>
        <w:t>’.</w:t>
      </w:r>
      <w:r w:rsidR="004C4884" w:rsidRPr="004C4884">
        <w:rPr>
          <w:vertAlign w:val="superscript"/>
          <w:lang w:val="en-GB"/>
        </w:rPr>
        <w:footnoteReference w:id="24"/>
      </w:r>
      <w:r w:rsidR="000E4273">
        <w:rPr>
          <w:lang w:val="en-GB"/>
        </w:rPr>
        <w:t xml:space="preserve"> </w:t>
      </w:r>
      <w:r w:rsidR="00805D9B" w:rsidRPr="00745E6C">
        <w:t xml:space="preserve">However, the </w:t>
      </w:r>
      <w:r w:rsidRPr="00745E6C">
        <w:t xml:space="preserve">Commission has been unable to identify any evidence that </w:t>
      </w:r>
      <w:r w:rsidR="00154ECD" w:rsidRPr="00745E6C">
        <w:t xml:space="preserve">public sex offender registers have been found to </w:t>
      </w:r>
      <w:r w:rsidR="00203F87" w:rsidRPr="00745E6C">
        <w:t>prevent further</w:t>
      </w:r>
      <w:r w:rsidR="00A27A86" w:rsidRPr="00745E6C">
        <w:t xml:space="preserve"> sexual offending against children (sex offence recidivism)</w:t>
      </w:r>
      <w:r w:rsidR="00154ECD" w:rsidRPr="00745E6C">
        <w:t>.</w:t>
      </w:r>
      <w:r w:rsidR="0039490F" w:rsidRPr="00745E6C">
        <w:t xml:space="preserve"> </w:t>
      </w:r>
    </w:p>
    <w:p w14:paraId="4C401C3E" w14:textId="1AB700BC" w:rsidR="00CA39EF" w:rsidRDefault="000967FE" w:rsidP="00CA39EF">
      <w:pPr>
        <w:pStyle w:val="Bodytextnumbered"/>
      </w:pPr>
      <w:r>
        <w:t xml:space="preserve">Importantly, </w:t>
      </w:r>
      <w:r w:rsidR="0017315F">
        <w:t>if providing information via a public child sex offender register</w:t>
      </w:r>
      <w:r>
        <w:t xml:space="preserve"> facilitate</w:t>
      </w:r>
      <w:r w:rsidR="0017315F">
        <w:t>d parents</w:t>
      </w:r>
      <w:r>
        <w:t xml:space="preserve"> to take protective actions </w:t>
      </w:r>
      <w:r w:rsidR="0067227F">
        <w:t>which</w:t>
      </w:r>
      <w:r w:rsidR="0017315F">
        <w:t xml:space="preserve"> </w:t>
      </w:r>
      <w:r>
        <w:t>successfully prevent</w:t>
      </w:r>
      <w:r w:rsidR="0017315F">
        <w:t xml:space="preserve"> </w:t>
      </w:r>
      <w:r>
        <w:t>instances of child sexual abuse, this would manifest as a d</w:t>
      </w:r>
      <w:r w:rsidR="0017315F">
        <w:t>ecrease</w:t>
      </w:r>
      <w:r>
        <w:t xml:space="preserve"> in further sexual offending against children (sex offence recidivism). </w:t>
      </w:r>
      <w:r w:rsidR="0017315F">
        <w:t xml:space="preserve">This decrease has not been observed. </w:t>
      </w:r>
    </w:p>
    <w:p w14:paraId="5E926C95" w14:textId="105FB8FD" w:rsidR="008C2F8E" w:rsidRDefault="00C51FF3" w:rsidP="00352570">
      <w:pPr>
        <w:pStyle w:val="Bodytextnumbered"/>
      </w:pPr>
      <w:r>
        <w:t>T</w:t>
      </w:r>
      <w:r w:rsidR="008C2F8E">
        <w:t>wo states in Australia operate public child sex offender registers</w:t>
      </w:r>
      <w:r w:rsidR="00010A3E">
        <w:t>:</w:t>
      </w:r>
      <w:r w:rsidR="008C2F8E">
        <w:t xml:space="preserve"> Western Australia which established a register in 2012,</w:t>
      </w:r>
      <w:r w:rsidR="008C2F8E">
        <w:rPr>
          <w:rStyle w:val="FootnoteReference"/>
        </w:rPr>
        <w:footnoteReference w:id="25"/>
      </w:r>
      <w:r w:rsidR="008C2F8E">
        <w:t xml:space="preserve"> and South Australia which established a register in 2024.</w:t>
      </w:r>
      <w:r w:rsidR="008C2F8E">
        <w:rPr>
          <w:rStyle w:val="FootnoteReference"/>
        </w:rPr>
        <w:footnoteReference w:id="26"/>
      </w:r>
      <w:r w:rsidR="008C2F8E">
        <w:t xml:space="preserve"> The registers </w:t>
      </w:r>
      <w:r w:rsidR="00F24237">
        <w:t>in operation</w:t>
      </w:r>
      <w:r w:rsidR="008C2F8E">
        <w:t xml:space="preserve"> in Western Australia and South Australia </w:t>
      </w:r>
      <w:r w:rsidR="00643317">
        <w:t>are very similar</w:t>
      </w:r>
      <w:r w:rsidR="008C2F8E">
        <w:t xml:space="preserve"> to that proposed by this Bill. </w:t>
      </w:r>
    </w:p>
    <w:p w14:paraId="06D98AC5" w14:textId="4F3C1815" w:rsidR="00726D82" w:rsidRDefault="006400A2" w:rsidP="00352570">
      <w:pPr>
        <w:pStyle w:val="Bodytextnumbered"/>
      </w:pPr>
      <w:r>
        <w:t xml:space="preserve">While </w:t>
      </w:r>
      <w:r w:rsidR="00440349">
        <w:t>the South Australian register is yet to be evaluated</w:t>
      </w:r>
      <w:r w:rsidR="00E92D14">
        <w:t>, the Western Australian register was formally evaluated in 2018</w:t>
      </w:r>
      <w:r w:rsidR="00643317">
        <w:t>,</w:t>
      </w:r>
      <w:r w:rsidR="00E44927">
        <w:t xml:space="preserve"> after five years of operation</w:t>
      </w:r>
      <w:r w:rsidR="00E92D14">
        <w:t xml:space="preserve">. </w:t>
      </w:r>
      <w:r w:rsidR="00653C3E">
        <w:t>T</w:t>
      </w:r>
      <w:r w:rsidR="00885E95">
        <w:t xml:space="preserve">he </w:t>
      </w:r>
      <w:r w:rsidR="0030586D" w:rsidRPr="00486C6F">
        <w:rPr>
          <w:i/>
          <w:iCs/>
        </w:rPr>
        <w:t>Review of the operation and effectiveness of the public notification scheme established by Part 5A Community Protection (Offender Reporting) Act 2004</w:t>
      </w:r>
      <w:r w:rsidR="0030586D">
        <w:t xml:space="preserve"> (</w:t>
      </w:r>
      <w:r w:rsidR="0030586D" w:rsidRPr="00486C6F">
        <w:rPr>
          <w:b/>
          <w:bCs/>
        </w:rPr>
        <w:t xml:space="preserve">the </w:t>
      </w:r>
      <w:r w:rsidR="00CF5302">
        <w:rPr>
          <w:b/>
          <w:bCs/>
        </w:rPr>
        <w:t xml:space="preserve">WA </w:t>
      </w:r>
      <w:r w:rsidR="00300113" w:rsidRPr="00486C6F">
        <w:rPr>
          <w:b/>
          <w:bCs/>
        </w:rPr>
        <w:t>E</w:t>
      </w:r>
      <w:r w:rsidR="00885E95" w:rsidRPr="00486C6F">
        <w:rPr>
          <w:b/>
          <w:bCs/>
        </w:rPr>
        <w:t>valuation</w:t>
      </w:r>
      <w:r w:rsidR="0030586D">
        <w:t>)</w:t>
      </w:r>
      <w:r w:rsidR="00DA7DEC">
        <w:t xml:space="preserve"> </w:t>
      </w:r>
      <w:r w:rsidR="0030586D">
        <w:t xml:space="preserve">did not </w:t>
      </w:r>
      <w:r w:rsidR="00C7437C">
        <w:t>identify any evidence</w:t>
      </w:r>
      <w:r w:rsidR="00653C3E">
        <w:t xml:space="preserve"> that the register had reduced sexual offending</w:t>
      </w:r>
      <w:r w:rsidR="00F02884">
        <w:t xml:space="preserve">. </w:t>
      </w:r>
      <w:r w:rsidR="001E125A">
        <w:t>In fact, t</w:t>
      </w:r>
      <w:r w:rsidR="00F02884">
        <w:t>he Evaluation notes</w:t>
      </w:r>
      <w:r w:rsidR="005D57E7">
        <w:t xml:space="preserve"> a</w:t>
      </w:r>
      <w:r w:rsidR="00F02884">
        <w:t xml:space="preserve"> </w:t>
      </w:r>
      <w:r w:rsidR="00885E95">
        <w:t>‘</w:t>
      </w:r>
      <w:r w:rsidR="00885E95" w:rsidRPr="00AC7F56">
        <w:rPr>
          <w:i/>
          <w:iCs/>
        </w:rPr>
        <w:t>direct causal link between registers or notification schemes and the incidence of sexually based offending against children is neither supported by current research and literature nor by the architects of the legislation</w:t>
      </w:r>
      <w:r w:rsidR="001B6046">
        <w:t>’</w:t>
      </w:r>
      <w:r w:rsidR="00885E95">
        <w:t>.</w:t>
      </w:r>
      <w:r w:rsidR="001B6046">
        <w:rPr>
          <w:rStyle w:val="FootnoteReference"/>
        </w:rPr>
        <w:footnoteReference w:id="27"/>
      </w:r>
    </w:p>
    <w:p w14:paraId="1354D989" w14:textId="37EA2FBD" w:rsidR="00127A42" w:rsidRDefault="00F905D7" w:rsidP="00352570">
      <w:pPr>
        <w:pStyle w:val="Bodytextnumbered"/>
      </w:pPr>
      <w:r>
        <w:lastRenderedPageBreak/>
        <w:t>Public sex offender registers have also been established in a number of locations in the United States. In 2018,</w:t>
      </w:r>
      <w:r w:rsidR="00CD6E23">
        <w:t xml:space="preserve"> the Australian Institute of Criminology </w:t>
      </w:r>
      <w:r w:rsidR="005619CD">
        <w:t xml:space="preserve">conducted </w:t>
      </w:r>
      <w:r w:rsidR="003963ED">
        <w:t xml:space="preserve">a review </w:t>
      </w:r>
      <w:r w:rsidR="001142D8">
        <w:t>(</w:t>
      </w:r>
      <w:r w:rsidR="001142D8" w:rsidRPr="001142D8">
        <w:rPr>
          <w:b/>
          <w:bCs/>
        </w:rPr>
        <w:t>the AIC review</w:t>
      </w:r>
      <w:r w:rsidR="001142D8">
        <w:t xml:space="preserve">) </w:t>
      </w:r>
      <w:r w:rsidR="003963ED">
        <w:t>of the</w:t>
      </w:r>
      <w:r w:rsidR="00CD6E23">
        <w:t xml:space="preserve"> evidence in relation to public sex offender registries </w:t>
      </w:r>
      <w:r w:rsidR="003963ED">
        <w:t xml:space="preserve">in the </w:t>
      </w:r>
      <w:r w:rsidR="00927F92">
        <w:t>United States</w:t>
      </w:r>
      <w:r w:rsidR="00CD6E23">
        <w:t xml:space="preserve">. The report identified 15 studies which </w:t>
      </w:r>
      <w:r w:rsidR="00FC0C49">
        <w:t>confirmed</w:t>
      </w:r>
      <w:r w:rsidR="00CD6E23">
        <w:t xml:space="preserve"> that public sex </w:t>
      </w:r>
      <w:r w:rsidR="31764E6B">
        <w:t>offend</w:t>
      </w:r>
      <w:r w:rsidR="4E4B19B9">
        <w:t>er</w:t>
      </w:r>
      <w:r w:rsidR="00CD6E23">
        <w:t xml:space="preserve"> register</w:t>
      </w:r>
      <w:r w:rsidR="00BF5C50">
        <w:t xml:space="preserve">s </w:t>
      </w:r>
      <w:r w:rsidR="00CD6E23">
        <w:t>did not reduce ‘</w:t>
      </w:r>
      <w:r w:rsidR="00CD6E23" w:rsidRPr="00917377">
        <w:t>sex offence recidivism</w:t>
      </w:r>
      <w:r w:rsidR="00FC0C49">
        <w:t>’</w:t>
      </w:r>
      <w:r w:rsidR="00CD6E23">
        <w:t>. This led the authors to</w:t>
      </w:r>
      <w:r w:rsidR="00291E41">
        <w:t xml:space="preserve"> </w:t>
      </w:r>
      <w:r w:rsidR="00CD6E23">
        <w:t xml:space="preserve">conclude there is </w:t>
      </w:r>
      <w:r w:rsidR="00CF5302">
        <w:t>‘</w:t>
      </w:r>
      <w:r w:rsidR="00CD6E23">
        <w:t>little evidence</w:t>
      </w:r>
      <w:r w:rsidR="007E0A46">
        <w:t>’</w:t>
      </w:r>
      <w:r w:rsidR="00CD6E23">
        <w:t xml:space="preserve"> to indicate public registers </w:t>
      </w:r>
      <w:r w:rsidR="00DD305B">
        <w:t>have led to</w:t>
      </w:r>
      <w:r w:rsidR="00DD305B" w:rsidRPr="00DD305B">
        <w:t xml:space="preserve"> reduced reoffending among registered sex offenders</w:t>
      </w:r>
      <w:r w:rsidR="00CD6E23">
        <w:t>.</w:t>
      </w:r>
      <w:r w:rsidR="007E0A46">
        <w:rPr>
          <w:rStyle w:val="FootnoteReference"/>
        </w:rPr>
        <w:footnoteReference w:id="28"/>
      </w:r>
      <w:r w:rsidR="00CD6E23">
        <w:t xml:space="preserve"> </w:t>
      </w:r>
    </w:p>
    <w:p w14:paraId="0B142078" w14:textId="4A7F6441" w:rsidR="00FD6329" w:rsidRDefault="00387952" w:rsidP="00352570">
      <w:pPr>
        <w:pStyle w:val="Bodytextnumbered"/>
      </w:pPr>
      <w:r>
        <w:t>C</w:t>
      </w:r>
      <w:r w:rsidR="007872E8">
        <w:t xml:space="preserve">oncerningly, the </w:t>
      </w:r>
      <w:r w:rsidR="001142D8">
        <w:t xml:space="preserve">AIC </w:t>
      </w:r>
      <w:r w:rsidR="007872E8">
        <w:t xml:space="preserve">review identified </w:t>
      </w:r>
      <w:r w:rsidR="00C712A0">
        <w:t>a</w:t>
      </w:r>
      <w:r w:rsidR="007872E8">
        <w:t xml:space="preserve"> number of studies which found that </w:t>
      </w:r>
      <w:r w:rsidR="000B3804">
        <w:t xml:space="preserve">sex offence recidivism had </w:t>
      </w:r>
      <w:r w:rsidR="000B3804" w:rsidRPr="004F7D95">
        <w:rPr>
          <w:i/>
          <w:iCs/>
        </w:rPr>
        <w:t>increased</w:t>
      </w:r>
      <w:r w:rsidR="000B3804">
        <w:t xml:space="preserve"> following implementation of a</w:t>
      </w:r>
      <w:r w:rsidR="001142D8">
        <w:t xml:space="preserve"> public</w:t>
      </w:r>
      <w:r w:rsidR="000B3804">
        <w:t xml:space="preserve"> register or notification scheme.</w:t>
      </w:r>
      <w:r w:rsidR="00640448" w:rsidRPr="004F7D95">
        <w:rPr>
          <w:vertAlign w:val="superscript"/>
        </w:rPr>
        <w:t xml:space="preserve"> </w:t>
      </w:r>
      <w:r w:rsidR="00640448" w:rsidRPr="00917377">
        <w:rPr>
          <w:vertAlign w:val="superscript"/>
        </w:rPr>
        <w:footnoteReference w:id="29"/>
      </w:r>
      <w:r w:rsidR="000B3804">
        <w:t xml:space="preserve"> </w:t>
      </w:r>
      <w:r w:rsidR="001142D8">
        <w:t>While some studies suggested this</w:t>
      </w:r>
      <w:r w:rsidR="00F17900">
        <w:t xml:space="preserve"> increase</w:t>
      </w:r>
      <w:r w:rsidR="001142D8">
        <w:t xml:space="preserve"> could</w:t>
      </w:r>
      <w:r w:rsidR="00536537">
        <w:t xml:space="preserve"> be partially attributed to</w:t>
      </w:r>
      <w:r w:rsidR="00323945">
        <w:t xml:space="preserve"> increased surveillance and detection</w:t>
      </w:r>
      <w:r w:rsidR="00536537">
        <w:t xml:space="preserve">, </w:t>
      </w:r>
      <w:r w:rsidR="00A61EA8">
        <w:t>other</w:t>
      </w:r>
      <w:r w:rsidR="00536537">
        <w:t xml:space="preserve"> studies </w:t>
      </w:r>
      <w:r w:rsidR="00A61EA8">
        <w:t>suggested</w:t>
      </w:r>
      <w:r w:rsidR="00AE3DC2">
        <w:t xml:space="preserve"> </w:t>
      </w:r>
      <w:r w:rsidR="00536537">
        <w:t xml:space="preserve">the </w:t>
      </w:r>
      <w:r w:rsidR="00C22BCE">
        <w:t xml:space="preserve">negative </w:t>
      </w:r>
      <w:r w:rsidR="0053536F">
        <w:t xml:space="preserve">consequences of </w:t>
      </w:r>
      <w:r w:rsidR="00F54A1B">
        <w:t xml:space="preserve">a public register, which may </w:t>
      </w:r>
      <w:r w:rsidR="00C22BCE">
        <w:t>includ</w:t>
      </w:r>
      <w:r w:rsidR="00F54A1B">
        <w:t>e</w:t>
      </w:r>
      <w:r w:rsidR="006F0970">
        <w:t xml:space="preserve"> </w:t>
      </w:r>
      <w:r w:rsidR="0043687E">
        <w:t>harassment and assault</w:t>
      </w:r>
      <w:r w:rsidR="00404E3D">
        <w:t>,</w:t>
      </w:r>
      <w:r w:rsidR="0043687E">
        <w:t xml:space="preserve"> </w:t>
      </w:r>
      <w:r w:rsidR="0053536F">
        <w:t xml:space="preserve">exclusion from a neighbourhood or </w:t>
      </w:r>
      <w:r w:rsidR="00636B23">
        <w:t xml:space="preserve">residence, loss of employment, and </w:t>
      </w:r>
      <w:r w:rsidR="00A61EA8">
        <w:t>impacts on mental health</w:t>
      </w:r>
      <w:r w:rsidR="00636B23">
        <w:t>,</w:t>
      </w:r>
      <w:r w:rsidR="006F0970">
        <w:rPr>
          <w:rStyle w:val="FootnoteReference"/>
        </w:rPr>
        <w:footnoteReference w:id="30"/>
      </w:r>
      <w:r w:rsidR="00636B23">
        <w:t xml:space="preserve"> </w:t>
      </w:r>
      <w:r w:rsidR="00B57D75">
        <w:t>could be</w:t>
      </w:r>
      <w:r w:rsidR="004377AD">
        <w:t xml:space="preserve"> </w:t>
      </w:r>
      <w:r w:rsidR="00B57D75">
        <w:t xml:space="preserve">disrupting rehabilitation efforts and </w:t>
      </w:r>
      <w:r w:rsidR="004377AD">
        <w:t>leading to further offending</w:t>
      </w:r>
      <w:r w:rsidR="000200FC">
        <w:t>.</w:t>
      </w:r>
      <w:r w:rsidR="006F0970">
        <w:rPr>
          <w:rStyle w:val="FootnoteReference"/>
        </w:rPr>
        <w:footnoteReference w:id="31"/>
      </w:r>
      <w:r w:rsidR="00F1174C">
        <w:t xml:space="preserve"> </w:t>
      </w:r>
      <w:r w:rsidR="0047473B">
        <w:t xml:space="preserve">This means where a reportable offender </w:t>
      </w:r>
      <w:r w:rsidR="00356377">
        <w:t xml:space="preserve">is </w:t>
      </w:r>
      <w:r w:rsidR="0047473B">
        <w:t>subject to negative treatment as a result</w:t>
      </w:r>
      <w:r w:rsidR="00356377">
        <w:t xml:space="preserve"> of being identified via the proposed public register</w:t>
      </w:r>
      <w:r w:rsidR="0047473B">
        <w:t xml:space="preserve"> (e.g., being denied employment or </w:t>
      </w:r>
      <w:r w:rsidR="008363DA">
        <w:t xml:space="preserve">housing) this could lead </w:t>
      </w:r>
      <w:r w:rsidR="00356377">
        <w:t>them to reoffend.</w:t>
      </w:r>
    </w:p>
    <w:p w14:paraId="0B7AAA7C" w14:textId="6B385E5E" w:rsidR="001142D8" w:rsidRDefault="001142D8" w:rsidP="00352570">
      <w:pPr>
        <w:pStyle w:val="Bodytextnumbered"/>
      </w:pPr>
      <w:r>
        <w:lastRenderedPageBreak/>
        <w:t xml:space="preserve">Both the WA Evaluation and the review </w:t>
      </w:r>
      <w:r w:rsidR="00526EF9">
        <w:t xml:space="preserve">additionally </w:t>
      </w:r>
      <w:r>
        <w:t>identified that the premise for public child sex offender registers and notification scheme is flawed.</w:t>
      </w:r>
      <w:r>
        <w:rPr>
          <w:rStyle w:val="FootnoteReference"/>
        </w:rPr>
        <w:footnoteReference w:id="32"/>
      </w:r>
      <w:r>
        <w:t xml:space="preserve"> The majority of child sex offences are committed by individuals known to the victim</w:t>
      </w:r>
      <w:r w:rsidR="00E453CC">
        <w:t>,</w:t>
      </w:r>
      <w:r>
        <w:t xml:space="preserve"> either because they are family members or close acquaintances.</w:t>
      </w:r>
      <w:r>
        <w:rPr>
          <w:rStyle w:val="FootnoteReference"/>
        </w:rPr>
        <w:footnoteReference w:id="33"/>
      </w:r>
      <w:r>
        <w:t xml:space="preserve"> As such, in the majority of cases it is possible or likely that any history of sexual offending is already known to family members. Where it is not known, parents are less likely to complete a search in relation to a family member, friend</w:t>
      </w:r>
      <w:r w:rsidR="00117BC6">
        <w:t>,</w:t>
      </w:r>
      <w:r>
        <w:t xml:space="preserve"> or acquaintance. This means a public notification scheme is unlikely to be of assistance in the majority of cases.</w:t>
      </w:r>
      <w:r>
        <w:rPr>
          <w:rStyle w:val="FootnoteReference"/>
        </w:rPr>
        <w:footnoteReference w:id="34"/>
      </w:r>
      <w:r>
        <w:t xml:space="preserve"> </w:t>
      </w:r>
      <w:r w:rsidR="00330A1A" w:rsidRPr="00917377">
        <w:t xml:space="preserve">Concerns have also been raised that a public sex offender register could </w:t>
      </w:r>
      <w:r w:rsidR="00330A1A">
        <w:t>lead to</w:t>
      </w:r>
      <w:r w:rsidR="00330A1A" w:rsidRPr="00917377">
        <w:t xml:space="preserve"> sex offenders ‘network</w:t>
      </w:r>
      <w:r w:rsidR="00330A1A">
        <w:t>ing</w:t>
      </w:r>
      <w:r w:rsidR="00330A1A" w:rsidRPr="00917377">
        <w:t>’ in order to commit further offences.</w:t>
      </w:r>
      <w:r w:rsidR="00330A1A" w:rsidRPr="00917377">
        <w:rPr>
          <w:vertAlign w:val="superscript"/>
        </w:rPr>
        <w:footnoteReference w:id="35"/>
      </w:r>
      <w:r w:rsidR="00C15446">
        <w:t xml:space="preserve"> </w:t>
      </w:r>
    </w:p>
    <w:p w14:paraId="082FBC3D" w14:textId="5CC18E8B" w:rsidR="00954A27" w:rsidRDefault="00066C7B" w:rsidP="00352570">
      <w:pPr>
        <w:pStyle w:val="Bodytextnumbered"/>
      </w:pPr>
      <w:r>
        <w:t xml:space="preserve">Given this evidence, the Committee should recommend to government that this Bill not proceed, and that the $10 million in funding allocated to establishing the register </w:t>
      </w:r>
      <w:r w:rsidR="00D20827">
        <w:t>be divert</w:t>
      </w:r>
      <w:r w:rsidR="0067711A">
        <w:t xml:space="preserve">ed to </w:t>
      </w:r>
      <w:r w:rsidR="00D20827" w:rsidRPr="00C903CD">
        <w:t xml:space="preserve">support evidence-based strategies </w:t>
      </w:r>
      <w:r w:rsidR="00D20827">
        <w:t>that will</w:t>
      </w:r>
      <w:r w:rsidR="00D20827" w:rsidRPr="00C903CD">
        <w:t xml:space="preserve"> reduc</w:t>
      </w:r>
      <w:r w:rsidR="00D20827">
        <w:t>e</w:t>
      </w:r>
      <w:r w:rsidR="00D20827" w:rsidRPr="00C903CD">
        <w:t xml:space="preserve"> child sexual abuse</w:t>
      </w:r>
      <w:r w:rsidR="00954A27">
        <w:t xml:space="preserve"> (</w:t>
      </w:r>
      <w:r w:rsidR="00954A27" w:rsidRPr="00954A27">
        <w:rPr>
          <w:b/>
          <w:bCs/>
        </w:rPr>
        <w:t xml:space="preserve">RECOMMENDATION </w:t>
      </w:r>
      <w:r w:rsidR="00E145D2">
        <w:rPr>
          <w:b/>
          <w:bCs/>
        </w:rPr>
        <w:t>1A</w:t>
      </w:r>
      <w:r w:rsidR="00954A27">
        <w:t>)</w:t>
      </w:r>
      <w:r w:rsidR="00AE6C0E">
        <w:t>.</w:t>
      </w:r>
    </w:p>
    <w:p w14:paraId="1C5535EB" w14:textId="4F75CB8C" w:rsidR="003355B7" w:rsidRDefault="00D2232C" w:rsidP="003355B7">
      <w:pPr>
        <w:pStyle w:val="Bodytextnumbered"/>
      </w:pPr>
      <w:r>
        <w:t>If the Bill proce</w:t>
      </w:r>
      <w:r w:rsidR="008E721F">
        <w:t>eds</w:t>
      </w:r>
      <w:r>
        <w:t xml:space="preserve">, </w:t>
      </w:r>
      <w:r w:rsidR="008E721F">
        <w:t xml:space="preserve">the Commission recommends that </w:t>
      </w:r>
      <w:r>
        <w:t>a</w:t>
      </w:r>
      <w:r w:rsidR="002563F6">
        <w:t>ppropriate mechanisms be put in place to monitor</w:t>
      </w:r>
      <w:r w:rsidR="00EA389D">
        <w:t xml:space="preserve"> the impact of the scheme on identified offenders, including </w:t>
      </w:r>
      <w:r w:rsidR="006B371F">
        <w:t>impacts on housing, employment, and future offending behaviours</w:t>
      </w:r>
      <w:r w:rsidR="0067711A">
        <w:t>,</w:t>
      </w:r>
      <w:r w:rsidR="006B371F">
        <w:t xml:space="preserve"> including in relation to </w:t>
      </w:r>
      <w:r>
        <w:t xml:space="preserve">sexual and </w:t>
      </w:r>
      <w:r w:rsidR="006B371F">
        <w:t xml:space="preserve">non-sexual </w:t>
      </w:r>
      <w:r>
        <w:t>recidivism to ensure the scheme is not</w:t>
      </w:r>
      <w:r w:rsidR="007623E0">
        <w:t xml:space="preserve"> leading to </w:t>
      </w:r>
      <w:r>
        <w:t>increased offending</w:t>
      </w:r>
      <w:r w:rsidR="006B371F">
        <w:t xml:space="preserve"> (</w:t>
      </w:r>
      <w:r w:rsidR="006B371F" w:rsidRPr="006B371F">
        <w:rPr>
          <w:b/>
          <w:bCs/>
        </w:rPr>
        <w:t xml:space="preserve">RECOMMENDATION </w:t>
      </w:r>
      <w:r w:rsidR="00E145D2">
        <w:rPr>
          <w:b/>
          <w:bCs/>
        </w:rPr>
        <w:t>2</w:t>
      </w:r>
      <w:r w:rsidR="006B371F">
        <w:t>)</w:t>
      </w:r>
      <w:r w:rsidR="00AE6C0E">
        <w:t>.</w:t>
      </w:r>
    </w:p>
    <w:p w14:paraId="49729D62" w14:textId="4C752351" w:rsidR="002C00BD" w:rsidRPr="00C024EF" w:rsidRDefault="0067711A" w:rsidP="00352570">
      <w:pPr>
        <w:pStyle w:val="Bodytextnumbered"/>
      </w:pPr>
      <w:r>
        <w:t>T</w:t>
      </w:r>
      <w:r w:rsidR="006E7005" w:rsidRPr="00C024EF">
        <w:t xml:space="preserve">he WA Evaluation </w:t>
      </w:r>
      <w:r w:rsidR="00733E67" w:rsidRPr="00C024EF">
        <w:t xml:space="preserve">found </w:t>
      </w:r>
      <w:r w:rsidR="002C00BD" w:rsidRPr="00C024EF">
        <w:t xml:space="preserve">there is not a clear understanding about how the information </w:t>
      </w:r>
      <w:r w:rsidR="00343CE7" w:rsidRPr="00C024EF">
        <w:t xml:space="preserve">provided </w:t>
      </w:r>
      <w:r>
        <w:t>through</w:t>
      </w:r>
      <w:r w:rsidRPr="00C024EF">
        <w:t xml:space="preserve"> </w:t>
      </w:r>
      <w:r w:rsidR="00343CE7" w:rsidRPr="00C024EF">
        <w:t>the public register c</w:t>
      </w:r>
      <w:r w:rsidR="002C00BD" w:rsidRPr="00C024EF">
        <w:t xml:space="preserve">ould best be used to enhance child protection and community safety. </w:t>
      </w:r>
      <w:r w:rsidR="00B67A7F" w:rsidRPr="00C024EF">
        <w:t xml:space="preserve">The reviewers recommended that </w:t>
      </w:r>
      <w:r w:rsidR="00422F9B" w:rsidRPr="00C024EF">
        <w:t>the public register website ‘incorporate additional, targeted information to assist individuals and communities to adopt protective behaviours and implement situational crime prevention strategies’.</w:t>
      </w:r>
      <w:r w:rsidR="00422F9B" w:rsidRPr="00C024EF">
        <w:rPr>
          <w:rStyle w:val="FootnoteReference"/>
        </w:rPr>
        <w:footnoteReference w:id="36"/>
      </w:r>
      <w:r w:rsidR="00422F9B" w:rsidRPr="00C024EF">
        <w:t xml:space="preserve"> The Commission similarly recommends the Queensland website </w:t>
      </w:r>
      <w:r w:rsidR="000F002B" w:rsidRPr="00C024EF">
        <w:t xml:space="preserve">incorporate additional information to assist parents and families </w:t>
      </w:r>
      <w:r w:rsidR="00C024EF" w:rsidRPr="00C024EF">
        <w:t>keep their children safe (</w:t>
      </w:r>
      <w:r w:rsidR="00C024EF" w:rsidRPr="00C024EF">
        <w:rPr>
          <w:b/>
          <w:bCs/>
        </w:rPr>
        <w:t xml:space="preserve">RECOMMENDATION </w:t>
      </w:r>
      <w:r w:rsidR="00E145D2">
        <w:rPr>
          <w:b/>
          <w:bCs/>
        </w:rPr>
        <w:t>3</w:t>
      </w:r>
      <w:r w:rsidR="00C024EF" w:rsidRPr="00C024EF">
        <w:t>)</w:t>
      </w:r>
      <w:r w:rsidR="00AE6C0E">
        <w:t>.</w:t>
      </w:r>
    </w:p>
    <w:p w14:paraId="43AF0369" w14:textId="74BFBC4B" w:rsidR="003E49D1" w:rsidRPr="0063133F" w:rsidRDefault="00934A29" w:rsidP="00E37564">
      <w:pPr>
        <w:pStyle w:val="Bodytextnumbered"/>
      </w:pPr>
      <w:r w:rsidRPr="003E49D1">
        <w:lastRenderedPageBreak/>
        <w:t xml:space="preserve">The WA Evaluation also found </w:t>
      </w:r>
      <w:r w:rsidR="00733E67" w:rsidRPr="003E49D1">
        <w:t xml:space="preserve">the information released </w:t>
      </w:r>
      <w:r w:rsidR="009B7E06" w:rsidRPr="003E49D1">
        <w:t xml:space="preserve">through </w:t>
      </w:r>
      <w:r w:rsidR="00733E67" w:rsidRPr="003E49D1">
        <w:t xml:space="preserve">the public register website was </w:t>
      </w:r>
      <w:r w:rsidR="000653A4" w:rsidRPr="003E49D1">
        <w:t>complex and</w:t>
      </w:r>
      <w:r w:rsidR="00733E67" w:rsidRPr="003E49D1">
        <w:t xml:space="preserve"> a possibility </w:t>
      </w:r>
      <w:r w:rsidR="00A87A11" w:rsidRPr="003E49D1">
        <w:t xml:space="preserve">existed that </w:t>
      </w:r>
      <w:r w:rsidR="00733E67" w:rsidRPr="003E49D1">
        <w:t>mistaken conclusions c</w:t>
      </w:r>
      <w:r w:rsidR="000653A4" w:rsidRPr="003E49D1">
        <w:t>ould</w:t>
      </w:r>
      <w:r w:rsidR="00733E67" w:rsidRPr="003E49D1">
        <w:t xml:space="preserve"> be drawn</w:t>
      </w:r>
      <w:r w:rsidR="000653A4" w:rsidRPr="003E49D1">
        <w:t>.</w:t>
      </w:r>
      <w:r w:rsidR="0063133F" w:rsidRPr="000D4E07">
        <w:rPr>
          <w:rStyle w:val="FootnoteReference"/>
        </w:rPr>
        <w:footnoteReference w:id="37"/>
      </w:r>
      <w:r w:rsidR="000653A4" w:rsidRPr="003E49D1">
        <w:t xml:space="preserve"> The government should avoid similar issues by including </w:t>
      </w:r>
      <w:r w:rsidR="00733E67" w:rsidRPr="003E49D1">
        <w:t xml:space="preserve">more contextual information </w:t>
      </w:r>
      <w:r w:rsidR="000653A4" w:rsidRPr="003E49D1">
        <w:t>on the relevant website</w:t>
      </w:r>
      <w:r w:rsidR="00733E67" w:rsidRPr="003E49D1">
        <w:t xml:space="preserve"> to further explain who is, and who is not, included in the </w:t>
      </w:r>
      <w:r w:rsidR="000653A4" w:rsidRPr="003E49D1">
        <w:t>public register s</w:t>
      </w:r>
      <w:r w:rsidR="00733E67" w:rsidRPr="003E49D1">
        <w:t>cheme and what the information means</w:t>
      </w:r>
      <w:r w:rsidR="0065105C">
        <w:t xml:space="preserve"> </w:t>
      </w:r>
      <w:r w:rsidR="0065105C" w:rsidRPr="003E49D1">
        <w:t>(</w:t>
      </w:r>
      <w:r w:rsidR="0065105C" w:rsidRPr="003E49D1">
        <w:rPr>
          <w:b/>
          <w:bCs/>
        </w:rPr>
        <w:t xml:space="preserve">RECOMMENDATION </w:t>
      </w:r>
      <w:r w:rsidR="00E145D2">
        <w:rPr>
          <w:b/>
          <w:bCs/>
        </w:rPr>
        <w:t>3A</w:t>
      </w:r>
      <w:r w:rsidR="0065105C" w:rsidRPr="003E49D1">
        <w:t>)</w:t>
      </w:r>
      <w:r w:rsidR="00AE6C0E" w:rsidRPr="003E49D1">
        <w:t>.</w:t>
      </w:r>
    </w:p>
    <w:p w14:paraId="76C5938B" w14:textId="47686A97" w:rsidR="00ED22BB" w:rsidRDefault="00983A21" w:rsidP="00412E4A">
      <w:pPr>
        <w:pStyle w:val="Heading2"/>
        <w:ind w:left="0" w:firstLine="0"/>
      </w:pPr>
      <w:bookmarkStart w:id="6" w:name="_Toc208387248"/>
      <w:r>
        <w:t>Existing mechanisms are less restrictive</w:t>
      </w:r>
      <w:bookmarkEnd w:id="6"/>
      <w:r w:rsidR="00B149C4">
        <w:t xml:space="preserve"> </w:t>
      </w:r>
    </w:p>
    <w:p w14:paraId="0EA3930B" w14:textId="0C09ADBC" w:rsidR="00C87A9A" w:rsidRPr="00F75A9A" w:rsidRDefault="007F786F" w:rsidP="00412E4A">
      <w:pPr>
        <w:pStyle w:val="Bodytextnumbered"/>
      </w:pPr>
      <w:r>
        <w:t>Importantly, t</w:t>
      </w:r>
      <w:r w:rsidR="00C87A9A" w:rsidRPr="00F75A9A">
        <w:t xml:space="preserve">here are existing mechanisms by which parents in Queensland can be provided with information in relation to reportable offenders to support them to take protective actions to safeguard their children. </w:t>
      </w:r>
    </w:p>
    <w:p w14:paraId="6AB48BC4" w14:textId="36C74E7F" w:rsidR="00287869" w:rsidRDefault="00C87A9A" w:rsidP="00C87A9A">
      <w:pPr>
        <w:pStyle w:val="Bodytextnumbered"/>
      </w:pPr>
      <w:r w:rsidRPr="00F75A9A">
        <w:t xml:space="preserve">The </w:t>
      </w:r>
      <w:r w:rsidRPr="003641D9">
        <w:t>CPOROPOA</w:t>
      </w:r>
      <w:r w:rsidRPr="00F75A9A">
        <w:t xml:space="preserve"> </w:t>
      </w:r>
      <w:r w:rsidR="00567231">
        <w:t>currently</w:t>
      </w:r>
      <w:r w:rsidRPr="00F75A9A">
        <w:t xml:space="preserve"> permits the Queensland Police Service (QPS) to release information about a reportable offender to a person, including a parent or guardian of a child, if it is reasonably necessary and appropriate to reduce a risk to the lives or sexual safety of one or more children or of children generally.</w:t>
      </w:r>
      <w:r>
        <w:rPr>
          <w:rStyle w:val="FootnoteReference"/>
        </w:rPr>
        <w:footnoteReference w:id="38"/>
      </w:r>
      <w:r w:rsidRPr="00F75A9A">
        <w:t xml:space="preserve"> This power may be utilised in circumstances where police become aware of changes to a reportable offender’s contact with a child or children, for example if the offender reports that they have moved into accommodation where children are living.</w:t>
      </w:r>
      <w:r>
        <w:rPr>
          <w:rStyle w:val="FootnoteReference"/>
        </w:rPr>
        <w:footnoteReference w:id="39"/>
      </w:r>
      <w:r w:rsidRPr="00F75A9A">
        <w:t xml:space="preserve"> </w:t>
      </w:r>
    </w:p>
    <w:p w14:paraId="344CC3D8" w14:textId="09838670" w:rsidR="00C87A9A" w:rsidRPr="00F75A9A" w:rsidRDefault="00287869" w:rsidP="00C87A9A">
      <w:pPr>
        <w:pStyle w:val="Bodytextnumbered"/>
      </w:pPr>
      <w:r>
        <w:t xml:space="preserve">Additionally, </w:t>
      </w:r>
      <w:r w:rsidR="00456B19">
        <w:t>an</w:t>
      </w:r>
      <w:r w:rsidR="00C87A9A" w:rsidRPr="00F75A9A">
        <w:t xml:space="preserve"> authorised Queensland Corrective Services officer</w:t>
      </w:r>
      <w:r w:rsidR="00456B19">
        <w:t xml:space="preserve"> may</w:t>
      </w:r>
      <w:r w:rsidR="00C87A9A" w:rsidRPr="00F75A9A">
        <w:t xml:space="preserve"> provide information about a person subject to a </w:t>
      </w:r>
      <w:r w:rsidR="00C87A9A">
        <w:t xml:space="preserve">DPSOA </w:t>
      </w:r>
      <w:r w:rsidR="00C87A9A" w:rsidRPr="00F75A9A">
        <w:t>supervision order to a parent, guardian</w:t>
      </w:r>
      <w:r w:rsidR="00C87A9A">
        <w:t>,</w:t>
      </w:r>
      <w:r w:rsidR="00C87A9A" w:rsidRPr="00F75A9A">
        <w:t xml:space="preserve"> or caregiver.</w:t>
      </w:r>
      <w:r w:rsidR="00C87A9A">
        <w:rPr>
          <w:rStyle w:val="FootnoteReference"/>
        </w:rPr>
        <w:footnoteReference w:id="40"/>
      </w:r>
    </w:p>
    <w:p w14:paraId="25597690" w14:textId="04FB5390" w:rsidR="004D6906" w:rsidRDefault="00C87A9A" w:rsidP="00C87A9A">
      <w:pPr>
        <w:pStyle w:val="Bodytextnumbered"/>
      </w:pPr>
      <w:r>
        <w:t xml:space="preserve">Neither the Statement of Compatibility for the Bill nor the Explanatory Notes indicate why these existing mechanisms, which are less restrictive </w:t>
      </w:r>
      <w:r w:rsidR="008C71D0">
        <w:t>and clearly available alternatives</w:t>
      </w:r>
      <w:r>
        <w:t xml:space="preserve">, are not sufficient. </w:t>
      </w:r>
    </w:p>
    <w:p w14:paraId="4E8E9501" w14:textId="167F1BC8" w:rsidR="00C87A9A" w:rsidRDefault="00C87A9A" w:rsidP="00C87A9A">
      <w:pPr>
        <w:pStyle w:val="Bodytextnumbered"/>
      </w:pPr>
      <w:r w:rsidRPr="00F75A9A">
        <w:t xml:space="preserve">Additionally, while the effectiveness of non-public child sex offender register are yet to be evaluated in an Australian context, studies conducted in the United States indicate non-public sex offender registers </w:t>
      </w:r>
      <w:r>
        <w:t>have led to a</w:t>
      </w:r>
      <w:r w:rsidRPr="00F75A9A">
        <w:t xml:space="preserve"> decrease the overall number of sex offences.</w:t>
      </w:r>
      <w:r w:rsidRPr="008C57CD">
        <w:rPr>
          <w:rStyle w:val="FootnoteReference"/>
        </w:rPr>
        <w:footnoteReference w:id="41"/>
      </w:r>
    </w:p>
    <w:p w14:paraId="23071439" w14:textId="2C500A9A" w:rsidR="0010111C" w:rsidRDefault="00042B45" w:rsidP="0010111C">
      <w:pPr>
        <w:pStyle w:val="Bodytextnumbered"/>
      </w:pPr>
      <w:r>
        <w:lastRenderedPageBreak/>
        <w:t xml:space="preserve">This indicates the existing mechanisms </w:t>
      </w:r>
      <w:r w:rsidR="0010111C">
        <w:t xml:space="preserve">under the CPOROPOA and DPSOA </w:t>
      </w:r>
      <w:r w:rsidR="002E5A50">
        <w:t>are a less restrictive, reasonably available</w:t>
      </w:r>
      <w:r w:rsidR="005B62F5">
        <w:t xml:space="preserve"> and more effective</w:t>
      </w:r>
      <w:r w:rsidR="002E5A50">
        <w:t xml:space="preserve"> means of achieving the </w:t>
      </w:r>
      <w:r w:rsidR="0010111C">
        <w:t>purpose of the Bill to provide parents with sufficient information</w:t>
      </w:r>
      <w:r w:rsidR="004C46E5">
        <w:t xml:space="preserve">. </w:t>
      </w:r>
      <w:r w:rsidR="0010111C">
        <w:t xml:space="preserve">The government should </w:t>
      </w:r>
      <w:r w:rsidR="00D65A19">
        <w:t>conduct a formal evaluation of</w:t>
      </w:r>
      <w:r w:rsidR="0010111C">
        <w:t xml:space="preserve"> the</w:t>
      </w:r>
      <w:r w:rsidR="00D65A19">
        <w:t xml:space="preserve"> effectiveness of</w:t>
      </w:r>
      <w:r w:rsidR="0010111C">
        <w:t xml:space="preserve"> existing mechanisms</w:t>
      </w:r>
      <w:r w:rsidR="00D65A19">
        <w:t xml:space="preserve"> </w:t>
      </w:r>
      <w:r w:rsidR="0010111C">
        <w:t xml:space="preserve">before </w:t>
      </w:r>
      <w:r w:rsidR="00E6708A">
        <w:t>proceeding with this Bill (</w:t>
      </w:r>
      <w:r w:rsidR="00E6708A" w:rsidRPr="00412E4A">
        <w:rPr>
          <w:b/>
          <w:bCs/>
        </w:rPr>
        <w:t xml:space="preserve">RECOMMENDATION </w:t>
      </w:r>
      <w:r w:rsidR="00E145D2">
        <w:rPr>
          <w:b/>
          <w:bCs/>
        </w:rPr>
        <w:t>4</w:t>
      </w:r>
      <w:r w:rsidR="00E6708A">
        <w:t>).</w:t>
      </w:r>
    </w:p>
    <w:p w14:paraId="5570A873" w14:textId="417F5FE4" w:rsidR="00B61073" w:rsidRPr="00C87A9A" w:rsidRDefault="00E171E8" w:rsidP="00C87A9A">
      <w:pPr>
        <w:pStyle w:val="Bodytextnumbered"/>
        <w:numPr>
          <w:ilvl w:val="0"/>
          <w:numId w:val="0"/>
        </w:numPr>
        <w:rPr>
          <w:color w:val="347B9F"/>
          <w:sz w:val="36"/>
          <w:szCs w:val="36"/>
        </w:rPr>
      </w:pPr>
      <w:r w:rsidRPr="00C87A9A">
        <w:rPr>
          <w:color w:val="347B9F"/>
          <w:sz w:val="36"/>
          <w:szCs w:val="36"/>
        </w:rPr>
        <w:t>U</w:t>
      </w:r>
      <w:r w:rsidR="00B61073" w:rsidRPr="00C87A9A">
        <w:rPr>
          <w:color w:val="347B9F"/>
          <w:sz w:val="36"/>
          <w:szCs w:val="36"/>
        </w:rPr>
        <w:t>nderm</w:t>
      </w:r>
      <w:r w:rsidR="00042438" w:rsidRPr="00C87A9A">
        <w:rPr>
          <w:color w:val="347B9F"/>
          <w:sz w:val="36"/>
          <w:szCs w:val="36"/>
        </w:rPr>
        <w:t>in</w:t>
      </w:r>
      <w:r w:rsidRPr="00C87A9A">
        <w:rPr>
          <w:color w:val="347B9F"/>
          <w:sz w:val="36"/>
          <w:szCs w:val="36"/>
        </w:rPr>
        <w:t>ing</w:t>
      </w:r>
      <w:r w:rsidR="00B61073" w:rsidRPr="00C87A9A">
        <w:rPr>
          <w:color w:val="347B9F"/>
          <w:sz w:val="36"/>
          <w:szCs w:val="36"/>
        </w:rPr>
        <w:t xml:space="preserve"> victims’ rights </w:t>
      </w:r>
    </w:p>
    <w:p w14:paraId="56A26AD4" w14:textId="118C45F2" w:rsidR="00962095" w:rsidRDefault="00962095" w:rsidP="00962095">
      <w:pPr>
        <w:pStyle w:val="Bodytextnumbered"/>
      </w:pPr>
      <w:r w:rsidRPr="00962095">
        <w:t>Contrary to the government’s commitment to support victims of crime, this Bill is likely to have adverse consequences for victims of crime</w:t>
      </w:r>
      <w:r w:rsidR="00735F94">
        <w:t xml:space="preserve">, including victims of </w:t>
      </w:r>
      <w:r w:rsidR="0065105C">
        <w:t xml:space="preserve">child </w:t>
      </w:r>
      <w:r w:rsidR="00735F94">
        <w:t>sexual offen</w:t>
      </w:r>
      <w:r w:rsidR="0065105C">
        <w:t>ces</w:t>
      </w:r>
      <w:r w:rsidR="00735F94">
        <w:t xml:space="preserve">. </w:t>
      </w:r>
    </w:p>
    <w:p w14:paraId="38D05797" w14:textId="622D8A12" w:rsidR="001C0EF9" w:rsidRDefault="001C0EF9" w:rsidP="00AD34BB">
      <w:pPr>
        <w:pStyle w:val="Bodytextnumbered"/>
      </w:pPr>
      <w:r>
        <w:t>As noted above, t</w:t>
      </w:r>
      <w:r w:rsidR="00A6168D" w:rsidRPr="00A6168D">
        <w:t>he vast majority of sexual offences are perpetrated by someone known to the victim.</w:t>
      </w:r>
      <w:r w:rsidR="0065105C">
        <w:rPr>
          <w:rStyle w:val="FootnoteReference"/>
        </w:rPr>
        <w:footnoteReference w:id="42"/>
      </w:r>
      <w:r w:rsidR="00A6168D" w:rsidRPr="00A6168D">
        <w:t xml:space="preserve"> As such, there is a risk that the </w:t>
      </w:r>
      <w:r w:rsidR="00BA2346">
        <w:t>publication of a</w:t>
      </w:r>
      <w:r w:rsidR="00B824D6">
        <w:t xml:space="preserve"> reportable</w:t>
      </w:r>
      <w:r w:rsidR="00A6168D" w:rsidRPr="00A6168D">
        <w:t xml:space="preserve"> offender</w:t>
      </w:r>
      <w:r w:rsidR="00BA2346">
        <w:t>’s details</w:t>
      </w:r>
      <w:r w:rsidR="00A6168D" w:rsidRPr="00A6168D">
        <w:t xml:space="preserve"> could lead to the identification of </w:t>
      </w:r>
      <w:r w:rsidR="00B824D6">
        <w:t>their victim or victims</w:t>
      </w:r>
      <w:r w:rsidR="00A6168D" w:rsidRPr="00A6168D">
        <w:t xml:space="preserve">. This risk </w:t>
      </w:r>
      <w:r w:rsidR="00AD02FB">
        <w:t xml:space="preserve">will </w:t>
      </w:r>
      <w:r w:rsidR="00A6168D" w:rsidRPr="00A6168D">
        <w:t xml:space="preserve">substantially increase where the perpetrator and/or victim are located in a small rural, regional, or remote area. </w:t>
      </w:r>
    </w:p>
    <w:p w14:paraId="737C3035" w14:textId="7298C60E" w:rsidR="00A6168D" w:rsidRDefault="00A6168D" w:rsidP="00AD34BB">
      <w:pPr>
        <w:pStyle w:val="Bodytextnumbered"/>
      </w:pPr>
      <w:r w:rsidRPr="00A6168D">
        <w:t>Where a victim is identified, th</w:t>
      </w:r>
      <w:r w:rsidR="001C0EF9">
        <w:t>is</w:t>
      </w:r>
      <w:r w:rsidRPr="00A6168D">
        <w:t xml:space="preserve"> will amount to a substantial limit on their right to privacy (section 25</w:t>
      </w:r>
      <w:r w:rsidR="00605E13">
        <w:t>, Human Rights Act</w:t>
      </w:r>
      <w:r w:rsidRPr="00A6168D">
        <w:t xml:space="preserve">). Where identification leads to harassment, intimidation, or further abuse, this </w:t>
      </w:r>
      <w:r w:rsidR="00AD02FB">
        <w:t xml:space="preserve">will result in further limits on that right and </w:t>
      </w:r>
      <w:r w:rsidRPr="00A6168D">
        <w:t xml:space="preserve">could limit the victim’s right to be free from </w:t>
      </w:r>
      <w:r w:rsidR="001C0EF9">
        <w:t xml:space="preserve">torture and </w:t>
      </w:r>
      <w:r w:rsidRPr="00A6168D">
        <w:t>cruel inhuman or degrading treatment (section 17</w:t>
      </w:r>
      <w:r w:rsidR="00605E13">
        <w:t>, Human Rights Act</w:t>
      </w:r>
      <w:r w:rsidRPr="00A6168D">
        <w:t xml:space="preserve">). </w:t>
      </w:r>
    </w:p>
    <w:p w14:paraId="46383880" w14:textId="21ABF5B3" w:rsidR="00457058" w:rsidRDefault="005033BE" w:rsidP="00352570">
      <w:pPr>
        <w:pStyle w:val="Bodytextnumbered"/>
      </w:pPr>
      <w:r>
        <w:t>On 27 August 2025, the</w:t>
      </w:r>
      <w:r w:rsidR="00332542">
        <w:t xml:space="preserve"> Honourable Dan Purdie MP, Minister for Police and </w:t>
      </w:r>
      <w:r w:rsidR="006A0609">
        <w:t>Emergency Services</w:t>
      </w:r>
      <w:r w:rsidR="00332542">
        <w:t xml:space="preserve"> </w:t>
      </w:r>
      <w:r>
        <w:t xml:space="preserve">advised </w:t>
      </w:r>
      <w:r w:rsidR="006A0609">
        <w:t>the Queensland P</w:t>
      </w:r>
      <w:r>
        <w:t xml:space="preserve">arliament </w:t>
      </w:r>
      <w:r w:rsidR="006A0609">
        <w:t xml:space="preserve">that </w:t>
      </w:r>
      <w:r w:rsidR="00A738CD" w:rsidRPr="00E03BB4">
        <w:t>to date there has been no known instance of a victim being identified as a result of a publication or disclosure under the scheme</w:t>
      </w:r>
      <w:r w:rsidR="006A0609">
        <w:t xml:space="preserve"> in Western Australia</w:t>
      </w:r>
      <w:r w:rsidR="00A738CD" w:rsidRPr="00E03BB4">
        <w:t>.</w:t>
      </w:r>
      <w:r w:rsidR="00A738CD">
        <w:rPr>
          <w:rStyle w:val="FootnoteReference"/>
        </w:rPr>
        <w:footnoteReference w:id="43"/>
      </w:r>
      <w:r w:rsidR="00A738CD">
        <w:t xml:space="preserve"> This may be because</w:t>
      </w:r>
      <w:r w:rsidR="00FA23D0">
        <w:t>, in determining whether or not to publish any personal details of a reportable offender</w:t>
      </w:r>
      <w:r w:rsidR="00537FF0">
        <w:t xml:space="preserve"> </w:t>
      </w:r>
      <w:r w:rsidR="003A085F">
        <w:t>who has failed to comply with their reporting obligations or to provide the details of an offender to a person who resides in the same locality</w:t>
      </w:r>
      <w:r w:rsidR="00FA23D0">
        <w:t xml:space="preserve">, the </w:t>
      </w:r>
      <w:r w:rsidR="00A738CD">
        <w:t xml:space="preserve">Western Australian </w:t>
      </w:r>
      <w:r w:rsidR="00DB1B65">
        <w:t>Police Commissioner</w:t>
      </w:r>
      <w:r w:rsidR="00FA23D0">
        <w:t xml:space="preserve"> may take into account </w:t>
      </w:r>
      <w:r w:rsidR="00387F2D">
        <w:t xml:space="preserve">‘whether, </w:t>
      </w:r>
      <w:r w:rsidR="00387F2D" w:rsidRPr="00387F2D">
        <w:t xml:space="preserve">in statements made by the victim to the </w:t>
      </w:r>
      <w:r w:rsidR="00600B65">
        <w:t>C</w:t>
      </w:r>
      <w:r w:rsidR="00387F2D" w:rsidRPr="00387F2D">
        <w:t>ommissioner, the publication of the identifying information about the person has been supported or opposed by a victim of an offence committed by the person</w:t>
      </w:r>
      <w:r w:rsidR="00387F2D">
        <w:t>’.</w:t>
      </w:r>
      <w:r w:rsidR="002C57E5">
        <w:rPr>
          <w:rStyle w:val="FootnoteReference"/>
        </w:rPr>
        <w:footnoteReference w:id="44"/>
      </w:r>
      <w:r w:rsidR="005A6ABD">
        <w:t xml:space="preserve"> </w:t>
      </w:r>
    </w:p>
    <w:p w14:paraId="3617DD4B" w14:textId="2A65E6A9" w:rsidR="00B37E6C" w:rsidRDefault="003D56D2" w:rsidP="00352570">
      <w:pPr>
        <w:pStyle w:val="Bodytextnumbered"/>
      </w:pPr>
      <w:r>
        <w:lastRenderedPageBreak/>
        <w:t>Similar</w:t>
      </w:r>
      <w:r w:rsidR="000276BC">
        <w:t xml:space="preserve">ly </w:t>
      </w:r>
      <w:r w:rsidR="005A203C">
        <w:t>in</w:t>
      </w:r>
      <w:r>
        <w:t xml:space="preserve"> South Australia</w:t>
      </w:r>
      <w:r w:rsidR="005A203C">
        <w:t>,</w:t>
      </w:r>
      <w:r>
        <w:t xml:space="preserve"> </w:t>
      </w:r>
      <w:r w:rsidR="00840CE1">
        <w:t>before publishing identifying information</w:t>
      </w:r>
      <w:r w:rsidR="00216E7A">
        <w:t xml:space="preserve"> of an offender who has not complied with their reporting obligations</w:t>
      </w:r>
      <w:r w:rsidR="00FA169F">
        <w:t>,</w:t>
      </w:r>
      <w:r w:rsidR="00840CE1">
        <w:t xml:space="preserve"> the </w:t>
      </w:r>
      <w:r w:rsidR="005A203C">
        <w:t xml:space="preserve">South Australian </w:t>
      </w:r>
      <w:r w:rsidR="00DB1B65">
        <w:t>Police Commissioner</w:t>
      </w:r>
      <w:r w:rsidR="00840CE1">
        <w:t xml:space="preserve"> must take reasonable steps to consult with any persons who may be adversely affected and m</w:t>
      </w:r>
      <w:r w:rsidR="00562B3C">
        <w:t>ust consider whether publication may lead to the identification of a victim</w:t>
      </w:r>
      <w:r w:rsidR="006B3DDE">
        <w:t>.</w:t>
      </w:r>
      <w:r w:rsidR="00D11570">
        <w:rPr>
          <w:rStyle w:val="FootnoteReference"/>
        </w:rPr>
        <w:footnoteReference w:id="45"/>
      </w:r>
      <w:r w:rsidR="00216E7A">
        <w:t xml:space="preserve"> </w:t>
      </w:r>
      <w:r w:rsidR="00404EA5">
        <w:t xml:space="preserve">Additionally, before providing information about an offender </w:t>
      </w:r>
      <w:r w:rsidR="00407710">
        <w:t xml:space="preserve">who resides in the same locality to a person, and before informing a child’s parent or guardian whether a person is a reportable (registerable) offender, the </w:t>
      </w:r>
      <w:r w:rsidR="00012A8A">
        <w:t>Police Commissioner must have regard to whether t</w:t>
      </w:r>
      <w:r w:rsidR="00A73743">
        <w:t>his is reasonably likely to identify a victim.</w:t>
      </w:r>
      <w:r w:rsidR="00A73743">
        <w:rPr>
          <w:rStyle w:val="FootnoteReference"/>
        </w:rPr>
        <w:footnoteReference w:id="46"/>
      </w:r>
      <w:r w:rsidR="00A73743">
        <w:t xml:space="preserve"> </w:t>
      </w:r>
    </w:p>
    <w:p w14:paraId="09AEC7ED" w14:textId="2950B83D" w:rsidR="00737193" w:rsidRDefault="006F71A0" w:rsidP="00352570">
      <w:pPr>
        <w:pStyle w:val="Bodytextnumbered"/>
      </w:pPr>
      <w:r>
        <w:t>The Bill should be a</w:t>
      </w:r>
      <w:r w:rsidR="00754883">
        <w:t>mended to</w:t>
      </w:r>
      <w:r w:rsidR="00CB318C">
        <w:t xml:space="preserve"> require that when determining whether to publish information under </w:t>
      </w:r>
      <w:r w:rsidR="00754883">
        <w:t>all tiers</w:t>
      </w:r>
      <w:r w:rsidR="00FA169F">
        <w:t>,</w:t>
      </w:r>
      <w:r w:rsidR="00CB318C">
        <w:t xml:space="preserve"> the</w:t>
      </w:r>
      <w:r w:rsidR="00AD34BB">
        <w:t xml:space="preserve"> </w:t>
      </w:r>
      <w:r w:rsidR="00DB1B65">
        <w:t>Police Commissioner</w:t>
      </w:r>
      <w:r w:rsidR="00AD34BB">
        <w:t xml:space="preserve"> </w:t>
      </w:r>
      <w:r w:rsidR="00CB318C" w:rsidRPr="00754883">
        <w:rPr>
          <w:i/>
          <w:iCs/>
        </w:rPr>
        <w:t>must</w:t>
      </w:r>
      <w:r w:rsidR="00CB318C">
        <w:t xml:space="preserve"> </w:t>
      </w:r>
      <w:r w:rsidR="00AD34BB">
        <w:t xml:space="preserve">consider </w:t>
      </w:r>
      <w:r w:rsidR="00387F2D">
        <w:t xml:space="preserve">whether publication is supported by the </w:t>
      </w:r>
      <w:r w:rsidR="00AD34BB">
        <w:t>victim</w:t>
      </w:r>
      <w:r w:rsidR="006C1E71">
        <w:t xml:space="preserve"> </w:t>
      </w:r>
      <w:r w:rsidR="006D1A5D">
        <w:t>(</w:t>
      </w:r>
      <w:r w:rsidR="006D1A5D" w:rsidRPr="006D1A5D">
        <w:rPr>
          <w:b/>
          <w:bCs/>
        </w:rPr>
        <w:t xml:space="preserve">RECOMMENDATION </w:t>
      </w:r>
      <w:r w:rsidR="009317D9">
        <w:rPr>
          <w:b/>
          <w:bCs/>
        </w:rPr>
        <w:t>5</w:t>
      </w:r>
      <w:r w:rsidR="00F60177">
        <w:rPr>
          <w:b/>
          <w:bCs/>
        </w:rPr>
        <w:t>A</w:t>
      </w:r>
      <w:r w:rsidR="006D1A5D">
        <w:t>)</w:t>
      </w:r>
      <w:r w:rsidR="00764378">
        <w:t>.</w:t>
      </w:r>
      <w:r w:rsidR="00AD34BB">
        <w:t xml:space="preserve"> </w:t>
      </w:r>
      <w:r w:rsidR="00B33A97">
        <w:t xml:space="preserve">To </w:t>
      </w:r>
      <w:r w:rsidR="00F1151A">
        <w:t>facilitate th</w:t>
      </w:r>
      <w:r w:rsidR="00AF20F3">
        <w:t>is amendment</w:t>
      </w:r>
      <w:r w:rsidR="00F1151A">
        <w:t xml:space="preserve">, the Bill </w:t>
      </w:r>
      <w:r w:rsidR="00B33A97" w:rsidRPr="00B33A97">
        <w:t xml:space="preserve">should be amended to </w:t>
      </w:r>
      <w:r w:rsidR="00F1151A">
        <w:t xml:space="preserve">provide for the </w:t>
      </w:r>
      <w:r w:rsidR="00DB1B65">
        <w:t>Police Commissioner</w:t>
      </w:r>
      <w:r w:rsidR="00F1151A">
        <w:t xml:space="preserve"> to seek submissions from victims of crime prior to publication of a reportable offender’s details</w:t>
      </w:r>
      <w:r w:rsidR="00FA169F">
        <w:t xml:space="preserve"> </w:t>
      </w:r>
      <w:r w:rsidR="006D1A5D">
        <w:t>(</w:t>
      </w:r>
      <w:r w:rsidR="006D1A5D" w:rsidRPr="006D1A5D">
        <w:rPr>
          <w:b/>
          <w:bCs/>
        </w:rPr>
        <w:t xml:space="preserve">RECOMMENDATION </w:t>
      </w:r>
      <w:r w:rsidR="00CA52CC">
        <w:rPr>
          <w:b/>
          <w:bCs/>
        </w:rPr>
        <w:t>5</w:t>
      </w:r>
      <w:r w:rsidR="00F60177">
        <w:rPr>
          <w:b/>
          <w:bCs/>
        </w:rPr>
        <w:t>B</w:t>
      </w:r>
      <w:r w:rsidR="006D1A5D">
        <w:t>)</w:t>
      </w:r>
      <w:r w:rsidR="00764378">
        <w:t>.</w:t>
      </w:r>
    </w:p>
    <w:p w14:paraId="7B5C6A2F" w14:textId="522BCDA1" w:rsidR="00FA718D" w:rsidRDefault="00646A5F" w:rsidP="00352570">
      <w:pPr>
        <w:pStyle w:val="Bodytextnumbered"/>
      </w:pPr>
      <w:r>
        <w:t>Alternatively, at a minimum, the Bill should be amended to require that a victim be notified of the intention to publish information</w:t>
      </w:r>
      <w:r w:rsidR="00FE792F">
        <w:t xml:space="preserve"> and that the Commissioner </w:t>
      </w:r>
      <w:r w:rsidR="00FE792F" w:rsidRPr="00FE792F">
        <w:rPr>
          <w:i/>
          <w:iCs/>
        </w:rPr>
        <w:t xml:space="preserve">must </w:t>
      </w:r>
      <w:r w:rsidR="00FE792F">
        <w:t xml:space="preserve">consider the impacts of publication on a victim, including the likelihood that the victim will be identified </w:t>
      </w:r>
      <w:r w:rsidR="006D1A5D">
        <w:t>(</w:t>
      </w:r>
      <w:r w:rsidR="006D1A5D" w:rsidRPr="00FE792F">
        <w:rPr>
          <w:b/>
          <w:bCs/>
        </w:rPr>
        <w:t xml:space="preserve">RECOMMENDATION </w:t>
      </w:r>
      <w:r w:rsidR="00CA52CC">
        <w:rPr>
          <w:b/>
          <w:bCs/>
        </w:rPr>
        <w:t>5</w:t>
      </w:r>
      <w:r w:rsidR="003118D0">
        <w:rPr>
          <w:b/>
          <w:bCs/>
        </w:rPr>
        <w:t>C</w:t>
      </w:r>
      <w:r w:rsidR="006D1A5D">
        <w:t>)</w:t>
      </w:r>
      <w:r w:rsidR="00764378">
        <w:t>.</w:t>
      </w:r>
      <w:r>
        <w:t xml:space="preserve"> </w:t>
      </w:r>
      <w:r w:rsidR="00FA169F">
        <w:t>T</w:t>
      </w:r>
      <w:r w:rsidR="00671ADB">
        <w:t xml:space="preserve">he government should </w:t>
      </w:r>
      <w:r w:rsidR="00FA169F">
        <w:t xml:space="preserve">also </w:t>
      </w:r>
      <w:r w:rsidR="00671ADB">
        <w:t xml:space="preserve">establish mechanisms by which the impact </w:t>
      </w:r>
      <w:r w:rsidR="00737193">
        <w:t xml:space="preserve">of the Bill </w:t>
      </w:r>
      <w:r w:rsidR="00671ADB">
        <w:t xml:space="preserve">on victims </w:t>
      </w:r>
      <w:r w:rsidR="00FA169F">
        <w:t>is</w:t>
      </w:r>
      <w:r w:rsidR="00671ADB">
        <w:t xml:space="preserve"> </w:t>
      </w:r>
      <w:r w:rsidR="00737193">
        <w:t xml:space="preserve">collected. This </w:t>
      </w:r>
      <w:r w:rsidR="0017372E">
        <w:t>information must be considered as part of the proposed</w:t>
      </w:r>
      <w:r w:rsidR="00737193">
        <w:t xml:space="preserve"> </w:t>
      </w:r>
      <w:r w:rsidR="008E4048">
        <w:t>independent</w:t>
      </w:r>
      <w:r w:rsidR="0017372E">
        <w:t xml:space="preserve"> statutory review</w:t>
      </w:r>
      <w:r w:rsidR="006D1A5D">
        <w:t xml:space="preserve"> (</w:t>
      </w:r>
      <w:r w:rsidR="006D1A5D" w:rsidRPr="00FE792F">
        <w:rPr>
          <w:b/>
          <w:bCs/>
        </w:rPr>
        <w:t xml:space="preserve">RECOMMENDATION </w:t>
      </w:r>
      <w:r w:rsidR="00CA52CC">
        <w:rPr>
          <w:b/>
          <w:bCs/>
        </w:rPr>
        <w:t>5</w:t>
      </w:r>
      <w:r w:rsidR="003118D0">
        <w:rPr>
          <w:b/>
          <w:bCs/>
        </w:rPr>
        <w:t>D</w:t>
      </w:r>
      <w:r w:rsidR="006D1A5D">
        <w:t>)</w:t>
      </w:r>
      <w:r w:rsidR="00DF26E2">
        <w:t>.</w:t>
      </w:r>
    </w:p>
    <w:p w14:paraId="33798AB8" w14:textId="757C8190" w:rsidR="008B13FC" w:rsidRDefault="0017372E" w:rsidP="00352570">
      <w:pPr>
        <w:pStyle w:val="Bodytextnumbered"/>
      </w:pPr>
      <w:r>
        <w:t xml:space="preserve">Finally, </w:t>
      </w:r>
      <w:r w:rsidR="00C97445">
        <w:t>the government</w:t>
      </w:r>
      <w:r w:rsidR="00C5284C">
        <w:t xml:space="preserve"> should</w:t>
      </w:r>
      <w:r w:rsidR="008E4048">
        <w:t xml:space="preserve"> </w:t>
      </w:r>
      <w:r w:rsidR="00C97445">
        <w:t>commit to resourcing victim</w:t>
      </w:r>
      <w:r w:rsidR="00851A33">
        <w:t xml:space="preserve"> </w:t>
      </w:r>
      <w:r w:rsidR="00C97445">
        <w:t xml:space="preserve">support services to </w:t>
      </w:r>
      <w:r w:rsidR="00C103E1">
        <w:t>provide additional support to victims who are identified by the scheme or who suffer re-traumatisation following the publication of details of their offender (</w:t>
      </w:r>
      <w:r w:rsidR="00C103E1" w:rsidRPr="00DE2854">
        <w:rPr>
          <w:b/>
          <w:bCs/>
        </w:rPr>
        <w:t>RECOM</w:t>
      </w:r>
      <w:r w:rsidR="00DE2854" w:rsidRPr="00DE2854">
        <w:rPr>
          <w:b/>
          <w:bCs/>
        </w:rPr>
        <w:t xml:space="preserve">MENDATION </w:t>
      </w:r>
      <w:r w:rsidR="001614FE">
        <w:rPr>
          <w:b/>
          <w:bCs/>
        </w:rPr>
        <w:t>5</w:t>
      </w:r>
      <w:r w:rsidR="003118D0">
        <w:rPr>
          <w:b/>
          <w:bCs/>
        </w:rPr>
        <w:t>E</w:t>
      </w:r>
      <w:r w:rsidR="00C103E1">
        <w:t>)</w:t>
      </w:r>
      <w:r w:rsidR="00DF26E2">
        <w:t>.</w:t>
      </w:r>
    </w:p>
    <w:p w14:paraId="4C89A617" w14:textId="77777777" w:rsidR="0049177F" w:rsidRPr="00B00601" w:rsidRDefault="0049177F" w:rsidP="0049177F">
      <w:pPr>
        <w:pStyle w:val="Heading2"/>
      </w:pPr>
      <w:bookmarkStart w:id="7" w:name="_Toc208387249"/>
      <w:r>
        <w:t>U</w:t>
      </w:r>
      <w:r w:rsidRPr="00B00601">
        <w:t>ndermin</w:t>
      </w:r>
      <w:r>
        <w:t>ing</w:t>
      </w:r>
      <w:r w:rsidRPr="00B00601">
        <w:t xml:space="preserve"> families’ rights</w:t>
      </w:r>
      <w:bookmarkEnd w:id="7"/>
      <w:r w:rsidRPr="00B00601">
        <w:t xml:space="preserve"> </w:t>
      </w:r>
    </w:p>
    <w:p w14:paraId="57B5A548" w14:textId="77777777" w:rsidR="0049177F" w:rsidRPr="0049177F" w:rsidRDefault="0049177F" w:rsidP="0049177F">
      <w:pPr>
        <w:pStyle w:val="Bodytextnumbered"/>
      </w:pPr>
      <w:r>
        <w:t>Where reportable offenders are identified, their families and acquaintances may also suffer negative treatment</w:t>
      </w:r>
      <w:r w:rsidRPr="0049177F">
        <w:t>. One study in the United States found 16 per cent of offenders reported that their family members or other cohabitants of their residence had been harassed, attacked, or had property damaged as a result of their registration.</w:t>
      </w:r>
      <w:r>
        <w:rPr>
          <w:rStyle w:val="FootnoteReference"/>
          <w:rFonts w:eastAsia="MS Mincho" w:cs="Arial"/>
        </w:rPr>
        <w:footnoteReference w:id="47"/>
      </w:r>
      <w:r w:rsidRPr="0049177F">
        <w:t xml:space="preserve"> Where this occurs, the right of families and children to protection (section 26, Human Rights Act) as well as to freedom of movement and association (sections 19 and 22, Human Rights Act), and possibly to freedom from torture, and cruel, inhuman, or degrading treatment  (section 17, Human Rights Act) will be undermined. </w:t>
      </w:r>
    </w:p>
    <w:p w14:paraId="6E92AEB1" w14:textId="56436D4A" w:rsidR="0049177F" w:rsidRDefault="0049177F" w:rsidP="0049177F">
      <w:pPr>
        <w:pStyle w:val="Bodytextnumbered"/>
        <w:rPr>
          <w:rFonts w:eastAsia="MS Mincho" w:cs="Arial"/>
        </w:rPr>
      </w:pPr>
      <w:r>
        <w:lastRenderedPageBreak/>
        <w:t>The government should ensure the impacts of the Bill on families and cohabitants of reportable offenders is carefully monitored and considered in the context of the proposed independent statutory review (</w:t>
      </w:r>
      <w:r w:rsidRPr="00EC6146">
        <w:rPr>
          <w:b/>
          <w:bCs/>
        </w:rPr>
        <w:t xml:space="preserve">RECOMMENDATION </w:t>
      </w:r>
      <w:r w:rsidR="0007146D">
        <w:rPr>
          <w:b/>
          <w:bCs/>
        </w:rPr>
        <w:t>6</w:t>
      </w:r>
      <w:r>
        <w:t>).</w:t>
      </w:r>
      <w:r>
        <w:rPr>
          <w:rFonts w:eastAsia="MS Mincho" w:cs="Arial"/>
        </w:rPr>
        <w:t xml:space="preserve"> In addition, the proposed offences should be extended to criminalise conduct that incites or may incite the harassment or intimidation of the family or acquaintances of an identified offender (</w:t>
      </w:r>
      <w:r w:rsidRPr="001A43C8">
        <w:rPr>
          <w:rFonts w:eastAsia="MS Mincho" w:cs="Arial"/>
          <w:b/>
          <w:bCs/>
        </w:rPr>
        <w:t xml:space="preserve">RECOMMENDATION </w:t>
      </w:r>
      <w:r w:rsidR="00ED0058">
        <w:rPr>
          <w:rFonts w:eastAsia="MS Mincho" w:cs="Arial"/>
          <w:b/>
          <w:bCs/>
        </w:rPr>
        <w:t>7</w:t>
      </w:r>
      <w:r>
        <w:rPr>
          <w:rFonts w:eastAsia="MS Mincho" w:cs="Arial"/>
        </w:rPr>
        <w:t>).</w:t>
      </w:r>
    </w:p>
    <w:p w14:paraId="0C44BFF4" w14:textId="34EB8EF8" w:rsidR="0049177F" w:rsidRDefault="0049177F" w:rsidP="0049177F">
      <w:pPr>
        <w:pStyle w:val="Bodytextnumbered"/>
        <w:rPr>
          <w:rFonts w:eastAsia="MS Mincho" w:cs="Arial"/>
        </w:rPr>
      </w:pPr>
      <w:r>
        <w:rPr>
          <w:rFonts w:eastAsia="MS Mincho" w:cs="Arial"/>
        </w:rPr>
        <w:t>Finally</w:t>
      </w:r>
      <w:r w:rsidRPr="00CF09DF">
        <w:rPr>
          <w:rFonts w:eastAsia="MS Mincho" w:cs="Arial"/>
        </w:rPr>
        <w:t>, the government has presented the Bill as empowering parents to determine whether their child is at risk and take necessary action. The Commission considers that the Bill problematically shifts the burden of prevention onto parents</w:t>
      </w:r>
      <w:r>
        <w:rPr>
          <w:rFonts w:eastAsia="MS Mincho" w:cs="Arial"/>
        </w:rPr>
        <w:t xml:space="preserve"> and families</w:t>
      </w:r>
      <w:r w:rsidRPr="00CF09DF">
        <w:rPr>
          <w:rFonts w:eastAsia="MS Mincho" w:cs="Arial"/>
        </w:rPr>
        <w:t xml:space="preserve">. </w:t>
      </w:r>
      <w:r>
        <w:rPr>
          <w:rFonts w:eastAsia="MS Mincho" w:cs="Arial"/>
        </w:rPr>
        <w:t>The role of monitoring and policing offenders is appropriately owned by the relevant authorities which have the necessary powers to monitor and police reportable offenders. This Bill may result in parents feeling as though they are required to take on the additional burden of enquiring after the reportable offender status of all persons with whom their child has contact. This is illustrated by the experience in Western Australia which demonstrated that only 48 per cent of respondents to a survey felt the information provided via the Western Australian register would help them protect a child or vulnerable person.</w:t>
      </w:r>
      <w:r>
        <w:rPr>
          <w:rStyle w:val="FootnoteReference"/>
          <w:rFonts w:eastAsia="MS Mincho" w:cs="Arial"/>
        </w:rPr>
        <w:footnoteReference w:id="48"/>
      </w:r>
    </w:p>
    <w:p w14:paraId="194553FC" w14:textId="3D0540F1" w:rsidR="003D6092" w:rsidRDefault="00FA7E82" w:rsidP="0049177F">
      <w:pPr>
        <w:pStyle w:val="Heading2"/>
      </w:pPr>
      <w:bookmarkStart w:id="8" w:name="_Toc208387250"/>
      <w:r>
        <w:t xml:space="preserve">Limiting </w:t>
      </w:r>
      <w:r w:rsidR="007D791B">
        <w:t>offenders’ rights</w:t>
      </w:r>
      <w:bookmarkEnd w:id="8"/>
      <w:r w:rsidR="007D791B">
        <w:t xml:space="preserve"> </w:t>
      </w:r>
    </w:p>
    <w:p w14:paraId="5D8DB39A" w14:textId="7632D08C" w:rsidR="004204D0" w:rsidRPr="00F36927" w:rsidRDefault="00716B04" w:rsidP="004204D0">
      <w:pPr>
        <w:pStyle w:val="Bodytextnumbered"/>
      </w:pPr>
      <w:r>
        <w:t>As identi</w:t>
      </w:r>
      <w:r w:rsidR="00780DCA">
        <w:t xml:space="preserve">fied by the </w:t>
      </w:r>
      <w:r w:rsidR="00154AFF">
        <w:t>s</w:t>
      </w:r>
      <w:r w:rsidR="00780DCA">
        <w:t xml:space="preserve">tatement of </w:t>
      </w:r>
      <w:r w:rsidR="00154AFF">
        <w:t>c</w:t>
      </w:r>
      <w:r w:rsidR="00780DCA">
        <w:t xml:space="preserve">ompatibility, </w:t>
      </w:r>
      <w:r w:rsidR="00206E38">
        <w:t>t</w:t>
      </w:r>
      <w:r w:rsidR="00206E38" w:rsidRPr="00206E38">
        <w:t xml:space="preserve">he Bill will undermine the human rights of reportable offenders. </w:t>
      </w:r>
      <w:r w:rsidR="00206E38">
        <w:t>Most significantly, t</w:t>
      </w:r>
      <w:r w:rsidR="00230F9C">
        <w:t xml:space="preserve">he publication of photographs and other personal details </w:t>
      </w:r>
      <w:r w:rsidR="00E61B8E">
        <w:t xml:space="preserve">will limit </w:t>
      </w:r>
      <w:r w:rsidR="00050A8C">
        <w:t>reportable offenders’</w:t>
      </w:r>
      <w:r w:rsidR="00E61B8E">
        <w:t xml:space="preserve"> right to privacy (section 25, Human Rights Act). </w:t>
      </w:r>
      <w:r w:rsidR="00E61B8E" w:rsidRPr="00F36927">
        <w:rPr>
          <w:rFonts w:eastAsia="MS Mincho" w:cs="Arial"/>
        </w:rPr>
        <w:t xml:space="preserve">Where the </w:t>
      </w:r>
      <w:r w:rsidR="00937466" w:rsidRPr="00F36927">
        <w:rPr>
          <w:rFonts w:eastAsia="MS Mincho" w:cs="Arial"/>
        </w:rPr>
        <w:t xml:space="preserve">identification of a reportable offender </w:t>
      </w:r>
      <w:r w:rsidR="00D2376E">
        <w:rPr>
          <w:rFonts w:eastAsia="MS Mincho" w:cs="Arial"/>
        </w:rPr>
        <w:t xml:space="preserve">following publication </w:t>
      </w:r>
      <w:r w:rsidR="00937466" w:rsidRPr="00F36927">
        <w:rPr>
          <w:rFonts w:eastAsia="MS Mincho" w:cs="Arial"/>
        </w:rPr>
        <w:t xml:space="preserve">leads to ostracization </w:t>
      </w:r>
      <w:r w:rsidR="00D2376E">
        <w:rPr>
          <w:rFonts w:eastAsia="MS Mincho" w:cs="Arial"/>
        </w:rPr>
        <w:t xml:space="preserve">and other negative treatment </w:t>
      </w:r>
      <w:r w:rsidR="008E65F5">
        <w:rPr>
          <w:rFonts w:eastAsia="MS Mincho" w:cs="Arial"/>
        </w:rPr>
        <w:t xml:space="preserve">that has an </w:t>
      </w:r>
      <w:r w:rsidR="00DB093E">
        <w:rPr>
          <w:rFonts w:eastAsia="MS Mincho" w:cs="Arial"/>
        </w:rPr>
        <w:t xml:space="preserve">impact </w:t>
      </w:r>
      <w:r w:rsidR="008E65F5">
        <w:rPr>
          <w:rFonts w:eastAsia="MS Mincho" w:cs="Arial"/>
        </w:rPr>
        <w:t>on</w:t>
      </w:r>
      <w:r w:rsidR="00EE5A3D">
        <w:rPr>
          <w:rFonts w:eastAsia="MS Mincho" w:cs="Arial"/>
        </w:rPr>
        <w:t xml:space="preserve"> the</w:t>
      </w:r>
      <w:r w:rsidR="00DB093E">
        <w:rPr>
          <w:rFonts w:eastAsia="MS Mincho" w:cs="Arial"/>
        </w:rPr>
        <w:t xml:space="preserve"> offender</w:t>
      </w:r>
      <w:r w:rsidR="00EE5A3D">
        <w:rPr>
          <w:rFonts w:eastAsia="MS Mincho" w:cs="Arial"/>
        </w:rPr>
        <w:t>’</w:t>
      </w:r>
      <w:r w:rsidR="00DB093E">
        <w:rPr>
          <w:rFonts w:eastAsia="MS Mincho" w:cs="Arial"/>
        </w:rPr>
        <w:t>s mental integrity</w:t>
      </w:r>
      <w:r w:rsidR="00F36927" w:rsidRPr="00F36927">
        <w:rPr>
          <w:rFonts w:eastAsia="MS Mincho" w:cs="Arial"/>
        </w:rPr>
        <w:t>, this right will be further limited.</w:t>
      </w:r>
    </w:p>
    <w:p w14:paraId="65690B5D" w14:textId="7CD3B03B" w:rsidR="00324EDE" w:rsidRPr="00324EDE" w:rsidRDefault="00E61B8E" w:rsidP="00324EDE">
      <w:pPr>
        <w:pStyle w:val="Bodytextnumbered"/>
      </w:pPr>
      <w:r w:rsidRPr="00E61B8E">
        <w:rPr>
          <w:rFonts w:eastAsia="MS Mincho" w:cs="Arial"/>
        </w:rPr>
        <w:t xml:space="preserve">Research conducted in the United States has documented </w:t>
      </w:r>
      <w:r w:rsidR="00150463">
        <w:rPr>
          <w:rFonts w:eastAsia="MS Mincho" w:cs="Arial"/>
        </w:rPr>
        <w:t xml:space="preserve">a significant number of </w:t>
      </w:r>
      <w:r w:rsidRPr="00E61B8E">
        <w:rPr>
          <w:rFonts w:eastAsia="MS Mincho" w:cs="Arial"/>
        </w:rPr>
        <w:t>reports of vigilantism against people who are listed on public sex offender registries. This has included acts of harassment and murder.</w:t>
      </w:r>
      <w:r w:rsidRPr="00917377">
        <w:rPr>
          <w:vertAlign w:val="superscript"/>
        </w:rPr>
        <w:footnoteReference w:id="49"/>
      </w:r>
      <w:r w:rsidRPr="00E61B8E">
        <w:rPr>
          <w:rFonts w:eastAsia="MS Mincho" w:cs="Arial"/>
        </w:rPr>
        <w:t xml:space="preserve"> </w:t>
      </w:r>
      <w:r w:rsidR="00F36927">
        <w:rPr>
          <w:rFonts w:eastAsia="MS Mincho" w:cs="Arial"/>
        </w:rPr>
        <w:t>For example, one study reports that</w:t>
      </w:r>
      <w:r w:rsidRPr="00E61B8E">
        <w:rPr>
          <w:rFonts w:eastAsia="MS Mincho" w:cs="Arial"/>
        </w:rPr>
        <w:t xml:space="preserve"> 44 per cent of registered sex offenders reported experiencing threats or harassment by neighbours</w:t>
      </w:r>
      <w:r w:rsidR="00F36927">
        <w:rPr>
          <w:rFonts w:eastAsia="MS Mincho" w:cs="Arial"/>
        </w:rPr>
        <w:t>;</w:t>
      </w:r>
      <w:r w:rsidRPr="00E61B8E">
        <w:rPr>
          <w:rFonts w:eastAsia="MS Mincho" w:cs="Arial"/>
        </w:rPr>
        <w:t xml:space="preserve"> approximately 20 percent experienced threats or harassment in general</w:t>
      </w:r>
      <w:r w:rsidR="00F36927">
        <w:rPr>
          <w:rFonts w:eastAsia="MS Mincho" w:cs="Arial"/>
        </w:rPr>
        <w:t xml:space="preserve">; </w:t>
      </w:r>
      <w:r w:rsidR="00065C24">
        <w:rPr>
          <w:rFonts w:eastAsia="MS Mincho" w:cs="Arial"/>
        </w:rPr>
        <w:t>8</w:t>
      </w:r>
      <w:r w:rsidRPr="00E61B8E">
        <w:rPr>
          <w:rFonts w:eastAsia="MS Mincho" w:cs="Arial"/>
        </w:rPr>
        <w:t xml:space="preserve"> per cent reported experiencing physical attacks</w:t>
      </w:r>
      <w:r w:rsidR="00150463">
        <w:rPr>
          <w:rFonts w:eastAsia="MS Mincho" w:cs="Arial"/>
        </w:rPr>
        <w:t>;</w:t>
      </w:r>
      <w:r w:rsidRPr="00E61B8E">
        <w:rPr>
          <w:rFonts w:eastAsia="MS Mincho" w:cs="Arial"/>
        </w:rPr>
        <w:t xml:space="preserve"> and 14 per cent reported property damage.</w:t>
      </w:r>
      <w:r w:rsidRPr="00917377">
        <w:rPr>
          <w:vertAlign w:val="superscript"/>
        </w:rPr>
        <w:footnoteReference w:id="50"/>
      </w:r>
      <w:r w:rsidR="00F36927">
        <w:rPr>
          <w:rFonts w:eastAsia="MS Mincho" w:cs="Arial"/>
        </w:rPr>
        <w:t xml:space="preserve"> </w:t>
      </w:r>
    </w:p>
    <w:p w14:paraId="13E48D4C" w14:textId="258B581C" w:rsidR="00324EDE" w:rsidRDefault="00324EDE" w:rsidP="00324EDE">
      <w:pPr>
        <w:pStyle w:val="Bodytextnumbered"/>
      </w:pPr>
      <w:r>
        <w:rPr>
          <w:rFonts w:eastAsia="MS Mincho" w:cs="Arial"/>
        </w:rPr>
        <w:lastRenderedPageBreak/>
        <w:t>Where identification leads to harassment and physical attacks</w:t>
      </w:r>
      <w:r w:rsidR="00B9077E">
        <w:rPr>
          <w:rFonts w:eastAsia="MS Mincho" w:cs="Arial"/>
        </w:rPr>
        <w:t xml:space="preserve"> on </w:t>
      </w:r>
      <w:r w:rsidR="00150463">
        <w:rPr>
          <w:rFonts w:eastAsia="MS Mincho" w:cs="Arial"/>
        </w:rPr>
        <w:t>a</w:t>
      </w:r>
      <w:r w:rsidR="00B9077E">
        <w:rPr>
          <w:rFonts w:eastAsia="MS Mincho" w:cs="Arial"/>
        </w:rPr>
        <w:t xml:space="preserve"> reportable offender or their property</w:t>
      </w:r>
      <w:r>
        <w:rPr>
          <w:rFonts w:eastAsia="MS Mincho" w:cs="Arial"/>
        </w:rPr>
        <w:t>, the</w:t>
      </w:r>
      <w:r w:rsidR="00C52ECC">
        <w:rPr>
          <w:rFonts w:eastAsia="MS Mincho" w:cs="Arial"/>
        </w:rPr>
        <w:t xml:space="preserve"> public register</w:t>
      </w:r>
      <w:r>
        <w:rPr>
          <w:rFonts w:eastAsia="MS Mincho" w:cs="Arial"/>
        </w:rPr>
        <w:t xml:space="preserve"> </w:t>
      </w:r>
      <w:r w:rsidR="00150463">
        <w:rPr>
          <w:rFonts w:eastAsia="MS Mincho" w:cs="Arial"/>
        </w:rPr>
        <w:t xml:space="preserve">will </w:t>
      </w:r>
      <w:r>
        <w:rPr>
          <w:rFonts w:eastAsia="MS Mincho" w:cs="Arial"/>
        </w:rPr>
        <w:t xml:space="preserve">limit </w:t>
      </w:r>
      <w:r w:rsidR="00B9543D">
        <w:rPr>
          <w:rFonts w:eastAsia="MS Mincho" w:cs="Arial"/>
        </w:rPr>
        <w:t xml:space="preserve">a </w:t>
      </w:r>
      <w:r>
        <w:rPr>
          <w:rFonts w:eastAsia="MS Mincho" w:cs="Arial"/>
        </w:rPr>
        <w:t>reportable offender</w:t>
      </w:r>
      <w:r w:rsidR="00B9543D">
        <w:rPr>
          <w:rFonts w:eastAsia="MS Mincho" w:cs="Arial"/>
        </w:rPr>
        <w:t>’</w:t>
      </w:r>
      <w:r>
        <w:rPr>
          <w:rFonts w:eastAsia="MS Mincho" w:cs="Arial"/>
        </w:rPr>
        <w:t>s rights to life</w:t>
      </w:r>
      <w:r w:rsidR="00475566">
        <w:rPr>
          <w:rFonts w:eastAsia="MS Mincho" w:cs="Arial"/>
        </w:rPr>
        <w:t xml:space="preserve"> (section 16,</w:t>
      </w:r>
      <w:r w:rsidR="00475566" w:rsidRPr="00D40C16">
        <w:t xml:space="preserve"> </w:t>
      </w:r>
      <w:r w:rsidR="00475566">
        <w:t>Human Rights Act)</w:t>
      </w:r>
      <w:r w:rsidR="00B9077E">
        <w:rPr>
          <w:rFonts w:eastAsia="MS Mincho" w:cs="Arial"/>
        </w:rPr>
        <w:t>,</w:t>
      </w:r>
      <w:r w:rsidR="00213A4B">
        <w:rPr>
          <w:rFonts w:eastAsia="MS Mincho" w:cs="Arial"/>
        </w:rPr>
        <w:t xml:space="preserve"> to freedom from </w:t>
      </w:r>
      <w:r w:rsidR="00475566">
        <w:rPr>
          <w:rFonts w:eastAsia="MS Mincho" w:cs="Arial"/>
        </w:rPr>
        <w:t>torture and cruel, inhuman, or degrading treatment (section 17,</w:t>
      </w:r>
      <w:r w:rsidR="00475566" w:rsidRPr="00D40C16">
        <w:t xml:space="preserve"> </w:t>
      </w:r>
      <w:r w:rsidR="00475566">
        <w:t>Human Rights Act)</w:t>
      </w:r>
      <w:r w:rsidR="00B9077E">
        <w:t xml:space="preserve"> and to property </w:t>
      </w:r>
      <w:r w:rsidR="00B9077E">
        <w:rPr>
          <w:rFonts w:eastAsia="MS Mincho" w:cs="Arial"/>
        </w:rPr>
        <w:t xml:space="preserve">(section </w:t>
      </w:r>
      <w:r w:rsidR="0014229E">
        <w:rPr>
          <w:rFonts w:eastAsia="MS Mincho" w:cs="Arial"/>
        </w:rPr>
        <w:t>24</w:t>
      </w:r>
      <w:r w:rsidR="00B9077E">
        <w:rPr>
          <w:rFonts w:eastAsia="MS Mincho" w:cs="Arial"/>
        </w:rPr>
        <w:t>,</w:t>
      </w:r>
      <w:r w:rsidR="00B9077E" w:rsidRPr="00D40C16">
        <w:t xml:space="preserve"> </w:t>
      </w:r>
      <w:r w:rsidR="00B9077E">
        <w:t>Human Rights Act)</w:t>
      </w:r>
      <w:r w:rsidR="00475566">
        <w:rPr>
          <w:rFonts w:eastAsia="MS Mincho" w:cs="Arial"/>
        </w:rPr>
        <w:t>.</w:t>
      </w:r>
      <w:r w:rsidR="00213A4B">
        <w:rPr>
          <w:rFonts w:eastAsia="MS Mincho" w:cs="Arial"/>
        </w:rPr>
        <w:t xml:space="preserve"> Any harassment or negative treatment which </w:t>
      </w:r>
      <w:r w:rsidR="00BB1867">
        <w:rPr>
          <w:rFonts w:eastAsia="MS Mincho" w:cs="Arial"/>
        </w:rPr>
        <w:t xml:space="preserve">has an </w:t>
      </w:r>
      <w:r w:rsidR="008E4048">
        <w:rPr>
          <w:rFonts w:eastAsia="MS Mincho" w:cs="Arial"/>
        </w:rPr>
        <w:t>impact</w:t>
      </w:r>
      <w:r w:rsidR="00BB1867">
        <w:rPr>
          <w:rFonts w:eastAsia="MS Mincho" w:cs="Arial"/>
        </w:rPr>
        <w:t xml:space="preserve"> on an</w:t>
      </w:r>
      <w:r w:rsidR="00C52ECC">
        <w:rPr>
          <w:rFonts w:eastAsia="MS Mincho" w:cs="Arial"/>
        </w:rPr>
        <w:t xml:space="preserve"> offender’s</w:t>
      </w:r>
      <w:r w:rsidR="008E4048">
        <w:rPr>
          <w:rFonts w:eastAsia="MS Mincho" w:cs="Arial"/>
        </w:rPr>
        <w:t xml:space="preserve"> famil</w:t>
      </w:r>
      <w:r w:rsidR="00C52ECC">
        <w:rPr>
          <w:rFonts w:eastAsia="MS Mincho" w:cs="Arial"/>
        </w:rPr>
        <w:t>y</w:t>
      </w:r>
      <w:r w:rsidR="008E4048">
        <w:rPr>
          <w:rFonts w:eastAsia="MS Mincho" w:cs="Arial"/>
        </w:rPr>
        <w:t xml:space="preserve"> relationship</w:t>
      </w:r>
      <w:r w:rsidR="00C52ECC">
        <w:rPr>
          <w:rFonts w:eastAsia="MS Mincho" w:cs="Arial"/>
        </w:rPr>
        <w:t>s</w:t>
      </w:r>
      <w:r w:rsidR="008E4048">
        <w:rPr>
          <w:rFonts w:eastAsia="MS Mincho" w:cs="Arial"/>
        </w:rPr>
        <w:t xml:space="preserve"> or </w:t>
      </w:r>
      <w:r w:rsidR="00213A4B">
        <w:rPr>
          <w:rFonts w:eastAsia="MS Mincho" w:cs="Arial"/>
        </w:rPr>
        <w:t>results in exclusion from a</w:t>
      </w:r>
      <w:r w:rsidR="00150463">
        <w:rPr>
          <w:rFonts w:eastAsia="MS Mincho" w:cs="Arial"/>
        </w:rPr>
        <w:t xml:space="preserve"> particular </w:t>
      </w:r>
      <w:r w:rsidR="0094097B">
        <w:rPr>
          <w:rFonts w:eastAsia="MS Mincho" w:cs="Arial"/>
        </w:rPr>
        <w:t>neighbourhood</w:t>
      </w:r>
      <w:r w:rsidR="00150463">
        <w:rPr>
          <w:rFonts w:eastAsia="MS Mincho" w:cs="Arial"/>
        </w:rPr>
        <w:t xml:space="preserve"> </w:t>
      </w:r>
      <w:r w:rsidR="00213A4B">
        <w:rPr>
          <w:rFonts w:eastAsia="MS Mincho" w:cs="Arial"/>
        </w:rPr>
        <w:t xml:space="preserve">or employment may </w:t>
      </w:r>
      <w:r w:rsidR="00A714A5">
        <w:rPr>
          <w:rFonts w:eastAsia="MS Mincho" w:cs="Arial"/>
        </w:rPr>
        <w:t xml:space="preserve">also </w:t>
      </w:r>
      <w:r w:rsidR="00213A4B">
        <w:rPr>
          <w:rFonts w:eastAsia="MS Mincho" w:cs="Arial"/>
        </w:rPr>
        <w:t xml:space="preserve">limit </w:t>
      </w:r>
      <w:r w:rsidR="00A714A5">
        <w:rPr>
          <w:rFonts w:eastAsia="MS Mincho" w:cs="Arial"/>
        </w:rPr>
        <w:t xml:space="preserve">the </w:t>
      </w:r>
      <w:r w:rsidR="00213A4B">
        <w:rPr>
          <w:rFonts w:eastAsia="MS Mincho" w:cs="Arial"/>
        </w:rPr>
        <w:t>reportable offender</w:t>
      </w:r>
      <w:r w:rsidR="00703898">
        <w:rPr>
          <w:rFonts w:eastAsia="MS Mincho" w:cs="Arial"/>
        </w:rPr>
        <w:t>’</w:t>
      </w:r>
      <w:r w:rsidR="00213A4B">
        <w:rPr>
          <w:rFonts w:eastAsia="MS Mincho" w:cs="Arial"/>
        </w:rPr>
        <w:t>s right</w:t>
      </w:r>
      <w:r w:rsidR="00703898">
        <w:rPr>
          <w:rFonts w:eastAsia="MS Mincho" w:cs="Arial"/>
        </w:rPr>
        <w:t xml:space="preserve"> to</w:t>
      </w:r>
      <w:r w:rsidR="00213A4B">
        <w:rPr>
          <w:rFonts w:eastAsia="MS Mincho" w:cs="Arial"/>
        </w:rPr>
        <w:t xml:space="preserve"> freedom of movement</w:t>
      </w:r>
      <w:r w:rsidR="00B02F4F">
        <w:rPr>
          <w:rFonts w:eastAsia="MS Mincho" w:cs="Arial"/>
        </w:rPr>
        <w:t xml:space="preserve"> (section </w:t>
      </w:r>
      <w:r w:rsidR="00475566">
        <w:rPr>
          <w:rFonts w:eastAsia="MS Mincho" w:cs="Arial"/>
        </w:rPr>
        <w:t>19</w:t>
      </w:r>
      <w:r w:rsidR="00B02F4F">
        <w:rPr>
          <w:rFonts w:eastAsia="MS Mincho" w:cs="Arial"/>
        </w:rPr>
        <w:t>,</w:t>
      </w:r>
      <w:r w:rsidR="00B02F4F" w:rsidRPr="00D40C16">
        <w:t xml:space="preserve"> </w:t>
      </w:r>
      <w:r w:rsidR="00B02F4F">
        <w:t>Human Rights Act)</w:t>
      </w:r>
      <w:r w:rsidR="00213A4B">
        <w:rPr>
          <w:rFonts w:eastAsia="MS Mincho" w:cs="Arial"/>
        </w:rPr>
        <w:t xml:space="preserve">, freedom of association </w:t>
      </w:r>
      <w:r w:rsidR="00475566">
        <w:rPr>
          <w:rFonts w:eastAsia="MS Mincho" w:cs="Arial"/>
        </w:rPr>
        <w:t>(section 22,</w:t>
      </w:r>
      <w:r w:rsidR="00475566" w:rsidRPr="00D40C16">
        <w:t xml:space="preserve"> </w:t>
      </w:r>
      <w:r w:rsidR="00475566">
        <w:t>Human Rights Act), and</w:t>
      </w:r>
      <w:r w:rsidR="00150463">
        <w:t xml:space="preserve"> right</w:t>
      </w:r>
      <w:r w:rsidR="00475566">
        <w:t xml:space="preserve"> to the protection of</w:t>
      </w:r>
      <w:r w:rsidR="00D27F43">
        <w:t xml:space="preserve"> families and children </w:t>
      </w:r>
      <w:r w:rsidR="00D27F43">
        <w:rPr>
          <w:rFonts w:eastAsia="MS Mincho" w:cs="Arial"/>
        </w:rPr>
        <w:t>(section 26,</w:t>
      </w:r>
      <w:r w:rsidR="00D27F43" w:rsidRPr="00D40C16">
        <w:t xml:space="preserve"> </w:t>
      </w:r>
      <w:r w:rsidR="00D27F43">
        <w:t>Human Rights Act).</w:t>
      </w:r>
      <w:r w:rsidR="00B25537">
        <w:t xml:space="preserve"> As noted above, where a reportable offender experiences this kind of treatment, they may be less likely to be successfully rehabilitated post-sentence and may be more likely to </w:t>
      </w:r>
      <w:r w:rsidR="004A51E7">
        <w:t xml:space="preserve">commit further sexual offences against children. </w:t>
      </w:r>
    </w:p>
    <w:p w14:paraId="015032A8" w14:textId="49FE878B" w:rsidR="00C75132" w:rsidRDefault="00B51C16" w:rsidP="00C75132">
      <w:pPr>
        <w:pStyle w:val="Bodytextnumbered"/>
      </w:pPr>
      <w:r>
        <w:t xml:space="preserve">The </w:t>
      </w:r>
      <w:r w:rsidR="0094097B">
        <w:t>s</w:t>
      </w:r>
      <w:r>
        <w:t xml:space="preserve">tatement of </w:t>
      </w:r>
      <w:r w:rsidR="0094097B">
        <w:t>c</w:t>
      </w:r>
      <w:r>
        <w:t xml:space="preserve">ompatibility </w:t>
      </w:r>
      <w:r w:rsidR="0094097B">
        <w:t xml:space="preserve">for the Bill </w:t>
      </w:r>
      <w:r>
        <w:t>dismisses the possibil</w:t>
      </w:r>
      <w:r w:rsidR="00AB5429">
        <w:t xml:space="preserve">ity the Bill could lead to a limitation on </w:t>
      </w:r>
      <w:r w:rsidR="00B91E79">
        <w:t xml:space="preserve">the right </w:t>
      </w:r>
      <w:r w:rsidR="00F60996">
        <w:t>not to be punished more than once</w:t>
      </w:r>
      <w:r w:rsidR="00AB5429">
        <w:t xml:space="preserve"> because ‘</w:t>
      </w:r>
      <w:r w:rsidR="00AB5429" w:rsidRPr="00AB5429">
        <w:t>the purpose of the public register is not to punish reportable offenders</w:t>
      </w:r>
      <w:r w:rsidR="00AB5429">
        <w:t>’.</w:t>
      </w:r>
      <w:r w:rsidR="00AB5429">
        <w:rPr>
          <w:rStyle w:val="FootnoteReference"/>
        </w:rPr>
        <w:footnoteReference w:id="51"/>
      </w:r>
      <w:r w:rsidR="00AB5429">
        <w:t xml:space="preserve"> However, </w:t>
      </w:r>
      <w:r w:rsidR="00507B24">
        <w:t>t</w:t>
      </w:r>
      <w:r w:rsidR="00521B9D">
        <w:t>he intent</w:t>
      </w:r>
      <w:r w:rsidR="00AD52C1">
        <w:t xml:space="preserve"> of the </w:t>
      </w:r>
      <w:r w:rsidR="000E4A35">
        <w:t xml:space="preserve">Bill </w:t>
      </w:r>
      <w:r w:rsidR="00AD52C1">
        <w:t>is not</w:t>
      </w:r>
      <w:r w:rsidR="00507B24">
        <w:t xml:space="preserve"> relevant when determining whether or not </w:t>
      </w:r>
      <w:r w:rsidR="00110620">
        <w:t>a</w:t>
      </w:r>
      <w:r w:rsidR="00507B24">
        <w:t xml:space="preserve"> right is limited, only that the right will foreseeably be limited</w:t>
      </w:r>
      <w:r w:rsidR="00507B24" w:rsidRPr="00507B24">
        <w:t>.</w:t>
      </w:r>
      <w:r w:rsidR="00507B24" w:rsidRPr="00507B24">
        <w:rPr>
          <w:vertAlign w:val="superscript"/>
        </w:rPr>
        <w:footnoteReference w:id="52"/>
      </w:r>
      <w:r w:rsidR="00F60996">
        <w:t xml:space="preserve"> T</w:t>
      </w:r>
      <w:r w:rsidR="00F60996" w:rsidRPr="00F60996">
        <w:t xml:space="preserve">reatment resulting in the negative consequences described above </w:t>
      </w:r>
      <w:r w:rsidR="00110620">
        <w:t>will</w:t>
      </w:r>
      <w:r w:rsidR="00F60996" w:rsidRPr="00F60996">
        <w:t xml:space="preserve"> amount to a</w:t>
      </w:r>
      <w:r w:rsidR="007A0033">
        <w:t xml:space="preserve"> </w:t>
      </w:r>
      <w:r w:rsidR="00F60996" w:rsidRPr="00F60996">
        <w:t>limit on the right not to be punished more than once (section 34, Human Rights Act).</w:t>
      </w:r>
      <w:r w:rsidR="006F135C" w:rsidRPr="006F135C">
        <w:rPr>
          <w:sz w:val="24"/>
        </w:rPr>
        <w:t xml:space="preserve"> </w:t>
      </w:r>
    </w:p>
    <w:p w14:paraId="6D4CCA8D" w14:textId="73E4A6D6" w:rsidR="0068438D" w:rsidRDefault="0040502D" w:rsidP="00352570">
      <w:pPr>
        <w:pStyle w:val="Bodytextnumbered"/>
      </w:pPr>
      <w:r>
        <w:t>T</w:t>
      </w:r>
      <w:r w:rsidR="002A5AFC">
        <w:t xml:space="preserve">he Bill includes </w:t>
      </w:r>
      <w:r w:rsidR="00AF447F">
        <w:t>a number of safeguards</w:t>
      </w:r>
      <w:r w:rsidR="005832CA">
        <w:t xml:space="preserve"> </w:t>
      </w:r>
      <w:r w:rsidR="0068438D">
        <w:t>including requiring that details published under Tier 1 (where a</w:t>
      </w:r>
      <w:r w:rsidR="00C1649B">
        <w:t xml:space="preserve">n </w:t>
      </w:r>
      <w:r w:rsidR="0068438D">
        <w:t>offender has not complied with their reporting obligations)</w:t>
      </w:r>
      <w:r w:rsidR="00AF6C84">
        <w:t xml:space="preserve"> be removed ‘as soon as practicable’ after the offender is locat</w:t>
      </w:r>
      <w:r w:rsidR="00A27F8D">
        <w:t>ed</w:t>
      </w:r>
      <w:r w:rsidR="00AF6C84">
        <w:t xml:space="preserve">, and </w:t>
      </w:r>
      <w:r w:rsidR="00A27F8D">
        <w:t>criminalising the</w:t>
      </w:r>
      <w:r w:rsidR="00AF6C84">
        <w:t xml:space="preserve"> unauthorised </w:t>
      </w:r>
      <w:r w:rsidR="00B07EDA">
        <w:t xml:space="preserve">sharing of an offender’s information, </w:t>
      </w:r>
      <w:r w:rsidR="003F634D">
        <w:t xml:space="preserve">and </w:t>
      </w:r>
      <w:r w:rsidR="006221F8">
        <w:t>any conduct which does or is likely to incite the harassment of</w:t>
      </w:r>
      <w:r w:rsidR="003F634D">
        <w:t xml:space="preserve"> an identified offender</w:t>
      </w:r>
      <w:r>
        <w:t>.</w:t>
      </w:r>
      <w:r w:rsidR="006221F8">
        <w:rPr>
          <w:rStyle w:val="FootnoteReference"/>
        </w:rPr>
        <w:footnoteReference w:id="53"/>
      </w:r>
      <w:r>
        <w:t xml:space="preserve"> However, </w:t>
      </w:r>
      <w:r w:rsidR="003F634D">
        <w:t>these safeguards are unlikely to be sufficien</w:t>
      </w:r>
      <w:r w:rsidR="007D5C92">
        <w:t>t</w:t>
      </w:r>
      <w:r>
        <w:t xml:space="preserve"> to prevent </w:t>
      </w:r>
      <w:r w:rsidR="00C41C59">
        <w:t xml:space="preserve">the </w:t>
      </w:r>
      <w:r>
        <w:t>unauthorised use</w:t>
      </w:r>
      <w:r w:rsidR="006221F8">
        <w:t xml:space="preserve"> of an offenders personal details</w:t>
      </w:r>
      <w:r>
        <w:t>.</w:t>
      </w:r>
      <w:r w:rsidR="007D5C92">
        <w:t xml:space="preserve"> Once </w:t>
      </w:r>
      <w:r w:rsidR="00CC73A6">
        <w:t>details are shared online</w:t>
      </w:r>
      <w:r>
        <w:t xml:space="preserve">, the </w:t>
      </w:r>
      <w:r w:rsidR="00777D01">
        <w:t xml:space="preserve">ability to </w:t>
      </w:r>
      <w:r w:rsidR="00C31DFF">
        <w:t xml:space="preserve">make a </w:t>
      </w:r>
      <w:r>
        <w:t xml:space="preserve">record </w:t>
      </w:r>
      <w:r w:rsidR="00C31DFF">
        <w:t xml:space="preserve">of </w:t>
      </w:r>
      <w:r>
        <w:t xml:space="preserve">and </w:t>
      </w:r>
      <w:r w:rsidR="00C41C59">
        <w:t xml:space="preserve">rapidly </w:t>
      </w:r>
      <w:r>
        <w:t>shar</w:t>
      </w:r>
      <w:r w:rsidR="00C41C59">
        <w:t>e</w:t>
      </w:r>
      <w:r>
        <w:t xml:space="preserve"> those details</w:t>
      </w:r>
      <w:r w:rsidR="00C41C59">
        <w:t xml:space="preserve"> to large audiences</w:t>
      </w:r>
      <w:r w:rsidR="00777D01">
        <w:t xml:space="preserve"> through </w:t>
      </w:r>
      <w:r w:rsidR="00451849">
        <w:t xml:space="preserve">modern </w:t>
      </w:r>
      <w:r w:rsidR="00C41C59">
        <w:t>technology</w:t>
      </w:r>
      <w:r w:rsidR="00CF0AC1">
        <w:t xml:space="preserve">, including encrypted </w:t>
      </w:r>
      <w:r w:rsidR="00C31DFF">
        <w:t xml:space="preserve">or anonymised </w:t>
      </w:r>
      <w:r w:rsidR="00CF0AC1">
        <w:t>messaging services</w:t>
      </w:r>
      <w:r w:rsidR="000C5F51">
        <w:t xml:space="preserve">, </w:t>
      </w:r>
      <w:r w:rsidR="00C31DFF">
        <w:t>mean unauthorised use could be nearly impossible to</w:t>
      </w:r>
      <w:r w:rsidR="000C5F51">
        <w:t xml:space="preserve"> prevent or track. </w:t>
      </w:r>
    </w:p>
    <w:p w14:paraId="50B8CBEA" w14:textId="65A51E35" w:rsidR="006D2E1F" w:rsidRDefault="0079650F" w:rsidP="00352570">
      <w:pPr>
        <w:pStyle w:val="Bodytextnumbered"/>
      </w:pPr>
      <w:r>
        <w:lastRenderedPageBreak/>
        <w:t xml:space="preserve">The </w:t>
      </w:r>
      <w:r w:rsidR="005E1888">
        <w:t>W</w:t>
      </w:r>
      <w:r w:rsidR="00943D5D">
        <w:t>A</w:t>
      </w:r>
      <w:r w:rsidR="005E1888">
        <w:t xml:space="preserve"> </w:t>
      </w:r>
      <w:r>
        <w:t xml:space="preserve">Evaluation </w:t>
      </w:r>
      <w:r w:rsidR="001F4E57">
        <w:t>found ‘it does not appear the concern initially held about potential vigilantism</w:t>
      </w:r>
      <w:r w:rsidR="005715AD">
        <w:t>… have eventuated’</w:t>
      </w:r>
      <w:r w:rsidR="00D1516D">
        <w:t>.</w:t>
      </w:r>
      <w:r w:rsidR="005715AD">
        <w:rPr>
          <w:rStyle w:val="FootnoteReference"/>
        </w:rPr>
        <w:footnoteReference w:id="54"/>
      </w:r>
      <w:r w:rsidR="00D1516D">
        <w:t xml:space="preserve"> However, the Evaluation clarifies ‘</w:t>
      </w:r>
      <w:r w:rsidR="004E41A0">
        <w:t>[t]</w:t>
      </w:r>
      <w:r w:rsidR="00D1516D">
        <w:t xml:space="preserve">his is not to say that </w:t>
      </w:r>
      <w:r w:rsidR="004E41A0" w:rsidRPr="004E41A0">
        <w:t>vigilantism against, or harassment of, persons on the Scheme has not occurred, or is not occurring. It is necessary to consider that there may be shortcomings in the reporting or recording of acts</w:t>
      </w:r>
      <w:r w:rsidR="004E41A0">
        <w:t>…’</w:t>
      </w:r>
      <w:r w:rsidR="002A183B">
        <w:t xml:space="preserve"> noting the lack of formal processes for monitoring</w:t>
      </w:r>
      <w:r w:rsidR="002E3CE9">
        <w:t xml:space="preserve"> complaints of allegations about this kind of behaviour.</w:t>
      </w:r>
      <w:r w:rsidR="002E3CE9">
        <w:rPr>
          <w:rStyle w:val="FootnoteReference"/>
        </w:rPr>
        <w:footnoteReference w:id="55"/>
      </w:r>
      <w:r w:rsidR="002E3CE9">
        <w:t xml:space="preserve"> </w:t>
      </w:r>
    </w:p>
    <w:p w14:paraId="388A068F" w14:textId="2E8109F8" w:rsidR="00A41491" w:rsidRDefault="00E02F2C" w:rsidP="00352570">
      <w:pPr>
        <w:pStyle w:val="Bodytextnumbered"/>
      </w:pPr>
      <w:r>
        <w:t>In line with the recommendations made by t</w:t>
      </w:r>
      <w:r w:rsidR="002E3CE9">
        <w:t xml:space="preserve">he </w:t>
      </w:r>
      <w:r w:rsidR="005E1888">
        <w:t xml:space="preserve">WA </w:t>
      </w:r>
      <w:r w:rsidR="00DE4B8C">
        <w:t>Evaluation</w:t>
      </w:r>
      <w:r>
        <w:t xml:space="preserve">, </w:t>
      </w:r>
      <w:r w:rsidR="00D7521F">
        <w:t>the Commission</w:t>
      </w:r>
      <w:r>
        <w:t xml:space="preserve"> recommend</w:t>
      </w:r>
      <w:r w:rsidR="00D7521F">
        <w:t>s</w:t>
      </w:r>
      <w:r>
        <w:t xml:space="preserve"> that the Bill </w:t>
      </w:r>
      <w:r w:rsidR="00D7521F">
        <w:t>provides</w:t>
      </w:r>
      <w:r>
        <w:t xml:space="preserve"> for the reporting</w:t>
      </w:r>
      <w:r w:rsidR="00F11597">
        <w:t xml:space="preserve"> and recording of </w:t>
      </w:r>
      <w:r w:rsidR="0091269A">
        <w:t xml:space="preserve">unauthorised use and </w:t>
      </w:r>
      <w:r w:rsidR="00F11597">
        <w:t>sus</w:t>
      </w:r>
      <w:r w:rsidR="0073034C">
        <w:t>pected harassment or vigilantism</w:t>
      </w:r>
      <w:r w:rsidR="0091269A">
        <w:t>. This could be facilitated</w:t>
      </w:r>
      <w:r w:rsidR="0073034C">
        <w:t xml:space="preserve"> </w:t>
      </w:r>
      <w:r w:rsidR="009E4C56">
        <w:t xml:space="preserve">by requiring that </w:t>
      </w:r>
      <w:r w:rsidR="001373D5">
        <w:t xml:space="preserve">reportable offenders whose details have been published </w:t>
      </w:r>
      <w:r w:rsidR="0091269A">
        <w:t>be</w:t>
      </w:r>
      <w:r w:rsidR="001373D5">
        <w:t xml:space="preserve"> asked about harassment and vigilantism </w:t>
      </w:r>
      <w:r w:rsidR="00672632">
        <w:t>during regular reporting meetings</w:t>
      </w:r>
      <w:r w:rsidR="000860A9">
        <w:t xml:space="preserve"> (</w:t>
      </w:r>
      <w:r w:rsidR="000860A9" w:rsidRPr="000860A9">
        <w:rPr>
          <w:b/>
          <w:bCs/>
        </w:rPr>
        <w:t xml:space="preserve">RECOMMENDATION </w:t>
      </w:r>
      <w:r w:rsidR="00565019">
        <w:rPr>
          <w:b/>
          <w:bCs/>
        </w:rPr>
        <w:t>8</w:t>
      </w:r>
      <w:r w:rsidR="00ED075C">
        <w:rPr>
          <w:b/>
          <w:bCs/>
        </w:rPr>
        <w:t>A</w:t>
      </w:r>
      <w:r w:rsidR="000860A9">
        <w:t>)</w:t>
      </w:r>
      <w:r w:rsidR="00DF26E2">
        <w:t>.</w:t>
      </w:r>
      <w:r w:rsidR="001373D5">
        <w:t xml:space="preserve"> The proposed</w:t>
      </w:r>
      <w:r w:rsidR="00B41885">
        <w:t xml:space="preserve"> public register website </w:t>
      </w:r>
      <w:r w:rsidR="001373D5">
        <w:t xml:space="preserve">should also include a link to the Crime Stoppers </w:t>
      </w:r>
      <w:r w:rsidR="000860A9">
        <w:t xml:space="preserve">Queensland </w:t>
      </w:r>
      <w:r w:rsidR="001373D5">
        <w:t>website</w:t>
      </w:r>
      <w:r w:rsidR="000860A9" w:rsidDel="00D7521F">
        <w:t xml:space="preserve"> </w:t>
      </w:r>
      <w:r w:rsidR="000860A9">
        <w:t>(</w:t>
      </w:r>
      <w:r w:rsidR="000860A9" w:rsidRPr="000860A9">
        <w:rPr>
          <w:b/>
          <w:bCs/>
        </w:rPr>
        <w:t xml:space="preserve">RECOMMENDATION </w:t>
      </w:r>
      <w:r w:rsidR="00565019">
        <w:rPr>
          <w:b/>
          <w:bCs/>
        </w:rPr>
        <w:t>8</w:t>
      </w:r>
      <w:r w:rsidR="00EB49EC">
        <w:rPr>
          <w:b/>
          <w:bCs/>
        </w:rPr>
        <w:t>B</w:t>
      </w:r>
      <w:r w:rsidR="000860A9">
        <w:t>)</w:t>
      </w:r>
      <w:r w:rsidR="00DF26E2">
        <w:t>.</w:t>
      </w:r>
    </w:p>
    <w:p w14:paraId="6713BFCA" w14:textId="566E733A" w:rsidR="002540CC" w:rsidRPr="00CB0245" w:rsidRDefault="00A41491" w:rsidP="00352570">
      <w:pPr>
        <w:pStyle w:val="Bodytextnumbered"/>
      </w:pPr>
      <w:r>
        <w:t xml:space="preserve">To minimise the impact of the Bill on </w:t>
      </w:r>
      <w:r w:rsidR="008C09EB">
        <w:t xml:space="preserve">the </w:t>
      </w:r>
      <w:r>
        <w:t>human rights</w:t>
      </w:r>
      <w:r w:rsidR="008C09EB">
        <w:t xml:space="preserve"> of reportable offenders</w:t>
      </w:r>
      <w:r>
        <w:t xml:space="preserve">, the Bill </w:t>
      </w:r>
      <w:r w:rsidR="002A2224">
        <w:t>(section 74AF(</w:t>
      </w:r>
      <w:r w:rsidR="00AC0E73">
        <w:t xml:space="preserve">4)) </w:t>
      </w:r>
      <w:r>
        <w:t xml:space="preserve">should be amended to require that the </w:t>
      </w:r>
      <w:r w:rsidR="00DB1B65">
        <w:t>Police Commissioner</w:t>
      </w:r>
      <w:r>
        <w:t xml:space="preserve"> remove the details of a reportable offender which are published under Tier 1 ‘as soon as practicable’ </w:t>
      </w:r>
      <w:r w:rsidRPr="006C2B81">
        <w:rPr>
          <w:i/>
          <w:iCs/>
        </w:rPr>
        <w:t xml:space="preserve">but </w:t>
      </w:r>
      <w:r w:rsidR="006C2B81">
        <w:rPr>
          <w:i/>
          <w:iCs/>
        </w:rPr>
        <w:t>within</w:t>
      </w:r>
      <w:r w:rsidRPr="006C2B81">
        <w:rPr>
          <w:i/>
          <w:iCs/>
        </w:rPr>
        <w:t xml:space="preserve"> </w:t>
      </w:r>
      <w:r w:rsidR="006C2B81">
        <w:rPr>
          <w:i/>
          <w:iCs/>
        </w:rPr>
        <w:t>8</w:t>
      </w:r>
      <w:r w:rsidRPr="006C2B81">
        <w:rPr>
          <w:i/>
          <w:iCs/>
        </w:rPr>
        <w:t xml:space="preserve"> hours</w:t>
      </w:r>
      <w:r>
        <w:t xml:space="preserve"> (</w:t>
      </w:r>
      <w:r w:rsidRPr="000C0AAA">
        <w:rPr>
          <w:b/>
          <w:bCs/>
        </w:rPr>
        <w:t xml:space="preserve">RECOMMENDATION </w:t>
      </w:r>
      <w:r w:rsidR="00565019">
        <w:rPr>
          <w:b/>
          <w:bCs/>
        </w:rPr>
        <w:t>9</w:t>
      </w:r>
      <w:r w:rsidR="009D141A">
        <w:rPr>
          <w:b/>
          <w:bCs/>
        </w:rPr>
        <w:t>A</w:t>
      </w:r>
      <w:r>
        <w:t>)</w:t>
      </w:r>
      <w:r w:rsidR="00DF26E2">
        <w:t>.</w:t>
      </w:r>
      <w:r>
        <w:t xml:space="preserve"> The Bill should also be amended to provide a more restrictive definition of ‘locality’ e.g., to mean </w:t>
      </w:r>
      <w:r w:rsidR="00C82A4A">
        <w:t>‘</w:t>
      </w:r>
      <w:r>
        <w:t>suburb</w:t>
      </w:r>
      <w:r w:rsidR="00C82A4A">
        <w:t>’</w:t>
      </w:r>
      <w:r>
        <w:t xml:space="preserve"> if the person lives in a metropolitan area, or </w:t>
      </w:r>
      <w:r w:rsidR="00C82A4A">
        <w:t>‘</w:t>
      </w:r>
      <w:r>
        <w:t>town</w:t>
      </w:r>
      <w:r w:rsidR="00C82A4A">
        <w:t>’</w:t>
      </w:r>
      <w:r>
        <w:t xml:space="preserve"> if the person lives in a regional or remote area</w:t>
      </w:r>
      <w:r w:rsidR="00CB0245">
        <w:t xml:space="preserve"> </w:t>
      </w:r>
      <w:r w:rsidR="00637847">
        <w:t>(</w:t>
      </w:r>
      <w:r w:rsidR="00637847" w:rsidRPr="00637847">
        <w:rPr>
          <w:b/>
          <w:bCs/>
        </w:rPr>
        <w:t xml:space="preserve">RECOMMENDATION </w:t>
      </w:r>
      <w:r w:rsidR="00565019">
        <w:rPr>
          <w:b/>
          <w:bCs/>
        </w:rPr>
        <w:t>9</w:t>
      </w:r>
      <w:r w:rsidR="009D141A">
        <w:rPr>
          <w:b/>
          <w:bCs/>
        </w:rPr>
        <w:t>B</w:t>
      </w:r>
      <w:r w:rsidR="00637847">
        <w:t>)</w:t>
      </w:r>
      <w:r w:rsidR="00DF26E2">
        <w:t xml:space="preserve">. </w:t>
      </w:r>
      <w:r w:rsidR="007E7353">
        <w:t>T</w:t>
      </w:r>
      <w:r w:rsidR="002540CC" w:rsidRPr="00CB0245">
        <w:t xml:space="preserve">he Bill should </w:t>
      </w:r>
      <w:r w:rsidR="007E7353">
        <w:t>also</w:t>
      </w:r>
      <w:r w:rsidR="002540CC" w:rsidRPr="00CB0245">
        <w:t xml:space="preserve"> be amended to impose a duty on the </w:t>
      </w:r>
      <w:r w:rsidR="00DB1B65">
        <w:t>Police Commissioner</w:t>
      </w:r>
      <w:r w:rsidR="002540CC" w:rsidRPr="00CB0245">
        <w:t xml:space="preserve"> to maintain</w:t>
      </w:r>
      <w:r w:rsidR="00CB0245" w:rsidRPr="00CB0245">
        <w:t xml:space="preserve"> </w:t>
      </w:r>
      <w:r w:rsidR="002540CC" w:rsidRPr="00CB0245">
        <w:t xml:space="preserve">the </w:t>
      </w:r>
      <w:r w:rsidR="00CB0245" w:rsidRPr="00CB0245">
        <w:t>public register</w:t>
      </w:r>
      <w:r w:rsidR="00A33B86" w:rsidRPr="00CB0245">
        <w:t xml:space="preserve">, </w:t>
      </w:r>
      <w:r w:rsidR="00CB0245" w:rsidRPr="00CB0245">
        <w:t>including by</w:t>
      </w:r>
      <w:r w:rsidR="00A33B86" w:rsidRPr="00CB0245">
        <w:t xml:space="preserve"> ensur</w:t>
      </w:r>
      <w:r w:rsidR="00CB0245" w:rsidRPr="00CB0245">
        <w:t>ing</w:t>
      </w:r>
      <w:r w:rsidR="00A33B86" w:rsidRPr="00CB0245">
        <w:t xml:space="preserve"> that offenders who are no longer </w:t>
      </w:r>
      <w:r w:rsidR="002F0F2F" w:rsidRPr="00CB0245">
        <w:t>subject to reporting requirements are removed</w:t>
      </w:r>
      <w:r w:rsidR="00CB0245">
        <w:t xml:space="preserve"> </w:t>
      </w:r>
      <w:r w:rsidR="003E150D">
        <w:t xml:space="preserve">as soon as practicable </w:t>
      </w:r>
      <w:r w:rsidR="00CB0245">
        <w:t>(</w:t>
      </w:r>
      <w:r w:rsidR="00CB0245" w:rsidRPr="00CB0245">
        <w:rPr>
          <w:b/>
          <w:bCs/>
        </w:rPr>
        <w:t xml:space="preserve">RECOMMENDATION </w:t>
      </w:r>
      <w:r w:rsidR="00565019">
        <w:rPr>
          <w:b/>
          <w:bCs/>
        </w:rPr>
        <w:t>9</w:t>
      </w:r>
      <w:r w:rsidR="009D141A">
        <w:rPr>
          <w:b/>
          <w:bCs/>
        </w:rPr>
        <w:t>C</w:t>
      </w:r>
      <w:r w:rsidR="00CB0245">
        <w:t>)</w:t>
      </w:r>
      <w:r w:rsidR="00DF26E2">
        <w:t>.</w:t>
      </w:r>
    </w:p>
    <w:p w14:paraId="20D235C6" w14:textId="66C363B7" w:rsidR="00D44D21" w:rsidRDefault="00D44D21" w:rsidP="00352570">
      <w:pPr>
        <w:pStyle w:val="Bodytextnumbered"/>
      </w:pPr>
      <w:r>
        <w:t xml:space="preserve">Under Tiers 1 and 2, the </w:t>
      </w:r>
      <w:r w:rsidR="00DB1B65">
        <w:t>Police Commissioner</w:t>
      </w:r>
      <w:r>
        <w:t xml:space="preserve"> may (but is not required) to have regard to a number of matters when determining whether to publish a reportable offenders’ personal details, including:</w:t>
      </w:r>
    </w:p>
    <w:p w14:paraId="3B65A234" w14:textId="77777777" w:rsidR="00D44D21" w:rsidRDefault="00D44D21" w:rsidP="00D44D21">
      <w:pPr>
        <w:pStyle w:val="Bodytextnumbered"/>
        <w:numPr>
          <w:ilvl w:val="1"/>
          <w:numId w:val="13"/>
        </w:numPr>
      </w:pPr>
      <w:r>
        <w:t xml:space="preserve">the effect that publication may have on a victim of the offender; </w:t>
      </w:r>
    </w:p>
    <w:p w14:paraId="450C8459" w14:textId="77777777" w:rsidR="00D44D21" w:rsidRDefault="00D44D21" w:rsidP="00D44D21">
      <w:pPr>
        <w:pStyle w:val="Bodytextnumbered"/>
        <w:numPr>
          <w:ilvl w:val="1"/>
          <w:numId w:val="13"/>
        </w:numPr>
      </w:pPr>
      <w:r>
        <w:t xml:space="preserve">whether the publication or provision of identifying information would be likely to prejudice a criminal proceeding or an investigation by a law enforcement agencies; </w:t>
      </w:r>
    </w:p>
    <w:p w14:paraId="0C3E33E9" w14:textId="77777777" w:rsidR="00D44D21" w:rsidRDefault="00D44D21" w:rsidP="00D44D21">
      <w:pPr>
        <w:pStyle w:val="Bodytextnumbered"/>
        <w:numPr>
          <w:ilvl w:val="1"/>
          <w:numId w:val="13"/>
        </w:numPr>
      </w:pPr>
      <w:r>
        <w:t xml:space="preserve">whether publication is in the public interest; and </w:t>
      </w:r>
    </w:p>
    <w:p w14:paraId="495A227F" w14:textId="77777777" w:rsidR="00D44D21" w:rsidRDefault="00D44D21" w:rsidP="00D44D21">
      <w:pPr>
        <w:pStyle w:val="Bodytextnumbered"/>
        <w:numPr>
          <w:ilvl w:val="1"/>
          <w:numId w:val="13"/>
        </w:numPr>
      </w:pPr>
      <w:r>
        <w:t>any other relevant matter.</w:t>
      </w:r>
      <w:r>
        <w:rPr>
          <w:rStyle w:val="FootnoteReference"/>
        </w:rPr>
        <w:footnoteReference w:id="56"/>
      </w:r>
      <w:r>
        <w:t xml:space="preserve"> </w:t>
      </w:r>
    </w:p>
    <w:p w14:paraId="21EA4C76" w14:textId="43A915E7" w:rsidR="00D44D21" w:rsidRDefault="00D44D21" w:rsidP="00D44D21">
      <w:pPr>
        <w:pStyle w:val="Bodytextnumbered"/>
      </w:pPr>
      <w:r>
        <w:lastRenderedPageBreak/>
        <w:t xml:space="preserve">Under Tier 3, the </w:t>
      </w:r>
      <w:r w:rsidR="00DB1B65">
        <w:t>Police Commissioner</w:t>
      </w:r>
      <w:r>
        <w:t xml:space="preserve"> must be satisfied the relevant offender has had or will have unsupervised contact with the relevant child.</w:t>
      </w:r>
      <w:r>
        <w:rPr>
          <w:rStyle w:val="FootnoteReference"/>
        </w:rPr>
        <w:footnoteReference w:id="57"/>
      </w:r>
      <w:r>
        <w:t xml:space="preserve"> </w:t>
      </w:r>
    </w:p>
    <w:p w14:paraId="6A51A013" w14:textId="1BDEEF8C" w:rsidR="00E9430B" w:rsidRDefault="00F72222" w:rsidP="00781D05">
      <w:pPr>
        <w:pStyle w:val="Bodytextnumbered"/>
      </w:pPr>
      <w:r>
        <w:t>I</w:t>
      </w:r>
      <w:r w:rsidR="004A51E7">
        <w:t xml:space="preserve">n Western Australia and South Australia, the legislation which establishes </w:t>
      </w:r>
      <w:r>
        <w:t>each state</w:t>
      </w:r>
      <w:r w:rsidR="00AA702F">
        <w:t>’</w:t>
      </w:r>
      <w:r>
        <w:t xml:space="preserve">s </w:t>
      </w:r>
      <w:r w:rsidR="004A51E7">
        <w:t xml:space="preserve">public register provides that relevant decision-makers may consider a broader range of factors when deciding whether to publish an offender’s personal details. </w:t>
      </w:r>
      <w:r w:rsidR="00E9430B">
        <w:t xml:space="preserve">These factors assist decision-makers to avoid publication where publication would be counterproductive to community safety or manifestly unfair. For example, where an offender has a disability which meant their mental age was similar to the age of the victim at the time of the offence, or where an offender has </w:t>
      </w:r>
      <w:r w:rsidR="00684BEA">
        <w:t xml:space="preserve">shown clear signs of successful rehabilitation. </w:t>
      </w:r>
    </w:p>
    <w:p w14:paraId="330FB23F" w14:textId="39FC7C30" w:rsidR="007A78F0" w:rsidRDefault="00684BEA" w:rsidP="00781D05">
      <w:pPr>
        <w:pStyle w:val="Bodytextnumbered"/>
      </w:pPr>
      <w:r>
        <w:t>T</w:t>
      </w:r>
      <w:r w:rsidR="004155C6">
        <w:t xml:space="preserve">o reduce the </w:t>
      </w:r>
      <w:r w:rsidR="00502225">
        <w:t xml:space="preserve">likelihood that an offenders’ details will be published in circumstances </w:t>
      </w:r>
      <w:r>
        <w:t>such as these</w:t>
      </w:r>
      <w:r w:rsidR="00502225">
        <w:t>,</w:t>
      </w:r>
      <w:r w:rsidR="008C7CBE">
        <w:t xml:space="preserve"> the Bill </w:t>
      </w:r>
      <w:r w:rsidR="0074096F">
        <w:t>(proposed section 75</w:t>
      </w:r>
      <w:r w:rsidR="002540CC">
        <w:t xml:space="preserve">AH(2)) </w:t>
      </w:r>
      <w:r w:rsidR="008C7CBE">
        <w:t>should be amended to require that the Commissioner consider the following matters when de</w:t>
      </w:r>
      <w:r w:rsidR="00B823BC">
        <w:t>termining whether</w:t>
      </w:r>
      <w:r w:rsidR="008C7CBE">
        <w:t xml:space="preserve"> to publish</w:t>
      </w:r>
      <w:r w:rsidR="00B823BC">
        <w:t xml:space="preserve"> a reportable offender</w:t>
      </w:r>
      <w:r w:rsidR="00304E24">
        <w:t>’</w:t>
      </w:r>
      <w:r w:rsidR="00B823BC">
        <w:t>s details</w:t>
      </w:r>
      <w:r w:rsidR="008C7CBE">
        <w:t>:</w:t>
      </w:r>
    </w:p>
    <w:p w14:paraId="70BA39B3" w14:textId="7C9E7C4C" w:rsidR="009D2D0C" w:rsidRDefault="009D2D0C" w:rsidP="008C7CBE">
      <w:pPr>
        <w:pStyle w:val="Bodytextnumbered"/>
        <w:numPr>
          <w:ilvl w:val="1"/>
          <w:numId w:val="13"/>
        </w:numPr>
      </w:pPr>
      <w:r w:rsidRPr="009D2D0C">
        <w:t>any medical, psychiatric, psychological</w:t>
      </w:r>
      <w:r w:rsidR="00304E24">
        <w:t>,</w:t>
      </w:r>
      <w:r w:rsidRPr="009D2D0C">
        <w:t xml:space="preserve"> or other assessment</w:t>
      </w:r>
      <w:r>
        <w:t xml:space="preserve"> including in relation to disability</w:t>
      </w:r>
      <w:r w:rsidRPr="009D2D0C">
        <w:t xml:space="preserve"> </w:t>
      </w:r>
      <w:r w:rsidR="007E0196">
        <w:t>of</w:t>
      </w:r>
      <w:r w:rsidRPr="009D2D0C">
        <w:t xml:space="preserve"> the registrable offender; </w:t>
      </w:r>
    </w:p>
    <w:p w14:paraId="295A25B0" w14:textId="1DF44578" w:rsidR="00FE55C2" w:rsidRDefault="009D2D0C" w:rsidP="008C7CBE">
      <w:pPr>
        <w:pStyle w:val="Bodytextnumbered"/>
        <w:numPr>
          <w:ilvl w:val="1"/>
          <w:numId w:val="13"/>
        </w:numPr>
      </w:pPr>
      <w:r w:rsidRPr="009D2D0C">
        <w:t>any information indicating whether the registrable offender is likely to commit a prescribed offence in the future</w:t>
      </w:r>
      <w:r w:rsidR="00A13B12">
        <w:t xml:space="preserve"> (including evidence of rehabilitation</w:t>
      </w:r>
      <w:r w:rsidR="00FE55C2">
        <w:t>)</w:t>
      </w:r>
      <w:r w:rsidRPr="009D2D0C">
        <w:t>;</w:t>
      </w:r>
    </w:p>
    <w:p w14:paraId="68E2B347" w14:textId="70DEC997" w:rsidR="009D2D0C" w:rsidRDefault="00FE55C2" w:rsidP="008C7CBE">
      <w:pPr>
        <w:pStyle w:val="Bodytextnumbered"/>
        <w:numPr>
          <w:ilvl w:val="1"/>
          <w:numId w:val="13"/>
        </w:numPr>
      </w:pPr>
      <w:r>
        <w:t>whether publication may</w:t>
      </w:r>
      <w:r w:rsidR="00F72222">
        <w:t xml:space="preserve"> </w:t>
      </w:r>
      <w:r w:rsidR="00BD4068">
        <w:t xml:space="preserve">have a </w:t>
      </w:r>
      <w:r w:rsidR="00F72222">
        <w:t xml:space="preserve">negative impact </w:t>
      </w:r>
      <w:r w:rsidR="00BD4068">
        <w:t xml:space="preserve">on </w:t>
      </w:r>
      <w:r w:rsidR="00F72222">
        <w:t>the reportable offender’s successful rehabilitation;</w:t>
      </w:r>
      <w:r w:rsidR="009D2D0C" w:rsidRPr="009D2D0C">
        <w:t xml:space="preserve"> </w:t>
      </w:r>
    </w:p>
    <w:p w14:paraId="7A522E79" w14:textId="583DF367" w:rsidR="008C7CBE" w:rsidRDefault="009D2D0C" w:rsidP="00F72222">
      <w:pPr>
        <w:pStyle w:val="Bodytextnumbered"/>
        <w:numPr>
          <w:ilvl w:val="1"/>
          <w:numId w:val="13"/>
        </w:numPr>
      </w:pPr>
      <w:r w:rsidRPr="009D2D0C">
        <w:t>the registrable offender's age and the age of any victims of any offences by the registrable offender at the time those offences were committed</w:t>
      </w:r>
      <w:r w:rsidR="00B651D0">
        <w:t xml:space="preserve"> </w:t>
      </w:r>
      <w:r w:rsidR="00215665">
        <w:t>(</w:t>
      </w:r>
      <w:r w:rsidR="00215665" w:rsidRPr="00F72222">
        <w:rPr>
          <w:b/>
          <w:bCs/>
        </w:rPr>
        <w:t xml:space="preserve">RECOMMENDATION </w:t>
      </w:r>
      <w:r w:rsidR="00565019">
        <w:rPr>
          <w:b/>
          <w:bCs/>
        </w:rPr>
        <w:t>9</w:t>
      </w:r>
      <w:r w:rsidR="00ED2831">
        <w:rPr>
          <w:b/>
          <w:bCs/>
        </w:rPr>
        <w:t>D</w:t>
      </w:r>
      <w:r w:rsidR="00215665">
        <w:t>)</w:t>
      </w:r>
      <w:r w:rsidR="00DF26E2">
        <w:t>.</w:t>
      </w:r>
    </w:p>
    <w:p w14:paraId="7DA80295" w14:textId="4339BE4D" w:rsidR="00507B24" w:rsidRDefault="003E150D" w:rsidP="00324EDE">
      <w:pPr>
        <w:pStyle w:val="Bodytextnumbered"/>
      </w:pPr>
      <w:r>
        <w:t>T</w:t>
      </w:r>
      <w:r w:rsidR="0079650F">
        <w:t>he Bill</w:t>
      </w:r>
      <w:r w:rsidR="001A0E0E">
        <w:t xml:space="preserve"> limits reportable offenders</w:t>
      </w:r>
      <w:r w:rsidR="001A5FDA">
        <w:t>’</w:t>
      </w:r>
      <w:r w:rsidR="001A0E0E">
        <w:t xml:space="preserve"> right to a fair hearing (section 31, Human Rights Act) by removing their ability to seek a judicial review of the decision to publish their details and protecting the State from liability arising from the negligent, unlawful publication of their details. </w:t>
      </w:r>
    </w:p>
    <w:p w14:paraId="535163D3" w14:textId="53C78AB2" w:rsidR="003E150D" w:rsidRDefault="00321B59" w:rsidP="00352570">
      <w:pPr>
        <w:pStyle w:val="Bodytextnumbered"/>
        <w:rPr>
          <w:rFonts w:eastAsia="MS Mincho" w:cs="Arial"/>
        </w:rPr>
      </w:pPr>
      <w:r>
        <w:t xml:space="preserve">The </w:t>
      </w:r>
      <w:r w:rsidR="001A5FDA">
        <w:t>E</w:t>
      </w:r>
      <w:r w:rsidR="0075485C">
        <w:t>xplanatory</w:t>
      </w:r>
      <w:r>
        <w:t xml:space="preserve"> </w:t>
      </w:r>
      <w:r w:rsidR="001A5FDA">
        <w:t>N</w:t>
      </w:r>
      <w:r>
        <w:t xml:space="preserve">otes for the Bill explain that if procedural fairness and review rights were not </w:t>
      </w:r>
      <w:r w:rsidR="00517AFD">
        <w:t>removed in this way</w:t>
      </w:r>
      <w:r>
        <w:t xml:space="preserve">, a significant risk </w:t>
      </w:r>
      <w:r w:rsidR="00C11500">
        <w:t xml:space="preserve">would exist </w:t>
      </w:r>
      <w:r>
        <w:t xml:space="preserve">that the public register could not operate as </w:t>
      </w:r>
      <w:r w:rsidR="0075485C">
        <w:t>intended</w:t>
      </w:r>
      <w:r>
        <w:t>’.</w:t>
      </w:r>
      <w:r w:rsidR="00517AFD">
        <w:rPr>
          <w:rStyle w:val="FootnoteReference"/>
        </w:rPr>
        <w:footnoteReference w:id="58"/>
      </w:r>
      <w:r>
        <w:t xml:space="preserve"> Th</w:t>
      </w:r>
      <w:r w:rsidR="00872CEE">
        <w:t xml:space="preserve">e </w:t>
      </w:r>
      <w:r w:rsidR="00736892">
        <w:t>E</w:t>
      </w:r>
      <w:r w:rsidR="00872CEE">
        <w:t xml:space="preserve">xplanatory </w:t>
      </w:r>
      <w:r w:rsidR="00736892">
        <w:t>N</w:t>
      </w:r>
      <w:r w:rsidR="00872CEE">
        <w:t xml:space="preserve">otes go on to </w:t>
      </w:r>
      <w:r w:rsidR="005768F2">
        <w:t>state</w:t>
      </w:r>
      <w:r w:rsidR="00736892">
        <w:t>,</w:t>
      </w:r>
      <w:r w:rsidR="00872CEE">
        <w:t xml:space="preserve"> </w:t>
      </w:r>
      <w:r w:rsidR="00FF2E33">
        <w:t>‘</w:t>
      </w:r>
      <w:r w:rsidR="00FF2E33" w:rsidRPr="0049177F">
        <w:rPr>
          <w:i/>
          <w:iCs/>
        </w:rPr>
        <w:t xml:space="preserve">it is important that the </w:t>
      </w:r>
      <w:r w:rsidR="00DB1B65" w:rsidRPr="0049177F">
        <w:rPr>
          <w:i/>
          <w:iCs/>
        </w:rPr>
        <w:t>Police Commissioner</w:t>
      </w:r>
      <w:r w:rsidR="00FF2E33" w:rsidRPr="0049177F">
        <w:rPr>
          <w:i/>
          <w:iCs/>
        </w:rPr>
        <w:t xml:space="preserve"> is not require</w:t>
      </w:r>
      <w:r w:rsidR="00B323D1" w:rsidRPr="0049177F">
        <w:rPr>
          <w:i/>
          <w:iCs/>
        </w:rPr>
        <w:t>d</w:t>
      </w:r>
      <w:r w:rsidR="00FF2E33" w:rsidRPr="0049177F">
        <w:rPr>
          <w:i/>
          <w:iCs/>
        </w:rPr>
        <w:t xml:space="preserve"> to identify and locate all person</w:t>
      </w:r>
      <w:r w:rsidR="007F132A" w:rsidRPr="0049177F">
        <w:rPr>
          <w:i/>
          <w:iCs/>
        </w:rPr>
        <w:t>s</w:t>
      </w:r>
      <w:r w:rsidR="00FF2E33" w:rsidRPr="0049177F">
        <w:rPr>
          <w:i/>
          <w:iCs/>
        </w:rPr>
        <w:t xml:space="preserve"> who may be impacted and provide them with an opportunity </w:t>
      </w:r>
      <w:r w:rsidR="005768F2" w:rsidRPr="0049177F">
        <w:rPr>
          <w:i/>
          <w:iCs/>
        </w:rPr>
        <w:t>to be heard</w:t>
      </w:r>
      <w:r w:rsidR="00393B48" w:rsidRPr="0049177F">
        <w:rPr>
          <w:i/>
          <w:iCs/>
        </w:rPr>
        <w:t>…</w:t>
      </w:r>
      <w:r w:rsidR="00393B48">
        <w:t xml:space="preserve">’ </w:t>
      </w:r>
      <w:r w:rsidR="00B323D1">
        <w:t>a</w:t>
      </w:r>
      <w:r w:rsidR="00393B48">
        <w:t>s this would create delays in releasing information.</w:t>
      </w:r>
      <w:r w:rsidR="00517AFD">
        <w:rPr>
          <w:rStyle w:val="FootnoteReference"/>
        </w:rPr>
        <w:footnoteReference w:id="59"/>
      </w:r>
      <w:r w:rsidR="00393B48">
        <w:t xml:space="preserve"> </w:t>
      </w:r>
    </w:p>
    <w:p w14:paraId="4A4531A3" w14:textId="3CD7C74E" w:rsidR="000926CD" w:rsidRPr="003E150D" w:rsidRDefault="00517AFD" w:rsidP="00352570">
      <w:pPr>
        <w:pStyle w:val="Bodytextnumbered"/>
        <w:rPr>
          <w:rFonts w:eastAsia="MS Mincho" w:cs="Arial"/>
        </w:rPr>
      </w:pPr>
      <w:r>
        <w:lastRenderedPageBreak/>
        <w:t>I</w:t>
      </w:r>
      <w:r w:rsidR="009A3B99">
        <w:t xml:space="preserve">n circumstances in which </w:t>
      </w:r>
      <w:r w:rsidR="00B711F4">
        <w:t xml:space="preserve">a person has made a ‘general locality’ application, there is unlikely to be any urgency. In recognition of this fact, the </w:t>
      </w:r>
      <w:r w:rsidR="000F29CE">
        <w:t xml:space="preserve">Western Australian scheme provides that prior to publishing the photograph and locality of a person the Commissioner must give the </w:t>
      </w:r>
      <w:r w:rsidR="00FE5C8D">
        <w:t>offender</w:t>
      </w:r>
      <w:r w:rsidR="000F29CE">
        <w:t xml:space="preserve"> written notice</w:t>
      </w:r>
      <w:r w:rsidR="00D53A45">
        <w:t xml:space="preserve"> </w:t>
      </w:r>
      <w:r w:rsidR="000F29CE">
        <w:t xml:space="preserve">and </w:t>
      </w:r>
      <w:r w:rsidR="00E52ED7">
        <w:t>provide a period of not less than 21 day</w:t>
      </w:r>
      <w:r w:rsidR="00FD3B9A">
        <w:t>s</w:t>
      </w:r>
      <w:r w:rsidR="00E52ED7">
        <w:t xml:space="preserve"> to make submissions in relation to the proposal</w:t>
      </w:r>
      <w:r w:rsidR="00FE5C8D">
        <w:t>. It also</w:t>
      </w:r>
      <w:r w:rsidR="00FD3B9A">
        <w:t xml:space="preserve"> requires that any submissions be considered</w:t>
      </w:r>
      <w:r w:rsidR="00FE5C8D">
        <w:t xml:space="preserve"> by the </w:t>
      </w:r>
      <w:r w:rsidR="00DB1B65">
        <w:t>Police Commissioner</w:t>
      </w:r>
      <w:r w:rsidR="00E52ED7">
        <w:t>.</w:t>
      </w:r>
      <w:r w:rsidR="00FD3B9A">
        <w:rPr>
          <w:rStyle w:val="FootnoteReference"/>
        </w:rPr>
        <w:footnoteReference w:id="60"/>
      </w:r>
      <w:r w:rsidR="000926CD">
        <w:t xml:space="preserve"> </w:t>
      </w:r>
      <w:permStart w:id="561922249" w:edGrp="everyone"/>
      <w:permEnd w:id="561922249"/>
    </w:p>
    <w:p w14:paraId="4EF10E87" w14:textId="24622755" w:rsidR="00B54119" w:rsidRPr="004C0DD3" w:rsidRDefault="00B54119" w:rsidP="00352570">
      <w:pPr>
        <w:pStyle w:val="Bodytextnumbered"/>
        <w:rPr>
          <w:rFonts w:eastAsia="MS Mincho" w:cs="Arial"/>
        </w:rPr>
      </w:pPr>
      <w:r>
        <w:t xml:space="preserve">The ability </w:t>
      </w:r>
      <w:r w:rsidR="00D85FE6">
        <w:t>for a</w:t>
      </w:r>
      <w:r w:rsidR="00F02DB5">
        <w:t xml:space="preserve"> reportable offender to make submissions would</w:t>
      </w:r>
      <w:r w:rsidR="00D01441">
        <w:t xml:space="preserve"> </w:t>
      </w:r>
      <w:r w:rsidR="00F02DB5">
        <w:t>minimise the likelihood that an offender</w:t>
      </w:r>
      <w:r w:rsidR="008302BF">
        <w:t>’</w:t>
      </w:r>
      <w:r w:rsidR="00F02DB5">
        <w:t>s details will be published in circumstances where this presents a significant risk to the public or the offender</w:t>
      </w:r>
      <w:r w:rsidR="008302BF">
        <w:t>,</w:t>
      </w:r>
      <w:r w:rsidR="00F02DB5">
        <w:t xml:space="preserve"> or in circumstances in which the publication of an offender</w:t>
      </w:r>
      <w:r w:rsidR="0081131C">
        <w:t>’</w:t>
      </w:r>
      <w:r w:rsidR="00F02DB5">
        <w:t>s details would be manifestly unfair</w:t>
      </w:r>
      <w:r w:rsidR="001E55A7">
        <w:t>.</w:t>
      </w:r>
      <w:r w:rsidR="00B830E3">
        <w:t xml:space="preserve"> </w:t>
      </w:r>
    </w:p>
    <w:p w14:paraId="1EAF952B" w14:textId="5514ABD2" w:rsidR="004973FB" w:rsidRPr="0078265C" w:rsidRDefault="004C0DD3" w:rsidP="00352570">
      <w:pPr>
        <w:pStyle w:val="Bodytextnumbered"/>
        <w:rPr>
          <w:rFonts w:eastAsia="MS Mincho" w:cs="Arial"/>
        </w:rPr>
      </w:pPr>
      <w:r>
        <w:t xml:space="preserve">The Bill should be amended to require the </w:t>
      </w:r>
      <w:r w:rsidR="00DB1B65">
        <w:t>Police Commissioner</w:t>
      </w:r>
      <w:r>
        <w:t xml:space="preserve"> to notify an offender of an intention to publish their details</w:t>
      </w:r>
      <w:r w:rsidR="0016150F">
        <w:t xml:space="preserve"> </w:t>
      </w:r>
      <w:r w:rsidR="008F30C6">
        <w:t>under Tier 2</w:t>
      </w:r>
      <w:r>
        <w:t xml:space="preserve">, and </w:t>
      </w:r>
      <w:r w:rsidR="006802AE">
        <w:t>to require the Commissioner to give the person no less than 21 days to make submissions, which must be considered (</w:t>
      </w:r>
      <w:r w:rsidR="006802AE" w:rsidRPr="006802AE">
        <w:rPr>
          <w:b/>
          <w:bCs/>
        </w:rPr>
        <w:t xml:space="preserve">RECOMMENDATION </w:t>
      </w:r>
      <w:r w:rsidR="00565019">
        <w:rPr>
          <w:b/>
          <w:bCs/>
        </w:rPr>
        <w:t>9E</w:t>
      </w:r>
      <w:r w:rsidR="006802AE">
        <w:t>)</w:t>
      </w:r>
      <w:r w:rsidR="009B5EB5">
        <w:t>.</w:t>
      </w:r>
    </w:p>
    <w:p w14:paraId="61AC294D" w14:textId="783E6A43" w:rsidR="000F73AA" w:rsidRDefault="00D374CB" w:rsidP="0049177F">
      <w:pPr>
        <w:pStyle w:val="Heading2"/>
      </w:pPr>
      <w:bookmarkStart w:id="9" w:name="_Toc208387251"/>
      <w:r>
        <w:t>Exclusion of c</w:t>
      </w:r>
      <w:r w:rsidR="00F55B07">
        <w:t xml:space="preserve">hildren </w:t>
      </w:r>
      <w:r>
        <w:t>from the register</w:t>
      </w:r>
      <w:bookmarkEnd w:id="9"/>
      <w:r>
        <w:t xml:space="preserve"> </w:t>
      </w:r>
    </w:p>
    <w:p w14:paraId="6C2ED2CA" w14:textId="5998BC6A" w:rsidR="000527FC" w:rsidRPr="000527FC" w:rsidRDefault="00952EFE" w:rsidP="00333D8D">
      <w:pPr>
        <w:pStyle w:val="Bodytextnumbered"/>
        <w:rPr>
          <w:rFonts w:eastAsia="MS Mincho" w:cs="Arial"/>
        </w:rPr>
      </w:pPr>
      <w:r w:rsidRPr="00917377">
        <w:t>The Commission firmly supports the exclusion of child offenders</w:t>
      </w:r>
      <w:r w:rsidR="001F2942">
        <w:t xml:space="preserve"> from</w:t>
      </w:r>
      <w:r w:rsidR="00975A2B">
        <w:t xml:space="preserve"> the register</w:t>
      </w:r>
      <w:r w:rsidRPr="00917377">
        <w:t>. Being placed on a public sex offender registry can have severe negative implications for a young person, particularly regarding future study and employment opportunities.</w:t>
      </w:r>
      <w:r w:rsidRPr="000F73AA">
        <w:rPr>
          <w:rFonts w:cs="Arial"/>
        </w:rPr>
        <w:t xml:space="preserve"> The Commission is cognisant that up to one</w:t>
      </w:r>
      <w:r w:rsidR="00975A2B">
        <w:rPr>
          <w:rFonts w:cs="Arial"/>
        </w:rPr>
        <w:t>-</w:t>
      </w:r>
      <w:r w:rsidRPr="000F73AA">
        <w:rPr>
          <w:rFonts w:cs="Arial"/>
        </w:rPr>
        <w:t>third of child sexual abuse is perpetrated by people under the age of 18.</w:t>
      </w:r>
      <w:r w:rsidRPr="00917377">
        <w:rPr>
          <w:rFonts w:cs="Arial"/>
          <w:vertAlign w:val="superscript"/>
        </w:rPr>
        <w:footnoteReference w:id="61"/>
      </w:r>
      <w:r w:rsidRPr="000F73AA">
        <w:rPr>
          <w:rFonts w:cs="Arial"/>
        </w:rPr>
        <w:t xml:space="preserve"> In Queensland, the </w:t>
      </w:r>
      <w:r w:rsidR="000527FC">
        <w:rPr>
          <w:rFonts w:cs="Arial"/>
        </w:rPr>
        <w:t>g</w:t>
      </w:r>
      <w:r w:rsidRPr="000F73AA">
        <w:rPr>
          <w:rFonts w:cs="Arial"/>
        </w:rPr>
        <w:t>overnment has taken a ‘tough on crime’ approach to crime committed by children. This approach is poorly evidenced and unlikely to lead to lower crime rates in the long run.</w:t>
      </w:r>
      <w:r w:rsidRPr="00917377">
        <w:rPr>
          <w:rFonts w:cs="Arial"/>
          <w:vertAlign w:val="superscript"/>
        </w:rPr>
        <w:footnoteReference w:id="62"/>
      </w:r>
      <w:r w:rsidRPr="000F73AA">
        <w:rPr>
          <w:rFonts w:cs="Arial"/>
        </w:rPr>
        <w:t xml:space="preserve"> </w:t>
      </w:r>
    </w:p>
    <w:p w14:paraId="7EBDE0AF" w14:textId="35544731" w:rsidR="000F73AA" w:rsidRPr="007B3CC5" w:rsidRDefault="00952EFE" w:rsidP="007B3CC5">
      <w:pPr>
        <w:pStyle w:val="Bodytextnumbered"/>
        <w:rPr>
          <w:rFonts w:eastAsia="MS Mincho" w:cs="Arial"/>
        </w:rPr>
      </w:pPr>
      <w:r w:rsidRPr="000F73AA">
        <w:rPr>
          <w:rFonts w:cs="Arial"/>
        </w:rPr>
        <w:lastRenderedPageBreak/>
        <w:t>In relation to the prevention of child sexual abuse committed by children, the Commission urges an approach which favours prevention and intervention</w:t>
      </w:r>
      <w:r w:rsidR="00BE712A">
        <w:rPr>
          <w:rFonts w:cs="Arial"/>
        </w:rPr>
        <w:t xml:space="preserve"> </w:t>
      </w:r>
      <w:r w:rsidR="005C5C1B">
        <w:rPr>
          <w:rFonts w:cs="Arial"/>
        </w:rPr>
        <w:t xml:space="preserve">instead of </w:t>
      </w:r>
      <w:r w:rsidR="00BE712A">
        <w:rPr>
          <w:rFonts w:cs="Arial"/>
        </w:rPr>
        <w:t>punish</w:t>
      </w:r>
      <w:r w:rsidR="008372BB">
        <w:rPr>
          <w:rFonts w:cs="Arial"/>
        </w:rPr>
        <w:t>ment</w:t>
      </w:r>
      <w:r w:rsidRPr="000F73AA">
        <w:rPr>
          <w:rFonts w:cs="Arial"/>
        </w:rPr>
        <w:t xml:space="preserve">. Recent research </w:t>
      </w:r>
      <w:r w:rsidR="00BC77CA">
        <w:rPr>
          <w:rFonts w:cs="Arial"/>
        </w:rPr>
        <w:t xml:space="preserve">has been </w:t>
      </w:r>
      <w:r w:rsidRPr="000F73AA">
        <w:rPr>
          <w:rFonts w:cs="Arial"/>
        </w:rPr>
        <w:t>conducted in Queensland involving 1</w:t>
      </w:r>
      <w:r w:rsidR="005C5C1B">
        <w:rPr>
          <w:rFonts w:cs="Arial"/>
        </w:rPr>
        <w:t>,</w:t>
      </w:r>
      <w:r w:rsidRPr="000F73AA">
        <w:rPr>
          <w:rFonts w:cs="Arial"/>
        </w:rPr>
        <w:t xml:space="preserve">400 children who </w:t>
      </w:r>
      <w:r w:rsidR="00B747C8">
        <w:rPr>
          <w:rFonts w:cs="Arial"/>
        </w:rPr>
        <w:t>had</w:t>
      </w:r>
      <w:r w:rsidR="00B747C8" w:rsidRPr="000F73AA">
        <w:rPr>
          <w:rFonts w:cs="Arial"/>
        </w:rPr>
        <w:t xml:space="preserve"> </w:t>
      </w:r>
      <w:r w:rsidRPr="000F73AA">
        <w:rPr>
          <w:rFonts w:cs="Arial"/>
        </w:rPr>
        <w:t>been processed for sexual offences</w:t>
      </w:r>
      <w:r w:rsidR="00B747C8">
        <w:rPr>
          <w:rFonts w:cs="Arial"/>
        </w:rPr>
        <w:t xml:space="preserve"> and</w:t>
      </w:r>
      <w:r w:rsidRPr="000F73AA">
        <w:rPr>
          <w:rFonts w:cs="Arial"/>
        </w:rPr>
        <w:t xml:space="preserve"> trea</w:t>
      </w:r>
      <w:r w:rsidR="00B747C8">
        <w:rPr>
          <w:rFonts w:cs="Arial"/>
        </w:rPr>
        <w:t>ted</w:t>
      </w:r>
      <w:r w:rsidRPr="000F73AA">
        <w:rPr>
          <w:rFonts w:cs="Arial"/>
        </w:rPr>
        <w:t xml:space="preserve"> by the Griffith Youth Forensic Service</w:t>
      </w:r>
      <w:r w:rsidR="00B747C8">
        <w:rPr>
          <w:rFonts w:cs="Arial"/>
        </w:rPr>
        <w:t xml:space="preserve">. This </w:t>
      </w:r>
      <w:r w:rsidR="007D5A31">
        <w:rPr>
          <w:rFonts w:cs="Arial"/>
        </w:rPr>
        <w:t>treatment</w:t>
      </w:r>
      <w:r w:rsidRPr="000F73AA">
        <w:rPr>
          <w:rFonts w:cs="Arial"/>
        </w:rPr>
        <w:t xml:space="preserve"> involv</w:t>
      </w:r>
      <w:r w:rsidR="0063198A">
        <w:rPr>
          <w:rFonts w:cs="Arial"/>
        </w:rPr>
        <w:t>ed</w:t>
      </w:r>
      <w:r w:rsidRPr="000F73AA">
        <w:rPr>
          <w:rFonts w:cs="Arial"/>
        </w:rPr>
        <w:t xml:space="preserve"> specialised, trauma-informed, community-based </w:t>
      </w:r>
      <w:r w:rsidR="007D5A31">
        <w:rPr>
          <w:rFonts w:cs="Arial"/>
        </w:rPr>
        <w:t>interventions</w:t>
      </w:r>
      <w:r w:rsidRPr="000F73AA">
        <w:rPr>
          <w:rFonts w:cs="Arial"/>
        </w:rPr>
        <w:t xml:space="preserve">, </w:t>
      </w:r>
      <w:r w:rsidR="007D5A31">
        <w:rPr>
          <w:rFonts w:cs="Arial"/>
        </w:rPr>
        <w:t>and</w:t>
      </w:r>
      <w:r w:rsidRPr="000F73AA">
        <w:rPr>
          <w:rFonts w:cs="Arial"/>
        </w:rPr>
        <w:t xml:space="preserve"> achieved reduced offending across different categories of offences</w:t>
      </w:r>
      <w:r w:rsidR="007D5A31">
        <w:rPr>
          <w:rFonts w:cs="Arial"/>
        </w:rPr>
        <w:t>. M</w:t>
      </w:r>
      <w:r w:rsidRPr="000F73AA">
        <w:rPr>
          <w:rFonts w:cs="Arial"/>
        </w:rPr>
        <w:t xml:space="preserve">ost relevantly, </w:t>
      </w:r>
      <w:r w:rsidR="007D5A31">
        <w:rPr>
          <w:rFonts w:cs="Arial"/>
        </w:rPr>
        <w:t xml:space="preserve">it </w:t>
      </w:r>
      <w:r w:rsidRPr="000F73AA">
        <w:rPr>
          <w:rFonts w:cs="Arial"/>
        </w:rPr>
        <w:t>achieved a 78-90</w:t>
      </w:r>
      <w:r w:rsidR="007D5A31">
        <w:rPr>
          <w:rFonts w:cs="Arial"/>
        </w:rPr>
        <w:t xml:space="preserve"> per cent</w:t>
      </w:r>
      <w:r w:rsidRPr="000F73AA">
        <w:rPr>
          <w:rFonts w:cs="Arial"/>
        </w:rPr>
        <w:t xml:space="preserve"> reduction in sexual reoffending between 2010 and 2024.</w:t>
      </w:r>
      <w:r w:rsidRPr="00917377">
        <w:rPr>
          <w:rFonts w:cs="Arial"/>
          <w:vertAlign w:val="superscript"/>
        </w:rPr>
        <w:footnoteReference w:id="63"/>
      </w:r>
      <w:r w:rsidRPr="000F73AA">
        <w:rPr>
          <w:rFonts w:cs="Arial"/>
        </w:rPr>
        <w:t xml:space="preserve"> This study offers clear evidence that specialist, community-based intervention is substantially more successful than punishment, including identification via a register, in reducing offending.</w:t>
      </w:r>
    </w:p>
    <w:sectPr w:rsidR="000F73AA" w:rsidRPr="007B3CC5" w:rsidSect="000C13C7">
      <w:headerReference w:type="default" r:id="rId12"/>
      <w:footerReference w:type="default" r:id="rId13"/>
      <w:headerReference w:type="first" r:id="rId14"/>
      <w:footerReference w:type="first" r:id="rId15"/>
      <w:pgSz w:w="11906" w:h="16838"/>
      <w:pgMar w:top="2127" w:right="1440" w:bottom="1440" w:left="1134" w:header="708" w:footer="6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838F" w14:textId="77777777" w:rsidR="0061714B" w:rsidRDefault="0061714B" w:rsidP="00304408">
      <w:pPr>
        <w:spacing w:after="0" w:line="240" w:lineRule="auto"/>
      </w:pPr>
      <w:r>
        <w:separator/>
      </w:r>
    </w:p>
  </w:endnote>
  <w:endnote w:type="continuationSeparator" w:id="0">
    <w:p w14:paraId="67032186" w14:textId="77777777" w:rsidR="0061714B" w:rsidRDefault="0061714B"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021555"/>
      <w:docPartObj>
        <w:docPartGallery w:val="Page Numbers (Bottom of Page)"/>
        <w:docPartUnique/>
      </w:docPartObj>
    </w:sdtPr>
    <w:sdtContent>
      <w:p w14:paraId="1A50E7C2" w14:textId="77777777" w:rsidR="00BF7719" w:rsidRPr="00BF7719" w:rsidRDefault="00BF7719">
        <w:pPr>
          <w:pStyle w:val="Footer"/>
          <w:jc w:val="right"/>
          <w:rPr>
            <w:sz w:val="22"/>
          </w:rPr>
        </w:pPr>
        <w:r w:rsidRPr="00BF7719">
          <w:rPr>
            <w:sz w:val="22"/>
          </w:rPr>
          <w:fldChar w:fldCharType="begin"/>
        </w:r>
        <w:r w:rsidRPr="00BF7719">
          <w:rPr>
            <w:sz w:val="22"/>
          </w:rPr>
          <w:instrText>PAGE   \* MERGEFORMAT</w:instrText>
        </w:r>
        <w:r w:rsidRPr="00BF7719">
          <w:rPr>
            <w:sz w:val="22"/>
          </w:rPr>
          <w:fldChar w:fldCharType="separate"/>
        </w:r>
        <w:r w:rsidRPr="00BF7719">
          <w:rPr>
            <w:sz w:val="22"/>
            <w:lang w:val="en-GB"/>
          </w:rPr>
          <w:t>2</w:t>
        </w:r>
        <w:r w:rsidRPr="00BF7719">
          <w:rPr>
            <w:sz w:val="22"/>
          </w:rPr>
          <w:fldChar w:fldCharType="end"/>
        </w:r>
      </w:p>
    </w:sdtContent>
  </w:sdt>
  <w:p w14:paraId="2CD7C81B" w14:textId="77777777" w:rsidR="00BC7248" w:rsidRPr="00BF7719" w:rsidRDefault="00BC7248" w:rsidP="00911F7B">
    <w:pPr>
      <w:pStyle w:val="Footer"/>
      <w:tabs>
        <w:tab w:val="clear" w:pos="4513"/>
        <w:tab w:val="clear" w:pos="9026"/>
      </w:tabs>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E006" w14:textId="77777777" w:rsidR="00BC7248" w:rsidRDefault="00BC7248"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993B" w14:textId="77777777" w:rsidR="0061714B" w:rsidRDefault="0061714B" w:rsidP="00304408">
      <w:pPr>
        <w:spacing w:after="0" w:line="240" w:lineRule="auto"/>
      </w:pPr>
      <w:r>
        <w:separator/>
      </w:r>
    </w:p>
  </w:footnote>
  <w:footnote w:type="continuationSeparator" w:id="0">
    <w:p w14:paraId="14CABF10" w14:textId="77777777" w:rsidR="0061714B" w:rsidRDefault="0061714B" w:rsidP="00304408">
      <w:pPr>
        <w:spacing w:after="0" w:line="240" w:lineRule="auto"/>
      </w:pPr>
      <w:r>
        <w:continuationSeparator/>
      </w:r>
    </w:p>
  </w:footnote>
  <w:footnote w:id="1">
    <w:p w14:paraId="6CD1DB7D" w14:textId="6D3E5674" w:rsidR="007C474D" w:rsidRPr="007C474D" w:rsidRDefault="007C474D">
      <w:pPr>
        <w:pStyle w:val="FootnoteText"/>
        <w:rPr>
          <w:lang w:val="en-GB"/>
        </w:rPr>
      </w:pPr>
      <w:r>
        <w:rPr>
          <w:rStyle w:val="FootnoteReference"/>
        </w:rPr>
        <w:footnoteRef/>
      </w:r>
      <w:r>
        <w:t xml:space="preserve"> </w:t>
      </w:r>
      <w:r>
        <w:rPr>
          <w:i/>
          <w:iCs/>
          <w:lang w:val="en-GB"/>
        </w:rPr>
        <w:t xml:space="preserve">Human Rights Act 2019 </w:t>
      </w:r>
      <w:r w:rsidRPr="00CF288E">
        <w:rPr>
          <w:lang w:val="en-GB"/>
        </w:rPr>
        <w:t>(Qld)</w:t>
      </w:r>
      <w:r>
        <w:rPr>
          <w:lang w:val="en-GB"/>
        </w:rPr>
        <w:t xml:space="preserve"> s</w:t>
      </w:r>
      <w:r w:rsidR="00E20359">
        <w:rPr>
          <w:lang w:val="en-GB"/>
        </w:rPr>
        <w:t xml:space="preserve">s 26, </w:t>
      </w:r>
      <w:r w:rsidR="00511DFB">
        <w:rPr>
          <w:lang w:val="en-GB"/>
        </w:rPr>
        <w:t>58.</w:t>
      </w:r>
    </w:p>
  </w:footnote>
  <w:footnote w:id="2">
    <w:p w14:paraId="269CD49C" w14:textId="5878E8AE" w:rsidR="00B61073" w:rsidRDefault="00B61073" w:rsidP="00B61073">
      <w:pPr>
        <w:pStyle w:val="FootnoteText"/>
        <w:rPr>
          <w:lang w:val="en-GB"/>
        </w:rPr>
      </w:pPr>
      <w:r>
        <w:rPr>
          <w:rStyle w:val="FootnoteReference"/>
        </w:rPr>
        <w:footnoteRef/>
      </w:r>
      <w:r>
        <w:t xml:space="preserve"> </w:t>
      </w:r>
      <w:r>
        <w:rPr>
          <w:i/>
          <w:iCs/>
          <w:lang w:val="en-GB"/>
        </w:rPr>
        <w:t xml:space="preserve">Human Rights Act 2019 </w:t>
      </w:r>
      <w:r w:rsidRPr="00CF288E">
        <w:rPr>
          <w:lang w:val="en-GB"/>
        </w:rPr>
        <w:t>(Qld)</w:t>
      </w:r>
      <w:r>
        <w:rPr>
          <w:lang w:val="en-GB"/>
        </w:rPr>
        <w:t xml:space="preserve"> s</w:t>
      </w:r>
      <w:r w:rsidR="00E0528B">
        <w:rPr>
          <w:lang w:val="en-GB"/>
        </w:rPr>
        <w:t xml:space="preserve"> </w:t>
      </w:r>
      <w:r>
        <w:rPr>
          <w:lang w:val="en-GB"/>
        </w:rPr>
        <w:t>13.</w:t>
      </w:r>
    </w:p>
  </w:footnote>
  <w:footnote w:id="3">
    <w:p w14:paraId="0B58F11F" w14:textId="41C7137E" w:rsidR="005F66C8" w:rsidRPr="00271E3A" w:rsidRDefault="005F66C8" w:rsidP="005F66C8">
      <w:pPr>
        <w:pStyle w:val="FootnoteText"/>
        <w:rPr>
          <w:lang w:val="en-GB"/>
        </w:rPr>
      </w:pPr>
      <w:r>
        <w:rPr>
          <w:rStyle w:val="FootnoteReference"/>
        </w:rPr>
        <w:footnoteRef/>
      </w:r>
      <w:r>
        <w:t xml:space="preserve"> </w:t>
      </w:r>
      <w:r w:rsidR="00F80A9D">
        <w:t xml:space="preserve">Statement of Compatibility, </w:t>
      </w:r>
      <w:r w:rsidR="00BC3913">
        <w:t xml:space="preserve">Community Protection and </w:t>
      </w:r>
      <w:r w:rsidR="00F80A9D" w:rsidRPr="004D2A17">
        <w:t>Public Child Sex Offender Register (Daniel’s Law) Bill 2025</w:t>
      </w:r>
      <w:r w:rsidR="000E10CE">
        <w:t xml:space="preserve"> (Qld)</w:t>
      </w:r>
      <w:r w:rsidR="00F80A9D">
        <w:t xml:space="preserve"> 6</w:t>
      </w:r>
      <w:r>
        <w:rPr>
          <w:i/>
          <w:iCs/>
          <w:lang w:val="en-GB"/>
        </w:rPr>
        <w:t xml:space="preserve">. </w:t>
      </w:r>
    </w:p>
  </w:footnote>
  <w:footnote w:id="4">
    <w:p w14:paraId="2CE9B47A" w14:textId="09AE0FF9" w:rsidR="00D42E4F" w:rsidRPr="00D42E4F" w:rsidRDefault="00D42E4F">
      <w:pPr>
        <w:pStyle w:val="FootnoteText"/>
        <w:rPr>
          <w:b/>
          <w:bCs/>
        </w:rPr>
      </w:pPr>
      <w:r>
        <w:rPr>
          <w:rStyle w:val="FootnoteReference"/>
        </w:rPr>
        <w:footnoteRef/>
      </w:r>
      <w:r>
        <w:t xml:space="preserve"> </w:t>
      </w:r>
      <w:r w:rsidRPr="00F80A9D">
        <w:rPr>
          <w:i/>
          <w:iCs/>
        </w:rPr>
        <w:t>Child Protection (Offender Reporting and Offender Prohibition Order) Act 2004</w:t>
      </w:r>
      <w:r w:rsidR="009A3F91">
        <w:rPr>
          <w:i/>
          <w:iCs/>
        </w:rPr>
        <w:t xml:space="preserve"> </w:t>
      </w:r>
      <w:r w:rsidR="009A3F91" w:rsidRPr="00CF288E">
        <w:t>(Qld)</w:t>
      </w:r>
      <w:r w:rsidRPr="00F80A9D">
        <w:t xml:space="preserve"> s</w:t>
      </w:r>
      <w:r w:rsidR="009A3F91">
        <w:t xml:space="preserve"> </w:t>
      </w:r>
      <w:r w:rsidRPr="00F80A9D">
        <w:t>5.</w:t>
      </w:r>
    </w:p>
  </w:footnote>
  <w:footnote w:id="5">
    <w:p w14:paraId="654AA120" w14:textId="5D86C2BA" w:rsidR="001A2319" w:rsidRPr="001A2319" w:rsidRDefault="001A2319">
      <w:pPr>
        <w:pStyle w:val="FootnoteText"/>
        <w:rPr>
          <w:lang w:val="en-GB"/>
        </w:rPr>
      </w:pPr>
      <w:r>
        <w:rPr>
          <w:rStyle w:val="FootnoteReference"/>
        </w:rPr>
        <w:footnoteRef/>
      </w:r>
      <w:r>
        <w:t xml:space="preserve"> </w:t>
      </w:r>
      <w:r w:rsidR="00D71FCE">
        <w:t xml:space="preserve">Community Protection and </w:t>
      </w:r>
      <w:r w:rsidR="00F80A9D" w:rsidRPr="004D2A17">
        <w:t xml:space="preserve">Public Child Sex Offender Register (Daniel’s Law) Bill 2025 </w:t>
      </w:r>
      <w:r w:rsidR="009A3F91">
        <w:t xml:space="preserve">(Qld) </w:t>
      </w:r>
      <w:r w:rsidR="001A4295">
        <w:t>s</w:t>
      </w:r>
      <w:r w:rsidR="009A3F91">
        <w:t xml:space="preserve"> </w:t>
      </w:r>
      <w:r w:rsidR="001A4295">
        <w:t>74AF</w:t>
      </w:r>
      <w:r w:rsidR="00335126">
        <w:t>.</w:t>
      </w:r>
      <w:r w:rsidR="001A4295">
        <w:t xml:space="preserve"> </w:t>
      </w:r>
    </w:p>
  </w:footnote>
  <w:footnote w:id="6">
    <w:p w14:paraId="1A727342" w14:textId="1C9C4CF6" w:rsidR="001A4295" w:rsidRPr="001A4295" w:rsidRDefault="001A4295">
      <w:pPr>
        <w:pStyle w:val="FootnoteText"/>
        <w:rPr>
          <w:lang w:val="en-GB"/>
        </w:rPr>
      </w:pPr>
      <w:r>
        <w:rPr>
          <w:rStyle w:val="FootnoteReference"/>
        </w:rPr>
        <w:footnoteRef/>
      </w:r>
      <w:r>
        <w:t xml:space="preserve"> </w:t>
      </w:r>
      <w:r w:rsidR="006E7BA5">
        <w:t xml:space="preserve">Community Protection and </w:t>
      </w:r>
      <w:r w:rsidR="00F80A9D" w:rsidRPr="004D2A17">
        <w:t xml:space="preserve">Public Child Sex Offender Register (Daniel’s Law) Bill 2025 </w:t>
      </w:r>
      <w:r w:rsidR="009A3F91">
        <w:t xml:space="preserve">(Qld) </w:t>
      </w:r>
      <w:r>
        <w:rPr>
          <w:lang w:val="en-GB"/>
        </w:rPr>
        <w:t>s</w:t>
      </w:r>
      <w:r w:rsidR="005026B8">
        <w:rPr>
          <w:lang w:val="en-GB"/>
        </w:rPr>
        <w:t xml:space="preserve"> </w:t>
      </w:r>
      <w:r>
        <w:rPr>
          <w:lang w:val="en-GB"/>
        </w:rPr>
        <w:t>74AG</w:t>
      </w:r>
      <w:r w:rsidR="005026B8">
        <w:rPr>
          <w:lang w:val="en-GB"/>
        </w:rPr>
        <w:t>.</w:t>
      </w:r>
    </w:p>
  </w:footnote>
  <w:footnote w:id="7">
    <w:p w14:paraId="5D93883C" w14:textId="7781F063" w:rsidR="001A4295" w:rsidRPr="001A4295" w:rsidRDefault="001A4295">
      <w:pPr>
        <w:pStyle w:val="FootnoteText"/>
        <w:rPr>
          <w:lang w:val="en-GB"/>
        </w:rPr>
      </w:pPr>
      <w:r>
        <w:rPr>
          <w:rStyle w:val="FootnoteReference"/>
        </w:rPr>
        <w:footnoteRef/>
      </w:r>
      <w:r>
        <w:t xml:space="preserve"> </w:t>
      </w:r>
      <w:r w:rsidR="00312404">
        <w:t xml:space="preserve">Community Protection and </w:t>
      </w:r>
      <w:r w:rsidR="00F80A9D" w:rsidRPr="004D2A17">
        <w:t>Public Child Sex Offender Register (Daniel’s Law) Bill 2025</w:t>
      </w:r>
      <w:r w:rsidR="009A3F91">
        <w:t xml:space="preserve"> (Qld)</w:t>
      </w:r>
      <w:r w:rsidR="00F80A9D" w:rsidRPr="004D2A17" w:rsidDel="009A3F91">
        <w:t xml:space="preserve"> </w:t>
      </w:r>
      <w:r w:rsidR="00F80A9D">
        <w:t>s</w:t>
      </w:r>
      <w:r w:rsidR="005026B8">
        <w:t xml:space="preserve"> </w:t>
      </w:r>
      <w:r w:rsidR="00EC4AA9">
        <w:rPr>
          <w:lang w:val="en-GB"/>
        </w:rPr>
        <w:t>74</w:t>
      </w:r>
      <w:r w:rsidR="00B15438">
        <w:rPr>
          <w:lang w:val="en-GB"/>
        </w:rPr>
        <w:t>A</w:t>
      </w:r>
      <w:r w:rsidR="00EC4AA9">
        <w:rPr>
          <w:lang w:val="en-GB"/>
        </w:rPr>
        <w:t>I</w:t>
      </w:r>
      <w:r w:rsidR="00DE6FBD">
        <w:rPr>
          <w:lang w:val="en-GB"/>
        </w:rPr>
        <w:t>.</w:t>
      </w:r>
    </w:p>
  </w:footnote>
  <w:footnote w:id="8">
    <w:p w14:paraId="19B1B907" w14:textId="6C064037" w:rsidR="00034AC3" w:rsidRPr="00034AC3" w:rsidRDefault="00034AC3">
      <w:pPr>
        <w:pStyle w:val="FootnoteText"/>
        <w:rPr>
          <w:lang w:val="en-GB"/>
        </w:rPr>
      </w:pPr>
      <w:r>
        <w:rPr>
          <w:rStyle w:val="FootnoteReference"/>
        </w:rPr>
        <w:footnoteRef/>
      </w:r>
      <w:r>
        <w:t xml:space="preserve"> </w:t>
      </w:r>
      <w:r w:rsidR="00966ADF">
        <w:t xml:space="preserve">Community </w:t>
      </w:r>
      <w:r w:rsidR="00194D74">
        <w:t xml:space="preserve">Protection and </w:t>
      </w:r>
      <w:r w:rsidR="00F80A9D">
        <w:t>P</w:t>
      </w:r>
      <w:r w:rsidR="00F80A9D" w:rsidRPr="004D2A17">
        <w:t xml:space="preserve">ublic Child Sex Offender Register (Daniel’s Law) Bill 2025 </w:t>
      </w:r>
      <w:r w:rsidR="00DE6FBD">
        <w:t xml:space="preserve">(Qld) </w:t>
      </w:r>
      <w:r w:rsidR="00F80A9D">
        <w:t>s</w:t>
      </w:r>
      <w:r w:rsidR="00DE6FBD">
        <w:t xml:space="preserve"> </w:t>
      </w:r>
      <w:r w:rsidR="008D36A4">
        <w:rPr>
          <w:lang w:val="en-GB"/>
        </w:rPr>
        <w:t>74AH</w:t>
      </w:r>
      <w:r w:rsidR="00DE6FBD">
        <w:rPr>
          <w:lang w:val="en-GB"/>
        </w:rPr>
        <w:t>.</w:t>
      </w:r>
    </w:p>
  </w:footnote>
  <w:footnote w:id="9">
    <w:p w14:paraId="554ED42C" w14:textId="4DF3D9F3" w:rsidR="00687DB6" w:rsidRPr="00687DB6" w:rsidRDefault="00687DB6">
      <w:pPr>
        <w:pStyle w:val="FootnoteText"/>
        <w:rPr>
          <w:lang w:val="en-GB"/>
        </w:rPr>
      </w:pPr>
      <w:r>
        <w:rPr>
          <w:rStyle w:val="FootnoteReference"/>
        </w:rPr>
        <w:footnoteRef/>
      </w:r>
      <w:r>
        <w:t xml:space="preserve"> </w:t>
      </w:r>
      <w:r w:rsidR="00F443F7">
        <w:t xml:space="preserve">Community </w:t>
      </w:r>
      <w:r w:rsidR="00115E83">
        <w:t xml:space="preserve">Protection </w:t>
      </w:r>
      <w:r w:rsidR="00F443F7">
        <w:t xml:space="preserve">and </w:t>
      </w:r>
      <w:r w:rsidR="00F80A9D" w:rsidRPr="004D2A17">
        <w:t xml:space="preserve">Public Child Sex Offender Register (Daniel’s Law) Bill 2025 </w:t>
      </w:r>
      <w:r w:rsidR="00F443F7">
        <w:t xml:space="preserve">(Qld) </w:t>
      </w:r>
      <w:r w:rsidR="00F80A9D">
        <w:t>s</w:t>
      </w:r>
      <w:r w:rsidR="005026B8">
        <w:t xml:space="preserve"> </w:t>
      </w:r>
      <w:r w:rsidR="001C69F7">
        <w:rPr>
          <w:lang w:val="en-GB"/>
        </w:rPr>
        <w:t>74AI(4)</w:t>
      </w:r>
      <w:r w:rsidR="00FE369A">
        <w:rPr>
          <w:lang w:val="en-GB"/>
        </w:rPr>
        <w:t>.</w:t>
      </w:r>
    </w:p>
  </w:footnote>
  <w:footnote w:id="10">
    <w:p w14:paraId="604CAB5C" w14:textId="1FA0A960" w:rsidR="001C69F7" w:rsidRPr="001C69F7" w:rsidRDefault="001C69F7">
      <w:pPr>
        <w:pStyle w:val="FootnoteText"/>
        <w:rPr>
          <w:lang w:val="en-GB"/>
        </w:rPr>
      </w:pPr>
      <w:r>
        <w:rPr>
          <w:rStyle w:val="FootnoteReference"/>
        </w:rPr>
        <w:footnoteRef/>
      </w:r>
      <w:r>
        <w:t xml:space="preserve"> </w:t>
      </w:r>
      <w:r w:rsidR="00FE369A">
        <w:t xml:space="preserve">Community </w:t>
      </w:r>
      <w:r w:rsidR="00115E83">
        <w:t xml:space="preserve">Protection </w:t>
      </w:r>
      <w:r w:rsidR="00FE369A">
        <w:t xml:space="preserve">and </w:t>
      </w:r>
      <w:r w:rsidR="00F80A9D" w:rsidRPr="004D2A17">
        <w:t xml:space="preserve">Public Child Sex Offender Register (Daniel’s Law) Bill 2025 </w:t>
      </w:r>
      <w:r w:rsidR="00FE369A">
        <w:t xml:space="preserve">(Qld) </w:t>
      </w:r>
      <w:r w:rsidR="00F80A9D">
        <w:t>s</w:t>
      </w:r>
      <w:r w:rsidR="005026B8">
        <w:t xml:space="preserve"> </w:t>
      </w:r>
      <w:r w:rsidR="00ED7E09">
        <w:rPr>
          <w:lang w:val="en-GB"/>
        </w:rPr>
        <w:t>74AK</w:t>
      </w:r>
      <w:r w:rsidR="00FE369A">
        <w:rPr>
          <w:lang w:val="en-GB"/>
        </w:rPr>
        <w:t>.</w:t>
      </w:r>
    </w:p>
  </w:footnote>
  <w:footnote w:id="11">
    <w:p w14:paraId="5569F5F0" w14:textId="2A7D1FBB" w:rsidR="00ED7E09" w:rsidRPr="00ED7E09" w:rsidRDefault="00ED7E09">
      <w:pPr>
        <w:pStyle w:val="FootnoteText"/>
        <w:rPr>
          <w:lang w:val="en-GB"/>
        </w:rPr>
      </w:pPr>
      <w:r>
        <w:rPr>
          <w:rStyle w:val="FootnoteReference"/>
        </w:rPr>
        <w:footnoteRef/>
      </w:r>
      <w:r>
        <w:t xml:space="preserve"> </w:t>
      </w:r>
      <w:r w:rsidR="00211FBC">
        <w:t xml:space="preserve">Community Protection and </w:t>
      </w:r>
      <w:r w:rsidR="00F80A9D" w:rsidRPr="004D2A17">
        <w:t xml:space="preserve">Public Child Sex Offender Register (Daniel’s Law) Bill 2025 </w:t>
      </w:r>
      <w:r w:rsidR="00211FBC">
        <w:t xml:space="preserve">(Qld) </w:t>
      </w:r>
      <w:r w:rsidR="00F80A9D">
        <w:t>s</w:t>
      </w:r>
      <w:r w:rsidR="00211FBC">
        <w:t xml:space="preserve"> </w:t>
      </w:r>
      <w:r>
        <w:rPr>
          <w:lang w:val="en-GB"/>
        </w:rPr>
        <w:t>74</w:t>
      </w:r>
      <w:r w:rsidR="00F47A77">
        <w:rPr>
          <w:lang w:val="en-GB"/>
        </w:rPr>
        <w:t>AJ</w:t>
      </w:r>
      <w:r w:rsidR="00211FBC">
        <w:rPr>
          <w:lang w:val="en-GB"/>
        </w:rPr>
        <w:t>.</w:t>
      </w:r>
    </w:p>
  </w:footnote>
  <w:footnote w:id="12">
    <w:p w14:paraId="2DB4E741" w14:textId="189B0F23" w:rsidR="002F1536" w:rsidRPr="002F1536" w:rsidRDefault="002F1536">
      <w:pPr>
        <w:pStyle w:val="FootnoteText"/>
        <w:rPr>
          <w:lang w:val="en-GB"/>
        </w:rPr>
      </w:pPr>
      <w:r>
        <w:rPr>
          <w:rStyle w:val="FootnoteReference"/>
        </w:rPr>
        <w:footnoteRef/>
      </w:r>
      <w:r>
        <w:t xml:space="preserve"> </w:t>
      </w:r>
      <w:r w:rsidR="00DE0F32">
        <w:t xml:space="preserve">Community </w:t>
      </w:r>
      <w:r w:rsidR="00265B42">
        <w:t xml:space="preserve">Protection </w:t>
      </w:r>
      <w:r w:rsidR="00DE0F32">
        <w:t xml:space="preserve">and </w:t>
      </w:r>
      <w:r w:rsidR="00F80A9D" w:rsidRPr="004D2A17">
        <w:t xml:space="preserve">Public Child Sex Offender Register (Daniel’s Law) Bill 2025 </w:t>
      </w:r>
      <w:r w:rsidR="00DE0F32">
        <w:t xml:space="preserve">(Qld) </w:t>
      </w:r>
      <w:r w:rsidR="00F80A9D">
        <w:t>s</w:t>
      </w:r>
      <w:r w:rsidR="00DE0F32">
        <w:t xml:space="preserve"> </w:t>
      </w:r>
      <w:r>
        <w:rPr>
          <w:lang w:val="en-GB"/>
        </w:rPr>
        <w:t>74AE</w:t>
      </w:r>
      <w:r w:rsidR="00DE0F32">
        <w:rPr>
          <w:lang w:val="en-GB"/>
        </w:rPr>
        <w:t>.</w:t>
      </w:r>
    </w:p>
  </w:footnote>
  <w:footnote w:id="13">
    <w:p w14:paraId="0701FED8" w14:textId="25DD0A11" w:rsidR="00F71A43" w:rsidRPr="00F71A43" w:rsidRDefault="00F71A43">
      <w:pPr>
        <w:pStyle w:val="FootnoteText"/>
        <w:rPr>
          <w:lang w:val="en-GB"/>
        </w:rPr>
      </w:pPr>
      <w:r>
        <w:rPr>
          <w:rStyle w:val="FootnoteReference"/>
        </w:rPr>
        <w:footnoteRef/>
      </w:r>
      <w:r>
        <w:t xml:space="preserve"> </w:t>
      </w:r>
      <w:r w:rsidR="00486C6F" w:rsidRPr="00F80A9D">
        <w:rPr>
          <w:i/>
          <w:iCs/>
        </w:rPr>
        <w:t>Community Protection (Offender Reporting) Amendment Act 2012</w:t>
      </w:r>
      <w:r w:rsidR="00374ABE">
        <w:rPr>
          <w:i/>
          <w:iCs/>
        </w:rPr>
        <w:t xml:space="preserve"> </w:t>
      </w:r>
      <w:r w:rsidR="00374ABE" w:rsidRPr="00CF288E">
        <w:t>(WA)</w:t>
      </w:r>
      <w:r w:rsidR="00E9655C">
        <w:t>.</w:t>
      </w:r>
    </w:p>
  </w:footnote>
  <w:footnote w:id="14">
    <w:p w14:paraId="2DA068ED" w14:textId="0593AE77" w:rsidR="002F6940" w:rsidRPr="002F6940" w:rsidRDefault="002F6940">
      <w:pPr>
        <w:pStyle w:val="FootnoteText"/>
        <w:rPr>
          <w:lang w:val="en-GB"/>
        </w:rPr>
      </w:pPr>
      <w:r>
        <w:rPr>
          <w:rStyle w:val="FootnoteReference"/>
        </w:rPr>
        <w:footnoteRef/>
      </w:r>
      <w:r>
        <w:t xml:space="preserve"> </w:t>
      </w:r>
      <w:r w:rsidRPr="00F80A9D">
        <w:rPr>
          <w:i/>
          <w:iCs/>
        </w:rPr>
        <w:t>Child Sex Offenders Registration (Public Register) Amendment Act 2024</w:t>
      </w:r>
      <w:r w:rsidR="00F80A9D">
        <w:rPr>
          <w:i/>
          <w:iCs/>
        </w:rPr>
        <w:t xml:space="preserve"> </w:t>
      </w:r>
      <w:r w:rsidR="00374ABE" w:rsidRPr="00CF288E">
        <w:t>(SA)</w:t>
      </w:r>
      <w:r w:rsidR="00E9655C">
        <w:t>.</w:t>
      </w:r>
    </w:p>
  </w:footnote>
  <w:footnote w:id="15">
    <w:p w14:paraId="3D02EBD4" w14:textId="1F934A02" w:rsidR="00D66690" w:rsidRPr="004D6FBE" w:rsidRDefault="00D66690">
      <w:pPr>
        <w:pStyle w:val="FootnoteText"/>
        <w:rPr>
          <w:lang w:val="en-GB"/>
        </w:rPr>
      </w:pPr>
      <w:r>
        <w:rPr>
          <w:rStyle w:val="FootnoteReference"/>
        </w:rPr>
        <w:footnoteRef/>
      </w:r>
      <w:r>
        <w:t xml:space="preserve"> </w:t>
      </w:r>
      <w:r w:rsidR="004D6FBE" w:rsidRPr="004D6FBE">
        <w:rPr>
          <w:i/>
          <w:iCs/>
          <w:lang w:val="en-GB"/>
        </w:rPr>
        <w:t xml:space="preserve">Child Sex Offenders Registration Act 2006 (WA) </w:t>
      </w:r>
      <w:r w:rsidR="004D6FBE">
        <w:rPr>
          <w:lang w:val="en-GB"/>
        </w:rPr>
        <w:t>s 66G3.</w:t>
      </w:r>
    </w:p>
  </w:footnote>
  <w:footnote w:id="16">
    <w:p w14:paraId="6D871B85" w14:textId="31B6E0EC" w:rsidR="00136619" w:rsidRPr="00B1256F" w:rsidRDefault="00136619" w:rsidP="00136619">
      <w:pPr>
        <w:pStyle w:val="FootnoteText"/>
        <w:rPr>
          <w:lang w:val="en-GB"/>
        </w:rPr>
      </w:pPr>
      <w:r>
        <w:rPr>
          <w:rStyle w:val="FootnoteReference"/>
        </w:rPr>
        <w:footnoteRef/>
      </w:r>
      <w:r>
        <w:t xml:space="preserve"> </w:t>
      </w:r>
      <w:r w:rsidR="00374ABE" w:rsidRPr="00374ABE">
        <w:rPr>
          <w:i/>
          <w:iCs/>
          <w:lang w:val="en-GB"/>
        </w:rPr>
        <w:t xml:space="preserve">Human Rights Act 2019 </w:t>
      </w:r>
      <w:r w:rsidR="00374ABE" w:rsidRPr="00CF288E">
        <w:rPr>
          <w:lang w:val="en-GB"/>
        </w:rPr>
        <w:t>(Qld)</w:t>
      </w:r>
      <w:r w:rsidR="00374ABE">
        <w:rPr>
          <w:lang w:val="en-GB"/>
        </w:rPr>
        <w:t xml:space="preserve"> </w:t>
      </w:r>
      <w:r w:rsidR="007C3DE3">
        <w:rPr>
          <w:lang w:val="en-GB"/>
        </w:rPr>
        <w:t>s</w:t>
      </w:r>
      <w:r w:rsidR="00EC147F">
        <w:rPr>
          <w:lang w:val="en-GB"/>
        </w:rPr>
        <w:t xml:space="preserve"> </w:t>
      </w:r>
      <w:r>
        <w:rPr>
          <w:lang w:val="en-GB"/>
        </w:rPr>
        <w:t>41</w:t>
      </w:r>
      <w:r w:rsidR="00C6029F">
        <w:rPr>
          <w:lang w:val="en-GB"/>
        </w:rPr>
        <w:t>.</w:t>
      </w:r>
    </w:p>
  </w:footnote>
  <w:footnote w:id="17">
    <w:p w14:paraId="7337A191" w14:textId="2327F7A9" w:rsidR="00136619" w:rsidRPr="00F06DE0" w:rsidRDefault="00136619" w:rsidP="00136619">
      <w:pPr>
        <w:pStyle w:val="FootnoteText"/>
        <w:rPr>
          <w:lang w:val="en-GB"/>
        </w:rPr>
      </w:pPr>
      <w:r>
        <w:rPr>
          <w:rStyle w:val="FootnoteReference"/>
        </w:rPr>
        <w:footnoteRef/>
      </w:r>
      <w:r>
        <w:t xml:space="preserve"> S</w:t>
      </w:r>
      <w:r w:rsidR="00374ABE">
        <w:t xml:space="preserve">tatement of Compatibility, </w:t>
      </w:r>
      <w:r w:rsidR="00EC147F">
        <w:t xml:space="preserve">Community Protection and </w:t>
      </w:r>
      <w:r w:rsidR="00374ABE">
        <w:t>P</w:t>
      </w:r>
      <w:r w:rsidR="00374ABE" w:rsidRPr="004D2A17">
        <w:t>ublic Child Sex Offender Register (Daniel’s Law) Bill 2025</w:t>
      </w:r>
      <w:r w:rsidR="00014CF2">
        <w:t xml:space="preserve"> (Qld) </w:t>
      </w:r>
      <w:r>
        <w:t>7</w:t>
      </w:r>
      <w:r w:rsidR="0072662C">
        <w:t>, 2</w:t>
      </w:r>
      <w:r w:rsidR="008D44B9">
        <w:t>.</w:t>
      </w:r>
    </w:p>
  </w:footnote>
  <w:footnote w:id="18">
    <w:p w14:paraId="150EA055" w14:textId="534288A8" w:rsidR="005E3ED9" w:rsidRPr="005E3ED9" w:rsidRDefault="005E3ED9">
      <w:pPr>
        <w:pStyle w:val="FootnoteText"/>
        <w:rPr>
          <w:lang w:val="en-GB"/>
        </w:rPr>
      </w:pPr>
      <w:r>
        <w:rPr>
          <w:rStyle w:val="FootnoteReference"/>
        </w:rPr>
        <w:footnoteRef/>
      </w:r>
      <w:r>
        <w:t xml:space="preserve"> </w:t>
      </w:r>
      <w:r w:rsidR="00374ABE" w:rsidRPr="00374ABE">
        <w:rPr>
          <w:i/>
          <w:iCs/>
          <w:lang w:val="en-GB"/>
        </w:rPr>
        <w:t xml:space="preserve">Human Rights Act 2019 </w:t>
      </w:r>
      <w:r w:rsidR="00374ABE" w:rsidRPr="00CF288E">
        <w:rPr>
          <w:lang w:val="en-GB"/>
        </w:rPr>
        <w:t>(Qld)</w:t>
      </w:r>
      <w:r w:rsidR="00374ABE" w:rsidDel="00EB2A30">
        <w:rPr>
          <w:lang w:val="en-GB"/>
        </w:rPr>
        <w:t xml:space="preserve"> </w:t>
      </w:r>
      <w:r w:rsidR="007C3DE3">
        <w:rPr>
          <w:lang w:val="en-GB"/>
        </w:rPr>
        <w:t>s</w:t>
      </w:r>
      <w:r w:rsidR="00EB2A30">
        <w:rPr>
          <w:lang w:val="en-GB"/>
        </w:rPr>
        <w:t xml:space="preserve"> </w:t>
      </w:r>
      <w:r>
        <w:rPr>
          <w:lang w:val="en-GB"/>
        </w:rPr>
        <w:t>43</w:t>
      </w:r>
      <w:r w:rsidR="00EB2A30">
        <w:rPr>
          <w:lang w:val="en-GB"/>
        </w:rPr>
        <w:t>.</w:t>
      </w:r>
    </w:p>
  </w:footnote>
  <w:footnote w:id="19">
    <w:p w14:paraId="3457A9EB" w14:textId="2FDFD630" w:rsidR="00BB0C54" w:rsidRPr="00BB0C54" w:rsidRDefault="00BB0C54">
      <w:pPr>
        <w:pStyle w:val="FootnoteText"/>
        <w:rPr>
          <w:lang w:val="en-GB"/>
        </w:rPr>
      </w:pPr>
      <w:r>
        <w:rPr>
          <w:rStyle w:val="FootnoteReference"/>
        </w:rPr>
        <w:footnoteRef/>
      </w:r>
      <w:r>
        <w:t xml:space="preserve"> </w:t>
      </w:r>
      <w:r w:rsidR="00374ABE" w:rsidRPr="00374ABE">
        <w:rPr>
          <w:i/>
          <w:iCs/>
          <w:lang w:val="en-GB"/>
        </w:rPr>
        <w:t xml:space="preserve">Human Rights Act 2019 </w:t>
      </w:r>
      <w:r w:rsidR="00374ABE" w:rsidRPr="0005416D">
        <w:rPr>
          <w:lang w:val="en-GB"/>
        </w:rPr>
        <w:t>(Qld)</w:t>
      </w:r>
      <w:r w:rsidR="00374ABE" w:rsidDel="00EB2A30">
        <w:t xml:space="preserve"> </w:t>
      </w:r>
      <w:r w:rsidR="007C3DE3">
        <w:t>s</w:t>
      </w:r>
      <w:r w:rsidR="00EB2A30">
        <w:t xml:space="preserve"> </w:t>
      </w:r>
      <w:r w:rsidR="007C3DE3">
        <w:t>44</w:t>
      </w:r>
      <w:r w:rsidR="00EB2A30">
        <w:t>.</w:t>
      </w:r>
    </w:p>
  </w:footnote>
  <w:footnote w:id="20">
    <w:p w14:paraId="48650660" w14:textId="2B04E667" w:rsidR="00D1680E" w:rsidRPr="00D1680E" w:rsidRDefault="00D1680E">
      <w:pPr>
        <w:pStyle w:val="FootnoteText"/>
        <w:rPr>
          <w:lang w:val="en-GB"/>
        </w:rPr>
      </w:pPr>
      <w:r>
        <w:rPr>
          <w:rStyle w:val="FootnoteReference"/>
        </w:rPr>
        <w:footnoteRef/>
      </w:r>
      <w:r>
        <w:t xml:space="preserve"> </w:t>
      </w:r>
      <w:r w:rsidR="007704D3">
        <w:t xml:space="preserve">Statement about </w:t>
      </w:r>
      <w:r>
        <w:rPr>
          <w:lang w:val="en-GB"/>
        </w:rPr>
        <w:t>Ex</w:t>
      </w:r>
      <w:r w:rsidR="00374ABE">
        <w:rPr>
          <w:lang w:val="en-GB"/>
        </w:rPr>
        <w:t xml:space="preserve">ceptional </w:t>
      </w:r>
      <w:r w:rsidR="007704D3">
        <w:rPr>
          <w:lang w:val="en-GB"/>
        </w:rPr>
        <w:t>C</w:t>
      </w:r>
      <w:r w:rsidR="00374ABE">
        <w:rPr>
          <w:lang w:val="en-GB"/>
        </w:rPr>
        <w:t>ircumstances</w:t>
      </w:r>
      <w:r w:rsidR="00374ABE" w:rsidDel="0044236D">
        <w:rPr>
          <w:lang w:val="en-GB"/>
        </w:rPr>
        <w:t>,</w:t>
      </w:r>
      <w:r w:rsidR="0044236D">
        <w:rPr>
          <w:lang w:val="en-GB"/>
        </w:rPr>
        <w:t xml:space="preserve"> Community Protection and </w:t>
      </w:r>
      <w:r w:rsidR="00374ABE">
        <w:t>P</w:t>
      </w:r>
      <w:r w:rsidR="00374ABE" w:rsidRPr="004D2A17">
        <w:t>ublic Child Sex Offender Register (Daniel’s Law) Bill 2025</w:t>
      </w:r>
      <w:r w:rsidR="003005F9">
        <w:t xml:space="preserve"> (Qld) </w:t>
      </w:r>
      <w:r>
        <w:rPr>
          <w:lang w:val="en-GB"/>
        </w:rPr>
        <w:t>1</w:t>
      </w:r>
      <w:r w:rsidR="00E13069">
        <w:rPr>
          <w:lang w:val="en-GB"/>
        </w:rPr>
        <w:t>.</w:t>
      </w:r>
    </w:p>
  </w:footnote>
  <w:footnote w:id="21">
    <w:p w14:paraId="53C25305" w14:textId="50631D4D" w:rsidR="00693FCE" w:rsidRPr="00693FCE" w:rsidRDefault="00693FCE">
      <w:pPr>
        <w:pStyle w:val="FootnoteText"/>
        <w:rPr>
          <w:lang w:val="en-GB"/>
        </w:rPr>
      </w:pPr>
      <w:r>
        <w:rPr>
          <w:rStyle w:val="FootnoteReference"/>
        </w:rPr>
        <w:footnoteRef/>
      </w:r>
      <w:r w:rsidR="00041CA8">
        <w:t xml:space="preserve"> Q</w:t>
      </w:r>
      <w:r w:rsidR="009612AB">
        <w:t xml:space="preserve">ueensland Government Statistician’s Office, </w:t>
      </w:r>
      <w:r w:rsidR="002C4C6D" w:rsidRPr="0005416D">
        <w:rPr>
          <w:i/>
        </w:rPr>
        <w:t>Crime report, Queensland, 202</w:t>
      </w:r>
      <w:r w:rsidR="00384A1C" w:rsidRPr="0005416D">
        <w:rPr>
          <w:i/>
        </w:rPr>
        <w:t>3–24</w:t>
      </w:r>
      <w:r w:rsidR="003A3891" w:rsidRPr="0005416D">
        <w:rPr>
          <w:i/>
        </w:rPr>
        <w:t>: Recorded crime statistics</w:t>
      </w:r>
      <w:r w:rsidR="00890A3A">
        <w:t xml:space="preserve"> (Report, </w:t>
      </w:r>
      <w:r w:rsidR="00440147">
        <w:t>23 April 2025)</w:t>
      </w:r>
      <w:r w:rsidR="00673D53">
        <w:t xml:space="preserve"> 9.</w:t>
      </w:r>
      <w:r w:rsidR="00BC49C2">
        <w:t xml:space="preserve"> </w:t>
      </w:r>
    </w:p>
  </w:footnote>
  <w:footnote w:id="22">
    <w:p w14:paraId="156C1002" w14:textId="2C98A910" w:rsidR="00EF3009" w:rsidRPr="00EF3009" w:rsidRDefault="00EF3009">
      <w:pPr>
        <w:pStyle w:val="FootnoteText"/>
        <w:rPr>
          <w:lang w:val="en-GB"/>
        </w:rPr>
      </w:pPr>
      <w:r>
        <w:rPr>
          <w:rStyle w:val="FootnoteReference"/>
        </w:rPr>
        <w:footnoteRef/>
      </w:r>
      <w:r w:rsidR="00252181">
        <w:t xml:space="preserve"> Australian Bureau of Statistics, </w:t>
      </w:r>
      <w:r w:rsidR="00E53D4F">
        <w:t xml:space="preserve">‘Recorded Crime </w:t>
      </w:r>
      <w:r w:rsidR="00E37B50">
        <w:t>–</w:t>
      </w:r>
      <w:r w:rsidR="00E53D4F">
        <w:t xml:space="preserve"> Victims</w:t>
      </w:r>
      <w:r w:rsidR="00F01703">
        <w:t xml:space="preserve"> - Queensland</w:t>
      </w:r>
      <w:r w:rsidR="00E37B50">
        <w:t>’</w:t>
      </w:r>
      <w:r w:rsidR="003112BC">
        <w:t xml:space="preserve">, </w:t>
      </w:r>
      <w:r w:rsidR="003112BC" w:rsidRPr="0005416D">
        <w:rPr>
          <w:i/>
        </w:rPr>
        <w:t>Crime and justice</w:t>
      </w:r>
      <w:r w:rsidR="003112BC">
        <w:t xml:space="preserve"> (Web Page, </w:t>
      </w:r>
      <w:r w:rsidR="002A7AE6">
        <w:t xml:space="preserve">3 September 2025) </w:t>
      </w:r>
      <w:r w:rsidR="008F799D">
        <w:t xml:space="preserve">Graph: </w:t>
      </w:r>
      <w:r w:rsidR="009406BB">
        <w:t>Sexual assault, victimisation rate Queensland</w:t>
      </w:r>
      <w:r w:rsidR="008F799D">
        <w:t xml:space="preserve"> &lt;</w:t>
      </w:r>
      <w:r w:rsidR="00091DA1" w:rsidRPr="00091DA1">
        <w:t xml:space="preserve"> https://www.abs.gov.au/statistics/people/crime-and-justice/recorded-crime-victims/latest-release#queensland</w:t>
      </w:r>
      <w:r w:rsidR="00091DA1">
        <w:t>&gt;.</w:t>
      </w:r>
    </w:p>
  </w:footnote>
  <w:footnote w:id="23">
    <w:p w14:paraId="2EB1F454" w14:textId="747D3FA2" w:rsidR="005B233C" w:rsidRPr="005B233C" w:rsidRDefault="005B233C">
      <w:pPr>
        <w:pStyle w:val="FootnoteText"/>
        <w:rPr>
          <w:lang w:val="en-GB"/>
        </w:rPr>
      </w:pPr>
      <w:r>
        <w:rPr>
          <w:rStyle w:val="FootnoteReference"/>
        </w:rPr>
        <w:footnoteRef/>
      </w:r>
      <w:r>
        <w:t xml:space="preserve"> </w:t>
      </w:r>
      <w:r w:rsidR="00374ABE">
        <w:rPr>
          <w:i/>
          <w:iCs/>
          <w:lang w:val="en-GB"/>
        </w:rPr>
        <w:t xml:space="preserve">Human Rights Act 2019 </w:t>
      </w:r>
      <w:r w:rsidR="00374ABE" w:rsidRPr="0005416D">
        <w:rPr>
          <w:lang w:val="en-GB"/>
        </w:rPr>
        <w:t>(Qld)</w:t>
      </w:r>
      <w:r w:rsidR="00374ABE">
        <w:rPr>
          <w:i/>
          <w:iCs/>
          <w:lang w:val="en-GB"/>
        </w:rPr>
        <w:t xml:space="preserve"> </w:t>
      </w:r>
      <w:r w:rsidR="00374ABE">
        <w:rPr>
          <w:lang w:val="en-GB"/>
        </w:rPr>
        <w:t>s</w:t>
      </w:r>
      <w:r w:rsidR="00AB1B02">
        <w:rPr>
          <w:lang w:val="en-GB"/>
        </w:rPr>
        <w:t xml:space="preserve"> </w:t>
      </w:r>
      <w:r w:rsidR="00C246BF">
        <w:rPr>
          <w:lang w:val="en-GB"/>
        </w:rPr>
        <w:t>58</w:t>
      </w:r>
      <w:r w:rsidR="00AB1B02">
        <w:rPr>
          <w:lang w:val="en-GB"/>
        </w:rPr>
        <w:t>.</w:t>
      </w:r>
    </w:p>
  </w:footnote>
  <w:footnote w:id="24">
    <w:p w14:paraId="72576248" w14:textId="05D4EC68" w:rsidR="004C4884" w:rsidRPr="00271E3A" w:rsidRDefault="004C4884" w:rsidP="004C4884">
      <w:pPr>
        <w:pStyle w:val="FootnoteText"/>
        <w:rPr>
          <w:lang w:val="en-GB"/>
        </w:rPr>
      </w:pPr>
      <w:r>
        <w:rPr>
          <w:rStyle w:val="FootnoteReference"/>
        </w:rPr>
        <w:footnoteRef/>
      </w:r>
      <w:r>
        <w:t xml:space="preserve"> </w:t>
      </w:r>
      <w:r w:rsidR="00374ABE">
        <w:t xml:space="preserve">Statement of Compatibility, </w:t>
      </w:r>
      <w:r w:rsidR="00AB1B02">
        <w:t xml:space="preserve">Community Protection and </w:t>
      </w:r>
      <w:r w:rsidR="00374ABE">
        <w:t>P</w:t>
      </w:r>
      <w:r w:rsidR="00374ABE" w:rsidRPr="004D2A17">
        <w:t>ublic Child Sex Offender Register (Daniel’s Law) Bill 2025</w:t>
      </w:r>
      <w:r w:rsidR="00AB1B02">
        <w:t xml:space="preserve"> (Qld)</w:t>
      </w:r>
      <w:r w:rsidR="00374ABE">
        <w:t xml:space="preserve"> 6.</w:t>
      </w:r>
    </w:p>
  </w:footnote>
  <w:footnote w:id="25">
    <w:p w14:paraId="1E7F7F16" w14:textId="6E6C7527" w:rsidR="008C2F8E" w:rsidRPr="00F71A43" w:rsidRDefault="008C2F8E" w:rsidP="008C2F8E">
      <w:pPr>
        <w:pStyle w:val="FootnoteText"/>
        <w:rPr>
          <w:lang w:val="en-GB"/>
        </w:rPr>
      </w:pPr>
      <w:r>
        <w:rPr>
          <w:rStyle w:val="FootnoteReference"/>
        </w:rPr>
        <w:footnoteRef/>
      </w:r>
      <w:r>
        <w:t xml:space="preserve"> </w:t>
      </w:r>
      <w:r w:rsidRPr="0005416D">
        <w:rPr>
          <w:i/>
        </w:rPr>
        <w:t>Community Protection (Offender Reporting) Amendment Act 2012</w:t>
      </w:r>
      <w:r w:rsidR="00374ABE">
        <w:t xml:space="preserve"> (WA)</w:t>
      </w:r>
      <w:r w:rsidR="00AB1B02">
        <w:t>.</w:t>
      </w:r>
    </w:p>
  </w:footnote>
  <w:footnote w:id="26">
    <w:p w14:paraId="1C3B392C" w14:textId="0A1C1FEA" w:rsidR="008C2F8E" w:rsidRPr="002F6940" w:rsidRDefault="008C2F8E" w:rsidP="008C2F8E">
      <w:pPr>
        <w:pStyle w:val="FootnoteText"/>
        <w:rPr>
          <w:lang w:val="en-GB"/>
        </w:rPr>
      </w:pPr>
      <w:r>
        <w:rPr>
          <w:rStyle w:val="FootnoteReference"/>
        </w:rPr>
        <w:footnoteRef/>
      </w:r>
      <w:r>
        <w:t xml:space="preserve"> </w:t>
      </w:r>
      <w:r w:rsidRPr="0005416D">
        <w:rPr>
          <w:i/>
        </w:rPr>
        <w:t>Child Sex Offenders Registration (Public Register) Amendment Act 2024</w:t>
      </w:r>
      <w:r w:rsidR="00374ABE">
        <w:t xml:space="preserve"> (SA)</w:t>
      </w:r>
      <w:r w:rsidR="00AB1B02">
        <w:t>.</w:t>
      </w:r>
    </w:p>
  </w:footnote>
  <w:footnote w:id="27">
    <w:p w14:paraId="40DCE192" w14:textId="4160C191" w:rsidR="001B6046" w:rsidRPr="001650E8" w:rsidRDefault="001B6046" w:rsidP="001650E8">
      <w:pPr>
        <w:pStyle w:val="FootnoteText"/>
      </w:pPr>
      <w:r>
        <w:rPr>
          <w:rStyle w:val="FootnoteReference"/>
        </w:rPr>
        <w:footnoteRef/>
      </w:r>
      <w:r>
        <w:t xml:space="preserve"> </w:t>
      </w:r>
      <w:r w:rsidR="005202A3">
        <w:t>The Evaluation nevertheless</w:t>
      </w:r>
      <w:r w:rsidR="00385B29">
        <w:t xml:space="preserve"> </w:t>
      </w:r>
      <w:r w:rsidR="000337DA">
        <w:t>found</w:t>
      </w:r>
      <w:r w:rsidR="005202A3">
        <w:t xml:space="preserve"> the </w:t>
      </w:r>
      <w:r w:rsidR="00385B29">
        <w:t>Scheme</w:t>
      </w:r>
      <w:r w:rsidR="005202A3" w:rsidDel="00385B29">
        <w:t xml:space="preserve"> </w:t>
      </w:r>
      <w:r w:rsidR="005202A3">
        <w:t>‘</w:t>
      </w:r>
      <w:r w:rsidR="008215CE">
        <w:t xml:space="preserve">can be considered effective </w:t>
      </w:r>
      <w:r w:rsidR="00351B81">
        <w:t xml:space="preserve">as </w:t>
      </w:r>
      <w:r w:rsidR="00135C86">
        <w:t xml:space="preserve">it meets </w:t>
      </w:r>
      <w:r w:rsidR="00D507E4">
        <w:t xml:space="preserve">the primary </w:t>
      </w:r>
      <w:r w:rsidR="00A60BE8">
        <w:t>purpose for which it was developed, that is,</w:t>
      </w:r>
      <w:r w:rsidR="00812957">
        <w:t xml:space="preserve"> to </w:t>
      </w:r>
      <w:r w:rsidR="005202A3">
        <w:t>make information publicly available</w:t>
      </w:r>
      <w:r w:rsidR="00252035">
        <w:t>.</w:t>
      </w:r>
      <w:r w:rsidR="005202A3">
        <w:t>’</w:t>
      </w:r>
      <w:r w:rsidR="001650E8">
        <w:t xml:space="preserve"> Western Australian Police Force, </w:t>
      </w:r>
      <w:r w:rsidR="001650E8" w:rsidRPr="0005416D">
        <w:rPr>
          <w:i/>
        </w:rPr>
        <w:t>Review of the operation and effectiveness of the public notification scheme established by Part 5A Community Protection (Offender Reporting) Act 2004</w:t>
      </w:r>
      <w:r>
        <w:t xml:space="preserve"> </w:t>
      </w:r>
      <w:r w:rsidR="0026035A">
        <w:t xml:space="preserve">(Review, </w:t>
      </w:r>
      <w:r w:rsidR="00E14050">
        <w:t xml:space="preserve">17 April 2018) </w:t>
      </w:r>
      <w:r w:rsidDel="00AB1B2A">
        <w:rPr>
          <w:lang w:val="en-GB"/>
        </w:rPr>
        <w:t>17</w:t>
      </w:r>
      <w:r w:rsidR="00DA6A78">
        <w:rPr>
          <w:lang w:val="en-GB"/>
        </w:rPr>
        <w:t>.</w:t>
      </w:r>
    </w:p>
  </w:footnote>
  <w:footnote w:id="28">
    <w:p w14:paraId="55D50609" w14:textId="2B5247B9" w:rsidR="007E0A46" w:rsidRPr="007E0A46" w:rsidRDefault="007E0A46">
      <w:pPr>
        <w:pStyle w:val="FootnoteText"/>
        <w:rPr>
          <w:lang w:val="en-GB"/>
        </w:rPr>
      </w:pPr>
      <w:r>
        <w:rPr>
          <w:rStyle w:val="FootnoteReference"/>
        </w:rPr>
        <w:footnoteRef/>
      </w:r>
      <w:r>
        <w:t xml:space="preserve"> </w:t>
      </w:r>
      <w:r w:rsidR="00497CF3" w:rsidRPr="0004497B">
        <w:t xml:space="preserve">Sarah Napier, Christopher Dowling, Anthony Morgan and Daniel Talbot, </w:t>
      </w:r>
      <w:r w:rsidR="00D04429">
        <w:t>‘</w:t>
      </w:r>
      <w:r w:rsidR="00497CF3" w:rsidRPr="0005416D">
        <w:t>What impact do public sex offender registries have on community safety?</w:t>
      </w:r>
      <w:r w:rsidR="007A3977">
        <w:t>’</w:t>
      </w:r>
      <w:r w:rsidR="00497CF3" w:rsidRPr="0004497B">
        <w:t xml:space="preserve"> (</w:t>
      </w:r>
      <w:r w:rsidR="00497CF3" w:rsidRPr="0005416D">
        <w:rPr>
          <w:i/>
        </w:rPr>
        <w:t>Trends &amp; Issues in Crime and Criminal Justice</w:t>
      </w:r>
      <w:r w:rsidR="00497CF3" w:rsidRPr="0004497B">
        <w:t xml:space="preserve"> No 550, Australian Institute of Criminology, May 2018)</w:t>
      </w:r>
      <w:r w:rsidR="00497CF3">
        <w:t xml:space="preserve"> 6-8 and 12-14.</w:t>
      </w:r>
      <w:r w:rsidR="00497CF3">
        <w:rPr>
          <w:lang w:val="en-GB"/>
        </w:rPr>
        <w:t>12</w:t>
      </w:r>
      <w:r w:rsidR="00AB0D1E">
        <w:rPr>
          <w:lang w:val="en-GB"/>
        </w:rPr>
        <w:t>.</w:t>
      </w:r>
    </w:p>
  </w:footnote>
  <w:footnote w:id="29">
    <w:p w14:paraId="0E92D054" w14:textId="541CADC1" w:rsidR="00640448" w:rsidRPr="0004497B" w:rsidRDefault="00640448" w:rsidP="00640448">
      <w:pPr>
        <w:pStyle w:val="FootnoteText"/>
        <w:rPr>
          <w:lang w:val="en-GB"/>
        </w:rPr>
      </w:pPr>
      <w:r>
        <w:rPr>
          <w:rStyle w:val="FootnoteReference"/>
        </w:rPr>
        <w:footnoteRef/>
      </w:r>
      <w:r>
        <w:t xml:space="preserve"> </w:t>
      </w:r>
      <w:r w:rsidRPr="0004497B">
        <w:t xml:space="preserve">Sarah Napier, Christopher Dowling, Anthony Morgan and Daniel Talbot, </w:t>
      </w:r>
      <w:r w:rsidR="007A3977">
        <w:t>‘</w:t>
      </w:r>
      <w:r w:rsidRPr="0005416D">
        <w:t>What impact do public sex offender registries have on community safety?</w:t>
      </w:r>
      <w:r w:rsidR="007A3977">
        <w:t>’</w:t>
      </w:r>
      <w:r w:rsidRPr="007A3977">
        <w:t xml:space="preserve"> </w:t>
      </w:r>
      <w:r w:rsidRPr="0004497B">
        <w:t>(</w:t>
      </w:r>
      <w:r w:rsidRPr="0005416D">
        <w:rPr>
          <w:i/>
        </w:rPr>
        <w:t>Trends &amp; Issues in Crime and Criminal Justice</w:t>
      </w:r>
      <w:r w:rsidRPr="0004497B">
        <w:t xml:space="preserve"> No 550, Australian Institute of Criminology, May 2018)</w:t>
      </w:r>
      <w:r>
        <w:t xml:space="preserve"> 6-8 and 12-14.</w:t>
      </w:r>
    </w:p>
  </w:footnote>
  <w:footnote w:id="30">
    <w:p w14:paraId="2F1E74BC" w14:textId="4C1A9D51" w:rsidR="006F0970" w:rsidRPr="00041D0C" w:rsidRDefault="006F0970" w:rsidP="00517179">
      <w:pPr>
        <w:pStyle w:val="FootnoteText"/>
      </w:pPr>
      <w:r>
        <w:rPr>
          <w:rStyle w:val="FootnoteReference"/>
        </w:rPr>
        <w:footnoteRef/>
      </w:r>
      <w:r>
        <w:t xml:space="preserve"> </w:t>
      </w:r>
      <w:r w:rsidR="00C92A3D">
        <w:t xml:space="preserve">MP </w:t>
      </w:r>
      <w:r w:rsidR="00517179">
        <w:t>Lasher</w:t>
      </w:r>
      <w:r w:rsidR="00517179" w:rsidDel="00C92A3D">
        <w:t xml:space="preserve"> </w:t>
      </w:r>
      <w:r w:rsidR="00C92A3D">
        <w:t>and RJ</w:t>
      </w:r>
      <w:r w:rsidR="00517179">
        <w:t xml:space="preserve"> McGrath</w:t>
      </w:r>
      <w:r w:rsidR="00A641CE">
        <w:t>,</w:t>
      </w:r>
      <w:r w:rsidR="00263C49">
        <w:t xml:space="preserve"> ‘</w:t>
      </w:r>
      <w:r w:rsidR="00517179">
        <w:t>The impact of community notification on sex offender reintegration: A quantitative review of the research literature</w:t>
      </w:r>
      <w:r w:rsidR="00263C49">
        <w:t>’ (2012)</w:t>
      </w:r>
      <w:r w:rsidR="00517179">
        <w:t xml:space="preserve"> </w:t>
      </w:r>
      <w:r w:rsidR="00392723">
        <w:t xml:space="preserve">56(1) </w:t>
      </w:r>
      <w:r w:rsidR="00517179" w:rsidRPr="0005416D">
        <w:rPr>
          <w:i/>
        </w:rPr>
        <w:t>International Journal of Offender Therapy and Comparative Criminology</w:t>
      </w:r>
      <w:r w:rsidR="00517179">
        <w:t xml:space="preserve"> 6–28</w:t>
      </w:r>
      <w:r w:rsidR="00041D0C">
        <w:t xml:space="preserve">; </w:t>
      </w:r>
      <w:r w:rsidR="00D43306">
        <w:t xml:space="preserve">JS </w:t>
      </w:r>
      <w:r w:rsidR="00041D0C" w:rsidRPr="00041D0C">
        <w:t xml:space="preserve">Levenson </w:t>
      </w:r>
      <w:r w:rsidR="00D43306">
        <w:t>and LP</w:t>
      </w:r>
      <w:r w:rsidR="00041D0C" w:rsidRPr="00041D0C">
        <w:t xml:space="preserve"> Cotter</w:t>
      </w:r>
      <w:r w:rsidR="00196BAC">
        <w:t>,</w:t>
      </w:r>
      <w:r w:rsidR="00041D0C" w:rsidRPr="00041D0C" w:rsidDel="00196BAC">
        <w:t xml:space="preserve"> </w:t>
      </w:r>
      <w:r w:rsidR="0031379E">
        <w:t>‘</w:t>
      </w:r>
      <w:r w:rsidR="00041D0C" w:rsidRPr="00041D0C">
        <w:t>The effect of Megan’s Law on sex offender reintegration</w:t>
      </w:r>
      <w:r w:rsidR="0031379E">
        <w:t>’ (</w:t>
      </w:r>
      <w:r w:rsidR="0031379E" w:rsidRPr="00041D0C">
        <w:t>2005</w:t>
      </w:r>
      <w:r w:rsidR="0031379E">
        <w:t>)</w:t>
      </w:r>
      <w:r w:rsidR="00BB6FEF">
        <w:t xml:space="preserve"> 21(1)</w:t>
      </w:r>
      <w:r w:rsidR="00041D0C" w:rsidRPr="00041D0C">
        <w:t xml:space="preserve"> </w:t>
      </w:r>
      <w:r w:rsidR="00041D0C" w:rsidRPr="0005416D">
        <w:rPr>
          <w:i/>
        </w:rPr>
        <w:t>Journal of Contemporary Criminal Justice</w:t>
      </w:r>
      <w:r w:rsidR="00041D0C" w:rsidRPr="00041D0C">
        <w:t xml:space="preserve"> 49–66</w:t>
      </w:r>
      <w:r w:rsidR="003D7714">
        <w:t>.</w:t>
      </w:r>
    </w:p>
  </w:footnote>
  <w:footnote w:id="31">
    <w:p w14:paraId="7F5209DB" w14:textId="0F2722B6" w:rsidR="006F0970" w:rsidRPr="006F0970" w:rsidRDefault="006F0970">
      <w:pPr>
        <w:pStyle w:val="FootnoteText"/>
        <w:rPr>
          <w:lang w:val="en-GB"/>
        </w:rPr>
      </w:pPr>
      <w:r>
        <w:rPr>
          <w:rStyle w:val="FootnoteReference"/>
        </w:rPr>
        <w:footnoteRef/>
      </w:r>
      <w:r>
        <w:t xml:space="preserve"> </w:t>
      </w:r>
      <w:r w:rsidR="001650E8" w:rsidRPr="0004497B">
        <w:t xml:space="preserve">Sarah Napier, Christopher Dowling, Anthony Morgan and Daniel Talbot, </w:t>
      </w:r>
      <w:r w:rsidR="00A877D2">
        <w:t>‘</w:t>
      </w:r>
      <w:r w:rsidR="001650E8" w:rsidRPr="0005416D">
        <w:t>What impact do public sex offender registries have on community safety?</w:t>
      </w:r>
      <w:r w:rsidR="00A877D2">
        <w:t>’</w:t>
      </w:r>
      <w:r w:rsidR="001650E8" w:rsidRPr="00A877D2">
        <w:t xml:space="preserve"> </w:t>
      </w:r>
      <w:r w:rsidR="001650E8" w:rsidRPr="0004497B">
        <w:t>(</w:t>
      </w:r>
      <w:r w:rsidR="001650E8" w:rsidRPr="0005416D">
        <w:rPr>
          <w:i/>
        </w:rPr>
        <w:t>Trends &amp; Issues in Crime and Criminal Justice</w:t>
      </w:r>
      <w:r w:rsidR="001650E8" w:rsidRPr="0004497B">
        <w:t xml:space="preserve"> No 550, Australian Institute of Criminology, May 2018)</w:t>
      </w:r>
      <w:r w:rsidR="001650E8">
        <w:t>,</w:t>
      </w:r>
      <w:r w:rsidR="00517179">
        <w:rPr>
          <w:lang w:val="en-GB"/>
        </w:rPr>
        <w:t xml:space="preserve"> 7</w:t>
      </w:r>
      <w:r w:rsidR="00A877D2">
        <w:rPr>
          <w:lang w:val="en-GB"/>
        </w:rPr>
        <w:t>.</w:t>
      </w:r>
    </w:p>
  </w:footnote>
  <w:footnote w:id="32">
    <w:p w14:paraId="7BEB0799" w14:textId="7868D1E7" w:rsidR="001142D8" w:rsidRPr="0081021C" w:rsidRDefault="001142D8" w:rsidP="001142D8">
      <w:pPr>
        <w:pStyle w:val="FootnoteText"/>
        <w:rPr>
          <w:lang w:val="en-GB"/>
        </w:rPr>
      </w:pPr>
      <w:r>
        <w:rPr>
          <w:rStyle w:val="FootnoteReference"/>
        </w:rPr>
        <w:footnoteRef/>
      </w:r>
      <w:r>
        <w:t xml:space="preserve"> </w:t>
      </w:r>
      <w:r w:rsidR="00A877D2">
        <w:t xml:space="preserve">Western Australian Police Force, </w:t>
      </w:r>
      <w:r w:rsidR="00A877D2" w:rsidRPr="006235F7">
        <w:rPr>
          <w:i/>
          <w:iCs/>
        </w:rPr>
        <w:t>Review of the operation and effectiveness of the public notification scheme established by Part 5A Community Protection (Offender Reporting) Act 2004</w:t>
      </w:r>
      <w:r w:rsidR="00A877D2">
        <w:t xml:space="preserve">, (Review, 17 April 2018) </w:t>
      </w:r>
      <w:r>
        <w:rPr>
          <w:lang w:val="en-GB"/>
        </w:rPr>
        <w:t>17</w:t>
      </w:r>
      <w:r w:rsidR="00A37352">
        <w:rPr>
          <w:lang w:val="en-GB"/>
        </w:rPr>
        <w:t>.</w:t>
      </w:r>
    </w:p>
  </w:footnote>
  <w:footnote w:id="33">
    <w:p w14:paraId="028F6D66" w14:textId="6D341D43" w:rsidR="001142D8" w:rsidRPr="009B0D6E" w:rsidRDefault="001142D8" w:rsidP="001142D8">
      <w:pPr>
        <w:pStyle w:val="FootnoteText"/>
        <w:rPr>
          <w:lang w:val="en-GB"/>
        </w:rPr>
      </w:pPr>
      <w:r>
        <w:rPr>
          <w:rStyle w:val="FootnoteReference"/>
        </w:rPr>
        <w:footnoteRef/>
      </w:r>
      <w:r>
        <w:t xml:space="preserve"> </w:t>
      </w:r>
      <w:r w:rsidRPr="0004497B">
        <w:t xml:space="preserve">Sarah Napier, Christopher Dowling, Anthony Morgan and Daniel Talbot, </w:t>
      </w:r>
      <w:r w:rsidR="00A37352">
        <w:t>‘</w:t>
      </w:r>
      <w:r w:rsidRPr="0005416D">
        <w:t>What impact do public sex offender registries have on community safety?</w:t>
      </w:r>
      <w:r w:rsidR="00A37352">
        <w:t>’</w:t>
      </w:r>
      <w:r w:rsidRPr="0004497B">
        <w:t xml:space="preserve"> (</w:t>
      </w:r>
      <w:r w:rsidRPr="0005416D">
        <w:rPr>
          <w:i/>
        </w:rPr>
        <w:t>Trends &amp; Issues in Crime and Criminal Justice</w:t>
      </w:r>
      <w:r w:rsidRPr="0004497B">
        <w:t xml:space="preserve"> No 550, Australian Institute of Criminology, May 2018)</w:t>
      </w:r>
      <w:r>
        <w:t xml:space="preserve"> 6-8 and 12-14.</w:t>
      </w:r>
    </w:p>
  </w:footnote>
  <w:footnote w:id="34">
    <w:p w14:paraId="53649C6C" w14:textId="67A7EDE9" w:rsidR="001142D8" w:rsidRPr="001142D8" w:rsidRDefault="001142D8" w:rsidP="001142D8">
      <w:pPr>
        <w:pStyle w:val="FootnoteText"/>
        <w:rPr>
          <w:lang w:val="en-GB"/>
        </w:rPr>
      </w:pPr>
      <w:r>
        <w:rPr>
          <w:rStyle w:val="FootnoteReference"/>
        </w:rPr>
        <w:footnoteRef/>
      </w:r>
      <w:r>
        <w:t xml:space="preserve"> </w:t>
      </w:r>
      <w:r w:rsidRPr="0004497B">
        <w:t xml:space="preserve">Sarah Napier, Christopher Dowling, Anthony Morgan and Daniel Talbot, </w:t>
      </w:r>
      <w:r w:rsidR="00A37352">
        <w:t>‘</w:t>
      </w:r>
      <w:r w:rsidRPr="0005416D">
        <w:t>What impact do public sex offender registries have on community safety?</w:t>
      </w:r>
      <w:r w:rsidR="00A37352">
        <w:t>’</w:t>
      </w:r>
      <w:r w:rsidRPr="0004497B">
        <w:t xml:space="preserve"> (</w:t>
      </w:r>
      <w:r w:rsidRPr="0005416D">
        <w:rPr>
          <w:i/>
        </w:rPr>
        <w:t>Trends &amp; Issues in Crime and Criminal Justice</w:t>
      </w:r>
      <w:r w:rsidRPr="0004497B">
        <w:t xml:space="preserve"> No 550, Australian Institute of Criminology, May 2018)</w:t>
      </w:r>
      <w:r>
        <w:t xml:space="preserve"> 6-8 and 12-14.</w:t>
      </w:r>
    </w:p>
  </w:footnote>
  <w:footnote w:id="35">
    <w:p w14:paraId="2F67448B" w14:textId="4126B046" w:rsidR="00330A1A" w:rsidRPr="0051509A" w:rsidRDefault="00330A1A" w:rsidP="00330A1A">
      <w:pPr>
        <w:pStyle w:val="FootnoteText"/>
        <w:rPr>
          <w:lang w:val="en-GB"/>
        </w:rPr>
      </w:pPr>
      <w:r>
        <w:rPr>
          <w:rStyle w:val="FootnoteReference"/>
        </w:rPr>
        <w:footnoteRef/>
      </w:r>
      <w:r>
        <w:t xml:space="preserve"> </w:t>
      </w:r>
      <w:r w:rsidRPr="00F73BBC">
        <w:t>Queensland Council for Civil Liberties, ‘QCCL opposes Public Sex Offender Register’ (</w:t>
      </w:r>
      <w:proofErr w:type="spellStart"/>
      <w:r w:rsidRPr="00F73BBC">
        <w:t>Newsblog</w:t>
      </w:r>
      <w:proofErr w:type="spellEnd"/>
      <w:r w:rsidRPr="00F73BBC">
        <w:t>, 17 March 2025)</w:t>
      </w:r>
      <w:r w:rsidR="00513C2C">
        <w:t xml:space="preserve"> &lt;</w:t>
      </w:r>
      <w:r w:rsidR="003D7C55" w:rsidRPr="003D7C55">
        <w:t>https://qccl.org.au/newsblog/qccl-opposes-public-sex-offender-register</w:t>
      </w:r>
      <w:r w:rsidR="003D7C55">
        <w:t>&gt;.</w:t>
      </w:r>
    </w:p>
  </w:footnote>
  <w:footnote w:id="36">
    <w:p w14:paraId="13C074B2" w14:textId="0279B821" w:rsidR="00422F9B" w:rsidRPr="00422F9B" w:rsidRDefault="00422F9B">
      <w:pPr>
        <w:pStyle w:val="FootnoteText"/>
        <w:rPr>
          <w:lang w:val="en-GB"/>
        </w:rPr>
      </w:pPr>
      <w:r>
        <w:rPr>
          <w:rStyle w:val="FootnoteReference"/>
        </w:rPr>
        <w:footnoteRef/>
      </w:r>
      <w:r>
        <w:t xml:space="preserve"> </w:t>
      </w:r>
      <w:r w:rsidR="001650E8" w:rsidRPr="0004497B">
        <w:t xml:space="preserve">Sarah Napier, Christopher Dowling, Anthony Morgan and Daniel Talbot, </w:t>
      </w:r>
      <w:r w:rsidR="003D7C55">
        <w:t>‘</w:t>
      </w:r>
      <w:r w:rsidR="001650E8" w:rsidRPr="0005416D">
        <w:t>What impact do public sex offender registries have on community safety?</w:t>
      </w:r>
      <w:r w:rsidR="003D7C55">
        <w:t>’</w:t>
      </w:r>
      <w:r w:rsidR="001650E8" w:rsidRPr="0004497B">
        <w:t xml:space="preserve"> (</w:t>
      </w:r>
      <w:r w:rsidR="001650E8" w:rsidRPr="0005416D">
        <w:rPr>
          <w:i/>
        </w:rPr>
        <w:t>Trends &amp; Issues in Crime and Criminal Justice</w:t>
      </w:r>
      <w:r w:rsidR="001650E8" w:rsidRPr="0004497B">
        <w:t xml:space="preserve"> No 550, Australian Institute of Criminology, May 2018)</w:t>
      </w:r>
      <w:r w:rsidR="001650E8">
        <w:t xml:space="preserve">, </w:t>
      </w:r>
      <w:r>
        <w:rPr>
          <w:lang w:val="en-GB"/>
        </w:rPr>
        <w:t>22</w:t>
      </w:r>
      <w:r w:rsidR="00BF5AA4">
        <w:rPr>
          <w:lang w:val="en-GB"/>
        </w:rPr>
        <w:t>.</w:t>
      </w:r>
    </w:p>
  </w:footnote>
  <w:footnote w:id="37">
    <w:p w14:paraId="6D247388" w14:textId="52042643" w:rsidR="0063133F" w:rsidRPr="0063133F" w:rsidRDefault="0063133F">
      <w:pPr>
        <w:pStyle w:val="FootnoteText"/>
        <w:rPr>
          <w:lang w:val="en-GB"/>
        </w:rPr>
      </w:pPr>
      <w:r>
        <w:rPr>
          <w:rStyle w:val="FootnoteReference"/>
        </w:rPr>
        <w:footnoteRef/>
      </w:r>
      <w:r>
        <w:t xml:space="preserve"> </w:t>
      </w:r>
      <w:r w:rsidR="001650E8" w:rsidRPr="0004497B">
        <w:t xml:space="preserve">Sarah Napier, Christopher Dowling, Anthony Morgan and Daniel Talbot, </w:t>
      </w:r>
      <w:r w:rsidR="00BF5AA4">
        <w:t>‘</w:t>
      </w:r>
      <w:r w:rsidR="001650E8" w:rsidRPr="0005416D">
        <w:t>What impact do public sex offender registries have on community safety?</w:t>
      </w:r>
      <w:r w:rsidR="00BF5AA4">
        <w:t>’</w:t>
      </w:r>
      <w:r w:rsidR="001650E8" w:rsidRPr="008A2704">
        <w:t xml:space="preserve"> </w:t>
      </w:r>
      <w:r w:rsidR="001650E8" w:rsidRPr="0004497B">
        <w:t>(</w:t>
      </w:r>
      <w:r w:rsidR="001650E8" w:rsidRPr="0005416D">
        <w:rPr>
          <w:i/>
        </w:rPr>
        <w:t>Trends &amp; Issues in Crime and Criminal Justice</w:t>
      </w:r>
      <w:r w:rsidR="001650E8" w:rsidRPr="0004497B">
        <w:t xml:space="preserve"> No 550, Australian Institute of Criminology, May 2018)</w:t>
      </w:r>
      <w:r w:rsidR="001650E8">
        <w:t>,</w:t>
      </w:r>
      <w:r>
        <w:rPr>
          <w:lang w:val="en-GB"/>
        </w:rPr>
        <w:t xml:space="preserve"> 21</w:t>
      </w:r>
      <w:r w:rsidR="00BF5AA4">
        <w:rPr>
          <w:lang w:val="en-GB"/>
        </w:rPr>
        <w:t>.</w:t>
      </w:r>
    </w:p>
  </w:footnote>
  <w:footnote w:id="38">
    <w:p w14:paraId="36309F17" w14:textId="77777777" w:rsidR="00C87A9A" w:rsidRPr="00245282" w:rsidRDefault="00C87A9A" w:rsidP="00C87A9A">
      <w:pPr>
        <w:pStyle w:val="FootnoteText"/>
        <w:rPr>
          <w:lang w:val="en-GB"/>
        </w:rPr>
      </w:pPr>
      <w:r>
        <w:rPr>
          <w:rStyle w:val="FootnoteReference"/>
        </w:rPr>
        <w:footnoteRef/>
      </w:r>
      <w:r>
        <w:t xml:space="preserve"> </w:t>
      </w:r>
      <w:r w:rsidRPr="00F3253E">
        <w:rPr>
          <w:i/>
          <w:iCs/>
        </w:rPr>
        <w:t>Child Protection (Offender Reporting and Offender Prohibition Order) Act 2004</w:t>
      </w:r>
      <w:r>
        <w:rPr>
          <w:i/>
          <w:iCs/>
        </w:rPr>
        <w:t xml:space="preserve"> </w:t>
      </w:r>
      <w:r w:rsidRPr="00F3253E">
        <w:rPr>
          <w:i/>
          <w:iCs/>
        </w:rPr>
        <w:t>(Qld)</w:t>
      </w:r>
      <w:r>
        <w:t>, s74I.</w:t>
      </w:r>
    </w:p>
  </w:footnote>
  <w:footnote w:id="39">
    <w:p w14:paraId="025409F4" w14:textId="77777777" w:rsidR="00C87A9A" w:rsidRPr="00245282" w:rsidRDefault="00C87A9A" w:rsidP="00C87A9A">
      <w:pPr>
        <w:pStyle w:val="FootnoteText"/>
        <w:rPr>
          <w:lang w:val="en-GB"/>
        </w:rPr>
      </w:pPr>
      <w:r>
        <w:rPr>
          <w:rStyle w:val="FootnoteReference"/>
        </w:rPr>
        <w:footnoteRef/>
      </w:r>
      <w:r>
        <w:t xml:space="preserve"> </w:t>
      </w:r>
      <w:r w:rsidRPr="00F3253E">
        <w:rPr>
          <w:i/>
          <w:iCs/>
        </w:rPr>
        <w:t>Child Protection (Offender Reporting and Offender Prohibition Order) Act 2004</w:t>
      </w:r>
      <w:r>
        <w:rPr>
          <w:i/>
          <w:iCs/>
        </w:rPr>
        <w:t xml:space="preserve"> </w:t>
      </w:r>
      <w:r w:rsidRPr="00F3253E">
        <w:rPr>
          <w:i/>
          <w:iCs/>
        </w:rPr>
        <w:t>(Qld)</w:t>
      </w:r>
      <w:r>
        <w:t>, s74I.</w:t>
      </w:r>
    </w:p>
  </w:footnote>
  <w:footnote w:id="40">
    <w:p w14:paraId="6D0E8BE3" w14:textId="4C5705AC" w:rsidR="00C87A9A" w:rsidRPr="005B62F5" w:rsidRDefault="00C87A9A" w:rsidP="00C87A9A">
      <w:pPr>
        <w:pStyle w:val="FootnoteText"/>
        <w:rPr>
          <w:i/>
          <w:iCs/>
          <w:lang w:val="en-GB"/>
        </w:rPr>
      </w:pPr>
      <w:r>
        <w:rPr>
          <w:rStyle w:val="FootnoteReference"/>
        </w:rPr>
        <w:footnoteRef/>
      </w:r>
      <w:r>
        <w:t xml:space="preserve"> </w:t>
      </w:r>
      <w:r w:rsidR="00456B19" w:rsidRPr="00456B19">
        <w:rPr>
          <w:i/>
          <w:iCs/>
        </w:rPr>
        <w:t xml:space="preserve">Explanatory Notes, Community Protection and Public Child Sex Offender Register (Daniel’s Law) Bill 2025 (Qld) </w:t>
      </w:r>
      <w:r w:rsidR="005B62F5">
        <w:rPr>
          <w:i/>
          <w:iCs/>
        </w:rPr>
        <w:t>2</w:t>
      </w:r>
      <w:r w:rsidR="00456B19" w:rsidRPr="00456B19">
        <w:rPr>
          <w:i/>
          <w:iCs/>
        </w:rPr>
        <w:t>.</w:t>
      </w:r>
    </w:p>
  </w:footnote>
  <w:footnote w:id="41">
    <w:p w14:paraId="621970C9" w14:textId="77777777" w:rsidR="00C87A9A" w:rsidRPr="002657A2" w:rsidRDefault="00C87A9A" w:rsidP="00C87A9A">
      <w:pPr>
        <w:pStyle w:val="FootnoteText"/>
        <w:rPr>
          <w:lang w:val="en-GB"/>
        </w:rPr>
      </w:pPr>
      <w:r>
        <w:rPr>
          <w:rStyle w:val="FootnoteReference"/>
        </w:rPr>
        <w:footnoteRef/>
      </w:r>
      <w:r>
        <w:t xml:space="preserve"> </w:t>
      </w:r>
      <w:r w:rsidRPr="00261969">
        <w:t xml:space="preserve">Prescott JJ &amp; Rockoff JE 2011. Do sex offender registration and notification laws affect criminal </w:t>
      </w:r>
      <w:proofErr w:type="spellStart"/>
      <w:r w:rsidRPr="00261969">
        <w:t>behavior</w:t>
      </w:r>
      <w:proofErr w:type="spellEnd"/>
      <w:r w:rsidRPr="00261969">
        <w:t>? Journal of Law and Economics 54(1): 161–206</w:t>
      </w:r>
      <w:r>
        <w:t xml:space="preserve">; </w:t>
      </w:r>
      <w:r w:rsidRPr="0004497B">
        <w:t xml:space="preserve">Sarah Napier, Christopher Dowling, Anthony Morgan and Daniel Talbot, </w:t>
      </w:r>
      <w:r>
        <w:t>‘</w:t>
      </w:r>
      <w:r w:rsidRPr="0005416D">
        <w:t>What impact do public sex offender registries have on community safety?</w:t>
      </w:r>
      <w:r>
        <w:t>’</w:t>
      </w:r>
      <w:r w:rsidRPr="008A2704">
        <w:t xml:space="preserve"> </w:t>
      </w:r>
      <w:r w:rsidRPr="0004497B">
        <w:t>(</w:t>
      </w:r>
      <w:r w:rsidRPr="0005416D">
        <w:rPr>
          <w:i/>
        </w:rPr>
        <w:t>Trends &amp; Issues in Crime and Criminal Justice</w:t>
      </w:r>
      <w:r w:rsidRPr="0004497B">
        <w:t xml:space="preserve"> No 550, Australian Institute of Criminology, May 2018)</w:t>
      </w:r>
      <w:r>
        <w:t>,</w:t>
      </w:r>
      <w:r>
        <w:rPr>
          <w:lang w:val="en-GB"/>
        </w:rPr>
        <w:t xml:space="preserve"> 5.</w:t>
      </w:r>
    </w:p>
  </w:footnote>
  <w:footnote w:id="42">
    <w:p w14:paraId="52842629" w14:textId="6F7F960A" w:rsidR="0065105C" w:rsidRPr="0065105C" w:rsidRDefault="0065105C">
      <w:pPr>
        <w:pStyle w:val="FootnoteText"/>
        <w:rPr>
          <w:lang w:val="en-GB"/>
        </w:rPr>
      </w:pPr>
      <w:r>
        <w:rPr>
          <w:rStyle w:val="FootnoteReference"/>
        </w:rPr>
        <w:footnoteRef/>
      </w:r>
      <w:r>
        <w:t xml:space="preserve"> </w:t>
      </w:r>
      <w:r w:rsidR="001650E8" w:rsidRPr="0004497B">
        <w:t xml:space="preserve">Sarah Napier, Christopher Dowling, Anthony Morgan and Daniel Talbot, </w:t>
      </w:r>
      <w:r w:rsidR="00A246DA">
        <w:t>‘</w:t>
      </w:r>
      <w:r w:rsidR="001650E8" w:rsidRPr="0005416D">
        <w:t>What impact do public sex offender registries have on community safety?</w:t>
      </w:r>
      <w:r w:rsidR="00A246DA">
        <w:t>’</w:t>
      </w:r>
      <w:r w:rsidR="001650E8" w:rsidRPr="0004497B">
        <w:t xml:space="preserve"> (</w:t>
      </w:r>
      <w:r w:rsidR="001650E8" w:rsidRPr="0005416D">
        <w:rPr>
          <w:i/>
        </w:rPr>
        <w:t>Trends &amp; Issues in Crime and Criminal Justice</w:t>
      </w:r>
      <w:r w:rsidR="001650E8" w:rsidRPr="0004497B">
        <w:t xml:space="preserve"> No 550, Australian Institute of Criminology, May 2018)</w:t>
      </w:r>
      <w:r w:rsidR="00A246DA">
        <w:t>.</w:t>
      </w:r>
    </w:p>
  </w:footnote>
  <w:footnote w:id="43">
    <w:p w14:paraId="6AB44EDB" w14:textId="491886BF" w:rsidR="00A738CD" w:rsidRPr="00443B32" w:rsidRDefault="00A738CD" w:rsidP="00A738CD">
      <w:pPr>
        <w:pStyle w:val="FootnoteText"/>
        <w:rPr>
          <w:lang w:val="en-GB"/>
        </w:rPr>
      </w:pPr>
      <w:r>
        <w:rPr>
          <w:rStyle w:val="FootnoteReference"/>
        </w:rPr>
        <w:footnoteRef/>
      </w:r>
      <w:r>
        <w:t xml:space="preserve"> </w:t>
      </w:r>
      <w:r w:rsidR="00095FC4">
        <w:rPr>
          <w:lang w:val="en-GB"/>
        </w:rPr>
        <w:t xml:space="preserve">As reported in </w:t>
      </w:r>
      <w:r w:rsidR="007E38FA">
        <w:rPr>
          <w:lang w:val="en-GB"/>
        </w:rPr>
        <w:t xml:space="preserve">Queensland, </w:t>
      </w:r>
      <w:r w:rsidR="007E38FA" w:rsidRPr="0005416D">
        <w:rPr>
          <w:i/>
          <w:lang w:val="en-GB"/>
        </w:rPr>
        <w:t>Parliamentary Debates</w:t>
      </w:r>
      <w:r w:rsidR="007E708A">
        <w:rPr>
          <w:i/>
          <w:iCs/>
          <w:lang w:val="en-GB"/>
        </w:rPr>
        <w:t>,</w:t>
      </w:r>
      <w:r w:rsidR="007E38FA">
        <w:rPr>
          <w:lang w:val="en-GB"/>
        </w:rPr>
        <w:t xml:space="preserve"> Legislative Assembly, </w:t>
      </w:r>
      <w:r w:rsidR="004D4A93">
        <w:rPr>
          <w:lang w:val="en-GB"/>
        </w:rPr>
        <w:t>27 August 2025</w:t>
      </w:r>
      <w:r w:rsidR="00530E8B">
        <w:rPr>
          <w:lang w:val="en-GB"/>
        </w:rPr>
        <w:t xml:space="preserve">, </w:t>
      </w:r>
      <w:r w:rsidR="00E510F3">
        <w:rPr>
          <w:lang w:val="en-GB"/>
        </w:rPr>
        <w:t>248</w:t>
      </w:r>
      <w:r w:rsidR="00E62DEF">
        <w:rPr>
          <w:lang w:val="en-GB"/>
        </w:rPr>
        <w:t>6 (</w:t>
      </w:r>
      <w:r w:rsidR="001E0EC7">
        <w:rPr>
          <w:lang w:val="en-GB"/>
        </w:rPr>
        <w:t>DG Purdie</w:t>
      </w:r>
      <w:r w:rsidR="0036615F">
        <w:rPr>
          <w:lang w:val="en-GB"/>
        </w:rPr>
        <w:t>, Minister for Police and Emergency Services</w:t>
      </w:r>
      <w:r w:rsidR="001E0EC7">
        <w:rPr>
          <w:lang w:val="en-GB"/>
        </w:rPr>
        <w:t>).</w:t>
      </w:r>
    </w:p>
  </w:footnote>
  <w:footnote w:id="44">
    <w:p w14:paraId="46A5C04F" w14:textId="2FAC8F75" w:rsidR="002C57E5" w:rsidRPr="002C57E5" w:rsidRDefault="002C57E5">
      <w:pPr>
        <w:pStyle w:val="FootnoteText"/>
        <w:rPr>
          <w:lang w:val="en-GB"/>
        </w:rPr>
      </w:pPr>
      <w:r>
        <w:rPr>
          <w:rStyle w:val="FootnoteReference"/>
        </w:rPr>
        <w:footnoteRef/>
      </w:r>
      <w:r>
        <w:t xml:space="preserve"> </w:t>
      </w:r>
      <w:r w:rsidR="00517A23" w:rsidRPr="0005416D">
        <w:rPr>
          <w:i/>
        </w:rPr>
        <w:t>Community Protection (Offender Reporting) Act 2004</w:t>
      </w:r>
      <w:r w:rsidR="00517A23">
        <w:t xml:space="preserve"> </w:t>
      </w:r>
      <w:r w:rsidR="00496EBC">
        <w:t xml:space="preserve">(WA) </w:t>
      </w:r>
      <w:r w:rsidR="00517A23">
        <w:t>s</w:t>
      </w:r>
      <w:r w:rsidR="00496EBC">
        <w:t xml:space="preserve"> </w:t>
      </w:r>
      <w:r w:rsidR="00517A23">
        <w:t>85I(2)(d)</w:t>
      </w:r>
      <w:r w:rsidR="00496EBC">
        <w:t>.</w:t>
      </w:r>
    </w:p>
  </w:footnote>
  <w:footnote w:id="45">
    <w:p w14:paraId="6B61FE5A" w14:textId="09DEE7F3" w:rsidR="00D11570" w:rsidRPr="00D11570" w:rsidRDefault="00D11570">
      <w:pPr>
        <w:pStyle w:val="FootnoteText"/>
        <w:rPr>
          <w:lang w:val="en-GB"/>
        </w:rPr>
      </w:pPr>
      <w:r>
        <w:rPr>
          <w:rStyle w:val="FootnoteReference"/>
        </w:rPr>
        <w:footnoteRef/>
      </w:r>
      <w:r>
        <w:t xml:space="preserve"> </w:t>
      </w:r>
      <w:r w:rsidR="00746DF2" w:rsidRPr="0005416D">
        <w:rPr>
          <w:i/>
        </w:rPr>
        <w:t>Child Sex Offenders Registration Act 2006</w:t>
      </w:r>
      <w:r w:rsidR="00746DF2">
        <w:t xml:space="preserve"> </w:t>
      </w:r>
      <w:r w:rsidR="00505A19">
        <w:t xml:space="preserve">(SA) </w:t>
      </w:r>
      <w:r w:rsidR="00746DF2">
        <w:t>s</w:t>
      </w:r>
      <w:r w:rsidR="00464C03">
        <w:t xml:space="preserve"> </w:t>
      </w:r>
      <w:r w:rsidR="00746DF2">
        <w:rPr>
          <w:lang w:val="en-GB"/>
        </w:rPr>
        <w:t>66G</w:t>
      </w:r>
      <w:r w:rsidR="000276BC">
        <w:rPr>
          <w:lang w:val="en-GB"/>
        </w:rPr>
        <w:t>(</w:t>
      </w:r>
      <w:r w:rsidR="00840CE1">
        <w:rPr>
          <w:lang w:val="en-GB"/>
        </w:rPr>
        <w:t>3)</w:t>
      </w:r>
      <w:r w:rsidR="0016091F">
        <w:rPr>
          <w:lang w:val="en-GB"/>
        </w:rPr>
        <w:t>.</w:t>
      </w:r>
      <w:r w:rsidR="000276BC">
        <w:rPr>
          <w:lang w:val="en-GB"/>
        </w:rPr>
        <w:t xml:space="preserve"> </w:t>
      </w:r>
    </w:p>
  </w:footnote>
  <w:footnote w:id="46">
    <w:p w14:paraId="224EAD73" w14:textId="215B53C9" w:rsidR="00A73743" w:rsidRPr="00A73743" w:rsidRDefault="00A73743">
      <w:pPr>
        <w:pStyle w:val="FootnoteText"/>
        <w:rPr>
          <w:lang w:val="en-GB"/>
        </w:rPr>
      </w:pPr>
      <w:r>
        <w:rPr>
          <w:rStyle w:val="FootnoteReference"/>
        </w:rPr>
        <w:footnoteRef/>
      </w:r>
      <w:r>
        <w:t xml:space="preserve"> </w:t>
      </w:r>
      <w:r w:rsidR="001229C4" w:rsidRPr="001229C4">
        <w:rPr>
          <w:i/>
          <w:iCs/>
        </w:rPr>
        <w:t>Child Sex Offenders Registration (Public Register) Amendment Act 2024</w:t>
      </w:r>
      <w:r w:rsidR="001229C4">
        <w:t xml:space="preserve"> s 66FA(7) and s 66FB(5). </w:t>
      </w:r>
    </w:p>
  </w:footnote>
  <w:footnote w:id="47">
    <w:p w14:paraId="30E0B200" w14:textId="77777777" w:rsidR="0049177F" w:rsidRPr="00C81342" w:rsidRDefault="0049177F" w:rsidP="0049177F">
      <w:pPr>
        <w:pStyle w:val="FootnoteText"/>
        <w:rPr>
          <w:lang w:val="en-GB"/>
        </w:rPr>
      </w:pPr>
      <w:r>
        <w:rPr>
          <w:rStyle w:val="FootnoteReference"/>
        </w:rPr>
        <w:footnoteRef/>
      </w:r>
      <w:r>
        <w:t xml:space="preserve"> MP </w:t>
      </w:r>
      <w:r w:rsidRPr="00352570">
        <w:t xml:space="preserve">Lasher </w:t>
      </w:r>
      <w:r>
        <w:t>and RJ</w:t>
      </w:r>
      <w:r w:rsidRPr="00352570">
        <w:t xml:space="preserve"> McGrath  </w:t>
      </w:r>
      <w:r>
        <w:t>‘</w:t>
      </w:r>
      <w:r w:rsidRPr="00352570">
        <w:t>The impact of community notification on sex offender reintegration: A quantitative review of the research literature</w:t>
      </w:r>
      <w:r>
        <w:t>’ (</w:t>
      </w:r>
      <w:r w:rsidRPr="00352570">
        <w:t>2012</w:t>
      </w:r>
      <w:r>
        <w:t>) 56(1)</w:t>
      </w:r>
      <w:r w:rsidRPr="00352570">
        <w:t xml:space="preserve"> </w:t>
      </w:r>
      <w:r w:rsidRPr="0005416D">
        <w:rPr>
          <w:i/>
        </w:rPr>
        <w:t>International Journal of Offender Therapy and Comparative Criminology</w:t>
      </w:r>
      <w:r w:rsidRPr="00352570" w:rsidDel="00FA4740">
        <w:t xml:space="preserve"> </w:t>
      </w:r>
      <w:r w:rsidRPr="00352570">
        <w:t>6–28</w:t>
      </w:r>
      <w:r>
        <w:t>.</w:t>
      </w:r>
    </w:p>
  </w:footnote>
  <w:footnote w:id="48">
    <w:p w14:paraId="37198557" w14:textId="77777777" w:rsidR="0049177F" w:rsidRPr="00F55B07" w:rsidRDefault="0049177F" w:rsidP="0049177F">
      <w:pPr>
        <w:pStyle w:val="FootnoteText"/>
        <w:rPr>
          <w:lang w:val="en-GB"/>
        </w:rPr>
      </w:pPr>
      <w:r>
        <w:rPr>
          <w:rStyle w:val="FootnoteReference"/>
        </w:rPr>
        <w:footnoteRef/>
      </w:r>
      <w:r>
        <w:t xml:space="preserve"> Western Australian Police Force, </w:t>
      </w:r>
      <w:r w:rsidRPr="0005416D">
        <w:rPr>
          <w:i/>
        </w:rPr>
        <w:t>Review of the operation and effectiveness of the public notification scheme established by Part 5A Community Protection (Offender Reporting) Act 2004</w:t>
      </w:r>
      <w:r>
        <w:t xml:space="preserve"> (Review, 17 April 2018), </w:t>
      </w:r>
      <w:r>
        <w:rPr>
          <w:lang w:val="en-GB"/>
        </w:rPr>
        <w:t>22.</w:t>
      </w:r>
    </w:p>
  </w:footnote>
  <w:footnote w:id="49">
    <w:p w14:paraId="1994C9C3" w14:textId="3BE2DC3E" w:rsidR="00E61B8E" w:rsidRPr="00643A15" w:rsidRDefault="00E61B8E" w:rsidP="00E61B8E">
      <w:pPr>
        <w:pStyle w:val="FootnoteText"/>
        <w:rPr>
          <w:lang w:val="en-GB"/>
        </w:rPr>
      </w:pPr>
      <w:r>
        <w:rPr>
          <w:rStyle w:val="FootnoteReference"/>
        </w:rPr>
        <w:footnoteRef/>
      </w:r>
      <w:r>
        <w:t xml:space="preserve"> </w:t>
      </w:r>
      <w:r w:rsidRPr="00B360A1">
        <w:t>Human Rights Watch</w:t>
      </w:r>
      <w:r>
        <w:t xml:space="preserve">, </w:t>
      </w:r>
      <w:r w:rsidR="003B2190">
        <w:t>‘</w:t>
      </w:r>
      <w:r w:rsidRPr="0005416D">
        <w:t>No Easy Answers: Sex Offender Laws in the US</w:t>
      </w:r>
      <w:r w:rsidR="000948EF">
        <w:rPr>
          <w:i/>
          <w:iCs/>
        </w:rPr>
        <w:t>’</w:t>
      </w:r>
      <w:r w:rsidR="00E82019">
        <w:rPr>
          <w:i/>
          <w:iCs/>
        </w:rPr>
        <w:t xml:space="preserve"> </w:t>
      </w:r>
      <w:r w:rsidR="000948EF" w:rsidRPr="0005416D">
        <w:t>(Web Page</w:t>
      </w:r>
      <w:r w:rsidR="00366957" w:rsidRPr="0005416D">
        <w:t xml:space="preserve">, 11 September 2007) </w:t>
      </w:r>
      <w:r w:rsidR="003D4FF3">
        <w:t>&lt;</w:t>
      </w:r>
      <w:r w:rsidR="00747A6C" w:rsidRPr="00747A6C">
        <w:t xml:space="preserve"> https://www.hrw.org/report/2007/09/11/no-easy-answers/sex-offender-laws-us</w:t>
      </w:r>
      <w:r w:rsidR="00747A6C">
        <w:t>&gt;.</w:t>
      </w:r>
    </w:p>
  </w:footnote>
  <w:footnote w:id="50">
    <w:p w14:paraId="7C0D0252" w14:textId="5F11A9F4" w:rsidR="00E61B8E" w:rsidRPr="00536584" w:rsidRDefault="00E61B8E" w:rsidP="00E61B8E">
      <w:pPr>
        <w:pStyle w:val="FootnoteText"/>
        <w:rPr>
          <w:lang w:val="en-GB"/>
        </w:rPr>
      </w:pPr>
      <w:r>
        <w:rPr>
          <w:rStyle w:val="FootnoteReference"/>
        </w:rPr>
        <w:footnoteRef/>
      </w:r>
      <w:r>
        <w:t xml:space="preserve"> </w:t>
      </w:r>
      <w:r w:rsidR="00747A6C">
        <w:t xml:space="preserve">MP </w:t>
      </w:r>
      <w:r w:rsidRPr="003670A7">
        <w:t xml:space="preserve">Lasher </w:t>
      </w:r>
      <w:r w:rsidR="00747A6C">
        <w:t>and RJ</w:t>
      </w:r>
      <w:r w:rsidRPr="003670A7">
        <w:t xml:space="preserve"> McGrath</w:t>
      </w:r>
      <w:r w:rsidR="005515E9">
        <w:t>,</w:t>
      </w:r>
      <w:r w:rsidRPr="003670A7" w:rsidDel="005515E9">
        <w:t xml:space="preserve"> </w:t>
      </w:r>
      <w:r w:rsidR="0077365F">
        <w:t>‘</w:t>
      </w:r>
      <w:r w:rsidRPr="003670A7">
        <w:t>The impact of community notification on sex offender reintegration: A quantitative review of the research literature. International</w:t>
      </w:r>
      <w:r w:rsidR="00F227C2">
        <w:t>’</w:t>
      </w:r>
      <w:r w:rsidR="005515E9">
        <w:t xml:space="preserve"> (2012)</w:t>
      </w:r>
      <w:r w:rsidRPr="003670A7">
        <w:t xml:space="preserve"> </w:t>
      </w:r>
      <w:r w:rsidR="005515E9">
        <w:t xml:space="preserve">56(1) </w:t>
      </w:r>
      <w:r w:rsidRPr="0005416D">
        <w:rPr>
          <w:i/>
        </w:rPr>
        <w:t>Journal of Offender Therapy and Comparative Criminology</w:t>
      </w:r>
      <w:r w:rsidRPr="003670A7">
        <w:t xml:space="preserve">  6–28</w:t>
      </w:r>
      <w:r>
        <w:t xml:space="preserve">; </w:t>
      </w:r>
      <w:r w:rsidRPr="0004497B">
        <w:t xml:space="preserve">Sarah Napier, Christopher Dowling, Anthony Morgan and Daniel Talbot, </w:t>
      </w:r>
      <w:r w:rsidR="005515E9">
        <w:t>‘</w:t>
      </w:r>
      <w:r w:rsidRPr="0005416D">
        <w:t>What impact do public sex offender registries have on community safety?</w:t>
      </w:r>
      <w:r w:rsidR="005515E9">
        <w:t>’</w:t>
      </w:r>
      <w:r w:rsidRPr="0004497B">
        <w:t xml:space="preserve"> (</w:t>
      </w:r>
      <w:r w:rsidRPr="0005416D">
        <w:rPr>
          <w:i/>
        </w:rPr>
        <w:t>Trends &amp; Issues in Crime and Criminal Justice</w:t>
      </w:r>
      <w:r w:rsidRPr="0004497B">
        <w:t xml:space="preserve"> No 550, Australian Institute of Criminology, May 2018)</w:t>
      </w:r>
      <w:r>
        <w:t>.</w:t>
      </w:r>
    </w:p>
  </w:footnote>
  <w:footnote w:id="51">
    <w:p w14:paraId="16194654" w14:textId="371E4482" w:rsidR="00AB5429" w:rsidRPr="00AB5429" w:rsidRDefault="00AB5429">
      <w:pPr>
        <w:pStyle w:val="FootnoteText"/>
        <w:rPr>
          <w:lang w:val="en-GB"/>
        </w:rPr>
      </w:pPr>
      <w:r>
        <w:rPr>
          <w:rStyle w:val="FootnoteReference"/>
        </w:rPr>
        <w:footnoteRef/>
      </w:r>
      <w:r>
        <w:t xml:space="preserve"> </w:t>
      </w:r>
      <w:r>
        <w:rPr>
          <w:lang w:val="en-GB"/>
        </w:rPr>
        <w:t>S</w:t>
      </w:r>
      <w:r w:rsidR="001650E8">
        <w:rPr>
          <w:lang w:val="en-GB"/>
        </w:rPr>
        <w:t xml:space="preserve">tatement of Compatibility, </w:t>
      </w:r>
      <w:r w:rsidR="00F4090F">
        <w:rPr>
          <w:lang w:val="en-GB"/>
        </w:rPr>
        <w:t xml:space="preserve">Community Protection </w:t>
      </w:r>
      <w:r w:rsidR="0025707C">
        <w:rPr>
          <w:lang w:val="en-GB"/>
        </w:rPr>
        <w:t xml:space="preserve">and </w:t>
      </w:r>
      <w:r w:rsidR="001650E8">
        <w:t>P</w:t>
      </w:r>
      <w:r w:rsidR="001650E8" w:rsidRPr="004D2A17">
        <w:t>ublic Child Sex Offender Register (Daniel’s Law) Bill 2025</w:t>
      </w:r>
      <w:r w:rsidR="0025707C">
        <w:t xml:space="preserve"> (Qld)</w:t>
      </w:r>
      <w:r w:rsidR="001650E8">
        <w:t xml:space="preserve"> </w:t>
      </w:r>
      <w:r>
        <w:rPr>
          <w:lang w:val="en-GB"/>
        </w:rPr>
        <w:t>6</w:t>
      </w:r>
      <w:r w:rsidR="00BE3ED2">
        <w:rPr>
          <w:lang w:val="en-GB"/>
        </w:rPr>
        <w:t>.</w:t>
      </w:r>
    </w:p>
  </w:footnote>
  <w:footnote w:id="52">
    <w:p w14:paraId="7371BCCE" w14:textId="12EE90F5" w:rsidR="00507B24" w:rsidRPr="00507B24" w:rsidRDefault="00507B24" w:rsidP="00507B24">
      <w:pPr>
        <w:pStyle w:val="FootnoteText"/>
        <w:rPr>
          <w:lang w:val="en-GB"/>
        </w:rPr>
      </w:pPr>
      <w:r>
        <w:rPr>
          <w:rStyle w:val="FootnoteReference"/>
        </w:rPr>
        <w:footnoteRef/>
      </w:r>
      <w:r>
        <w:t xml:space="preserve"> The </w:t>
      </w:r>
      <w:r w:rsidRPr="00507B24">
        <w:t xml:space="preserve">test for whether or not a measure will limit a human right </w:t>
      </w:r>
      <w:r>
        <w:t xml:space="preserve">is </w:t>
      </w:r>
      <w:r w:rsidRPr="00507B24">
        <w:t>if it ‘places limitations or restrictions on, or interferes with, the human rights of a person’</w:t>
      </w:r>
      <w:r>
        <w:t xml:space="preserve"> </w:t>
      </w:r>
      <w:r w:rsidRPr="00507B24">
        <w:rPr>
          <w:i/>
          <w:iCs/>
          <w:lang w:val="en-GB"/>
        </w:rPr>
        <w:t>Austin BMI</w:t>
      </w:r>
      <w:r w:rsidRPr="00507B24">
        <w:rPr>
          <w:lang w:val="en-GB"/>
        </w:rPr>
        <w:t xml:space="preserve"> </w:t>
      </w:r>
      <w:r w:rsidR="00AC4175" w:rsidRPr="0005416D">
        <w:rPr>
          <w:i/>
          <w:lang w:val="en-GB"/>
        </w:rPr>
        <w:t>Pty Ltd v Deputy Premier</w:t>
      </w:r>
      <w:r w:rsidR="00AC4175">
        <w:rPr>
          <w:lang w:val="en-GB"/>
        </w:rPr>
        <w:t xml:space="preserve"> (2023) 16 QR 377</w:t>
      </w:r>
      <w:r w:rsidR="003F650B">
        <w:rPr>
          <w:lang w:val="en-GB"/>
        </w:rPr>
        <w:t xml:space="preserve"> </w:t>
      </w:r>
      <w:r w:rsidRPr="00507B24">
        <w:rPr>
          <w:lang w:val="en-GB"/>
        </w:rPr>
        <w:t xml:space="preserve">[306] (Freeburn J); </w:t>
      </w:r>
      <w:r w:rsidRPr="00507B24">
        <w:rPr>
          <w:i/>
        </w:rPr>
        <w:t>BZN</w:t>
      </w:r>
      <w:r w:rsidR="006F37FA">
        <w:rPr>
          <w:i/>
        </w:rPr>
        <w:t xml:space="preserve"> v Chief Executive, Department of Children, Youth Justice and Multicultural Affairs</w:t>
      </w:r>
      <w:r w:rsidR="006F37FA" w:rsidRPr="0005416D">
        <w:t xml:space="preserve"> [2023] QSC 266</w:t>
      </w:r>
      <w:r w:rsidR="00F77B06">
        <w:rPr>
          <w:i/>
        </w:rPr>
        <w:t xml:space="preserve"> </w:t>
      </w:r>
      <w:r w:rsidRPr="00507B24">
        <w:rPr>
          <w:i/>
        </w:rPr>
        <w:t xml:space="preserve"> </w:t>
      </w:r>
      <w:r w:rsidRPr="00507B24">
        <w:rPr>
          <w:lang w:val="en-GB"/>
        </w:rPr>
        <w:t>[238] (Crowley J).</w:t>
      </w:r>
    </w:p>
  </w:footnote>
  <w:footnote w:id="53">
    <w:p w14:paraId="3E26E9CC" w14:textId="3D003D96" w:rsidR="006221F8" w:rsidRPr="006221F8" w:rsidRDefault="006221F8">
      <w:pPr>
        <w:pStyle w:val="FootnoteText"/>
        <w:rPr>
          <w:lang w:val="en-GB"/>
        </w:rPr>
      </w:pPr>
      <w:r>
        <w:rPr>
          <w:rStyle w:val="FootnoteReference"/>
        </w:rPr>
        <w:footnoteRef/>
      </w:r>
      <w:r>
        <w:t xml:space="preserve"> </w:t>
      </w:r>
      <w:r w:rsidR="005D2EAF">
        <w:t xml:space="preserve">Community Protection and </w:t>
      </w:r>
      <w:r w:rsidR="001650E8">
        <w:t>P</w:t>
      </w:r>
      <w:r w:rsidR="001650E8" w:rsidRPr="004D2A17">
        <w:t>ublic Child Sex Offender Register (Daniel’s Law) Bill 2025</w:t>
      </w:r>
      <w:r w:rsidR="001650E8">
        <w:t xml:space="preserve"> </w:t>
      </w:r>
      <w:r w:rsidR="008E0ABD">
        <w:t xml:space="preserve">(Qld) </w:t>
      </w:r>
      <w:r w:rsidR="001650E8">
        <w:t>s</w:t>
      </w:r>
      <w:r w:rsidR="008E0ABD">
        <w:t xml:space="preserve"> </w:t>
      </w:r>
      <w:r w:rsidR="00FF1C25">
        <w:t>74AJ</w:t>
      </w:r>
      <w:r w:rsidR="008E0ABD">
        <w:t>.</w:t>
      </w:r>
    </w:p>
  </w:footnote>
  <w:footnote w:id="54">
    <w:p w14:paraId="629E3BA1" w14:textId="2A375072" w:rsidR="005715AD" w:rsidRPr="005715AD" w:rsidRDefault="005715AD">
      <w:pPr>
        <w:pStyle w:val="FootnoteText"/>
        <w:rPr>
          <w:lang w:val="en-GB"/>
        </w:rPr>
      </w:pPr>
      <w:r>
        <w:rPr>
          <w:rStyle w:val="FootnoteReference"/>
        </w:rPr>
        <w:footnoteRef/>
      </w:r>
      <w:r>
        <w:t xml:space="preserve"> </w:t>
      </w:r>
      <w:r w:rsidR="001650E8" w:rsidRPr="0004497B">
        <w:t xml:space="preserve">Sarah Napier, Christopher Dowling, Anthony Morgan and Daniel Talbot, </w:t>
      </w:r>
      <w:r w:rsidR="008E0ABD">
        <w:t>‘</w:t>
      </w:r>
      <w:r w:rsidR="001650E8" w:rsidRPr="0005416D">
        <w:t>What impact do public sex offender registries have on community safety?</w:t>
      </w:r>
      <w:r w:rsidR="008E0ABD">
        <w:t>’</w:t>
      </w:r>
      <w:r w:rsidR="001650E8" w:rsidRPr="0004497B">
        <w:t xml:space="preserve"> (</w:t>
      </w:r>
      <w:r w:rsidR="001650E8" w:rsidRPr="0005416D">
        <w:rPr>
          <w:i/>
        </w:rPr>
        <w:t>Trends &amp; Issues in Crime and Criminal Justice</w:t>
      </w:r>
      <w:r w:rsidR="001650E8" w:rsidRPr="0004497B">
        <w:t xml:space="preserve"> No 550, Australian Institute of Criminology, May 2018)</w:t>
      </w:r>
      <w:r w:rsidR="001650E8">
        <w:t xml:space="preserve"> </w:t>
      </w:r>
      <w:r>
        <w:rPr>
          <w:lang w:val="en-GB"/>
        </w:rPr>
        <w:t>6</w:t>
      </w:r>
      <w:r w:rsidR="008A64F1">
        <w:rPr>
          <w:lang w:val="en-GB"/>
        </w:rPr>
        <w:t>.</w:t>
      </w:r>
    </w:p>
  </w:footnote>
  <w:footnote w:id="55">
    <w:p w14:paraId="1E1ED1DD" w14:textId="50C267E3" w:rsidR="002E3CE9" w:rsidRPr="002E3CE9" w:rsidRDefault="002E3CE9">
      <w:pPr>
        <w:pStyle w:val="FootnoteText"/>
        <w:rPr>
          <w:lang w:val="en-GB"/>
        </w:rPr>
      </w:pPr>
      <w:r>
        <w:rPr>
          <w:rStyle w:val="FootnoteReference"/>
        </w:rPr>
        <w:footnoteRef/>
      </w:r>
      <w:r w:rsidR="001650E8">
        <w:t xml:space="preserve"> </w:t>
      </w:r>
      <w:r w:rsidR="001650E8" w:rsidRPr="0004497B">
        <w:t xml:space="preserve">Sarah Napier, Christopher Dowling, Anthony Morgan and Daniel Talbot, </w:t>
      </w:r>
      <w:r w:rsidR="008A64F1">
        <w:t>‘</w:t>
      </w:r>
      <w:r w:rsidR="001650E8" w:rsidRPr="0005416D">
        <w:t>What impact do public sex offender registries have on community safety?</w:t>
      </w:r>
      <w:r w:rsidR="008A64F1">
        <w:t>’</w:t>
      </w:r>
      <w:r w:rsidR="001650E8" w:rsidRPr="0004497B">
        <w:t xml:space="preserve"> (</w:t>
      </w:r>
      <w:r w:rsidR="001650E8" w:rsidRPr="0005416D">
        <w:rPr>
          <w:i/>
        </w:rPr>
        <w:t>Trends &amp; Issues in Crime and Criminal Justice</w:t>
      </w:r>
      <w:r w:rsidR="001650E8" w:rsidRPr="0004497B">
        <w:t xml:space="preserve"> No 550, Australian Institute of Criminology, May 2018)</w:t>
      </w:r>
      <w:r w:rsidR="001650E8">
        <w:t xml:space="preserve"> </w:t>
      </w:r>
      <w:r>
        <w:rPr>
          <w:lang w:val="en-GB"/>
        </w:rPr>
        <w:t>27</w:t>
      </w:r>
      <w:r w:rsidR="00AD7317">
        <w:rPr>
          <w:lang w:val="en-GB"/>
        </w:rPr>
        <w:t>.</w:t>
      </w:r>
    </w:p>
  </w:footnote>
  <w:footnote w:id="56">
    <w:p w14:paraId="34841B0B" w14:textId="3E94DB2C" w:rsidR="00D44D21" w:rsidRPr="00034AC3" w:rsidRDefault="00D44D21" w:rsidP="00D44D21">
      <w:pPr>
        <w:pStyle w:val="FootnoteText"/>
        <w:rPr>
          <w:lang w:val="en-GB"/>
        </w:rPr>
      </w:pPr>
      <w:r>
        <w:rPr>
          <w:rStyle w:val="FootnoteReference"/>
        </w:rPr>
        <w:footnoteRef/>
      </w:r>
      <w:r>
        <w:t xml:space="preserve"> </w:t>
      </w:r>
      <w:r w:rsidR="005B5753">
        <w:t xml:space="preserve">Community Protection and </w:t>
      </w:r>
      <w:r w:rsidR="001650E8">
        <w:t>P</w:t>
      </w:r>
      <w:r w:rsidR="001650E8" w:rsidRPr="004D2A17">
        <w:t>ublic Child Sex Offender Register (Daniel’s Law) Bill 2025</w:t>
      </w:r>
      <w:r w:rsidR="001650E8">
        <w:t xml:space="preserve"> </w:t>
      </w:r>
      <w:r w:rsidR="005B5753">
        <w:t xml:space="preserve">(Qld) </w:t>
      </w:r>
      <w:r w:rsidR="001650E8">
        <w:t>s</w:t>
      </w:r>
      <w:r w:rsidR="005B5753">
        <w:t xml:space="preserve"> </w:t>
      </w:r>
      <w:r>
        <w:rPr>
          <w:lang w:val="en-GB"/>
        </w:rPr>
        <w:t>74AH</w:t>
      </w:r>
      <w:r w:rsidR="005B5753">
        <w:rPr>
          <w:lang w:val="en-GB"/>
        </w:rPr>
        <w:t>.</w:t>
      </w:r>
    </w:p>
  </w:footnote>
  <w:footnote w:id="57">
    <w:p w14:paraId="4B0E361C" w14:textId="7381BB96" w:rsidR="00D44D21" w:rsidRPr="00687DB6" w:rsidRDefault="00D44D21" w:rsidP="00D44D21">
      <w:pPr>
        <w:pStyle w:val="FootnoteText"/>
        <w:rPr>
          <w:lang w:val="en-GB"/>
        </w:rPr>
      </w:pPr>
      <w:r>
        <w:rPr>
          <w:rStyle w:val="FootnoteReference"/>
        </w:rPr>
        <w:footnoteRef/>
      </w:r>
      <w:r>
        <w:t xml:space="preserve"> </w:t>
      </w:r>
      <w:r w:rsidR="005B5753">
        <w:t xml:space="preserve">Community Protection and </w:t>
      </w:r>
      <w:r w:rsidR="001650E8">
        <w:t>P</w:t>
      </w:r>
      <w:r w:rsidR="001650E8" w:rsidRPr="004D2A17">
        <w:t>ublic Child Sex Offender Register (Daniel’s Law) Bill 2025</w:t>
      </w:r>
      <w:r w:rsidR="001650E8">
        <w:t xml:space="preserve"> </w:t>
      </w:r>
      <w:r w:rsidR="005B5753">
        <w:t xml:space="preserve">(Qld) </w:t>
      </w:r>
      <w:r w:rsidR="001650E8">
        <w:t>s</w:t>
      </w:r>
      <w:r w:rsidR="005B5753">
        <w:t xml:space="preserve"> </w:t>
      </w:r>
      <w:r>
        <w:rPr>
          <w:lang w:val="en-GB"/>
        </w:rPr>
        <w:t>74AI(4)</w:t>
      </w:r>
      <w:r w:rsidR="005B5753">
        <w:rPr>
          <w:lang w:val="en-GB"/>
        </w:rPr>
        <w:t>.</w:t>
      </w:r>
    </w:p>
  </w:footnote>
  <w:footnote w:id="58">
    <w:p w14:paraId="748C0346" w14:textId="086A74C2" w:rsidR="00517AFD" w:rsidRPr="00517AFD" w:rsidRDefault="00517AFD">
      <w:pPr>
        <w:pStyle w:val="FootnoteText"/>
        <w:rPr>
          <w:lang w:val="en-GB"/>
        </w:rPr>
      </w:pPr>
      <w:r>
        <w:rPr>
          <w:rStyle w:val="FootnoteReference"/>
        </w:rPr>
        <w:footnoteRef/>
      </w:r>
      <w:r>
        <w:t xml:space="preserve"> </w:t>
      </w:r>
      <w:r w:rsidR="001650E8">
        <w:t xml:space="preserve">Explanatory Notes, </w:t>
      </w:r>
      <w:r w:rsidR="005B5753">
        <w:t xml:space="preserve">Community Protection and </w:t>
      </w:r>
      <w:r w:rsidR="001650E8">
        <w:t>P</w:t>
      </w:r>
      <w:r w:rsidR="001650E8" w:rsidRPr="004D2A17">
        <w:t>ublic Child Sex Offender Register (Daniel’s Law) Bill 2025</w:t>
      </w:r>
      <w:r w:rsidR="005B5753">
        <w:t xml:space="preserve"> (Qld)</w:t>
      </w:r>
      <w:r w:rsidR="001650E8">
        <w:t xml:space="preserve"> </w:t>
      </w:r>
      <w:r w:rsidR="00AD321E">
        <w:t>7-8</w:t>
      </w:r>
      <w:r w:rsidR="005B5753">
        <w:t>.</w:t>
      </w:r>
    </w:p>
  </w:footnote>
  <w:footnote w:id="59">
    <w:p w14:paraId="7540A185" w14:textId="7457D3EC" w:rsidR="00517AFD" w:rsidRPr="00517AFD" w:rsidRDefault="00517AFD">
      <w:pPr>
        <w:pStyle w:val="FootnoteText"/>
        <w:rPr>
          <w:lang w:val="en-GB"/>
        </w:rPr>
      </w:pPr>
      <w:r>
        <w:rPr>
          <w:rStyle w:val="FootnoteReference"/>
        </w:rPr>
        <w:footnoteRef/>
      </w:r>
      <w:r>
        <w:t xml:space="preserve"> </w:t>
      </w:r>
      <w:r w:rsidR="001650E8">
        <w:t xml:space="preserve">Explanatory Notes, </w:t>
      </w:r>
      <w:r w:rsidR="005B5753">
        <w:t xml:space="preserve">Community Protection and </w:t>
      </w:r>
      <w:r w:rsidR="001650E8">
        <w:t>P</w:t>
      </w:r>
      <w:r w:rsidR="001650E8" w:rsidRPr="004D2A17">
        <w:t>ublic Child Sex Offender Register (Daniel’s Law) Bill 2025</w:t>
      </w:r>
      <w:r w:rsidR="0034495A">
        <w:t xml:space="preserve"> (Qld)</w:t>
      </w:r>
      <w:r w:rsidR="001650E8">
        <w:t xml:space="preserve"> 7-8</w:t>
      </w:r>
      <w:r w:rsidR="0034495A">
        <w:t>.</w:t>
      </w:r>
    </w:p>
  </w:footnote>
  <w:footnote w:id="60">
    <w:p w14:paraId="35194BA9" w14:textId="0434F196" w:rsidR="00FD3B9A" w:rsidRPr="00FD3B9A" w:rsidRDefault="00FD3B9A">
      <w:pPr>
        <w:pStyle w:val="FootnoteText"/>
        <w:rPr>
          <w:lang w:val="en-GB"/>
        </w:rPr>
      </w:pPr>
      <w:r>
        <w:rPr>
          <w:rStyle w:val="FootnoteReference"/>
        </w:rPr>
        <w:footnoteRef/>
      </w:r>
      <w:r>
        <w:t xml:space="preserve"> </w:t>
      </w:r>
      <w:r w:rsidR="001650E8" w:rsidRPr="0005416D">
        <w:rPr>
          <w:i/>
        </w:rPr>
        <w:t>Community Protection (Offender Reporting) Act 2004</w:t>
      </w:r>
      <w:r w:rsidR="0034495A">
        <w:t xml:space="preserve"> (WA) </w:t>
      </w:r>
      <w:r>
        <w:rPr>
          <w:lang w:val="en-GB"/>
        </w:rPr>
        <w:t>s</w:t>
      </w:r>
      <w:r w:rsidR="0034495A">
        <w:rPr>
          <w:lang w:val="en-GB"/>
        </w:rPr>
        <w:t xml:space="preserve"> </w:t>
      </w:r>
      <w:r>
        <w:rPr>
          <w:lang w:val="en-GB"/>
        </w:rPr>
        <w:t>85G(3)</w:t>
      </w:r>
      <w:r w:rsidR="0034495A">
        <w:rPr>
          <w:lang w:val="en-GB"/>
        </w:rPr>
        <w:t>.</w:t>
      </w:r>
    </w:p>
  </w:footnote>
  <w:footnote w:id="61">
    <w:p w14:paraId="5D169153" w14:textId="6D887341" w:rsidR="00952EFE" w:rsidRPr="00584CF9" w:rsidRDefault="00952EFE" w:rsidP="00952EFE">
      <w:pPr>
        <w:pStyle w:val="FootnoteText"/>
        <w:rPr>
          <w:lang w:val="en-GB"/>
        </w:rPr>
      </w:pPr>
      <w:r>
        <w:rPr>
          <w:rStyle w:val="FootnoteReference"/>
        </w:rPr>
        <w:footnoteRef/>
      </w:r>
      <w:r>
        <w:t xml:space="preserve"> </w:t>
      </w:r>
      <w:r w:rsidRPr="00E277BC">
        <w:t xml:space="preserve">Ian Nisbet, 'Adolescent sex offenders: </w:t>
      </w:r>
      <w:r w:rsidR="005235FE">
        <w:t>a</w:t>
      </w:r>
      <w:r w:rsidRPr="00E277BC">
        <w:t xml:space="preserve"> life sentence?' (2010) </w:t>
      </w:r>
      <w:r>
        <w:t>32</w:t>
      </w:r>
      <w:r w:rsidR="00C002A8">
        <w:t>(4)</w:t>
      </w:r>
      <w:r>
        <w:t xml:space="preserve"> </w:t>
      </w:r>
      <w:proofErr w:type="spellStart"/>
      <w:r w:rsidRPr="0005416D">
        <w:rPr>
          <w:i/>
        </w:rPr>
        <w:t>InPsych</w:t>
      </w:r>
      <w:proofErr w:type="spellEnd"/>
      <w:r>
        <w:t>.</w:t>
      </w:r>
    </w:p>
  </w:footnote>
  <w:footnote w:id="62">
    <w:p w14:paraId="45D2126A" w14:textId="4FFCD50E" w:rsidR="00952EFE" w:rsidRPr="00844B55" w:rsidRDefault="00952EFE" w:rsidP="00952EFE">
      <w:pPr>
        <w:pStyle w:val="FootnoteText"/>
        <w:rPr>
          <w:lang w:val="en-GB"/>
        </w:rPr>
      </w:pPr>
      <w:r>
        <w:rPr>
          <w:rStyle w:val="FootnoteReference"/>
        </w:rPr>
        <w:footnoteRef/>
      </w:r>
      <w:r>
        <w:t xml:space="preserve"> See for example: </w:t>
      </w:r>
      <w:r w:rsidRPr="0091759D">
        <w:rPr>
          <w:lang w:val="en-GB"/>
        </w:rPr>
        <w:t xml:space="preserve">Queensland Family &amp; Child Commission, </w:t>
      </w:r>
      <w:r w:rsidRPr="0091759D">
        <w:rPr>
          <w:i/>
          <w:iCs/>
          <w:lang w:val="en-GB"/>
        </w:rPr>
        <w:t>Exiting youth detention</w:t>
      </w:r>
      <w:r w:rsidR="00B31D4D">
        <w:rPr>
          <w:i/>
          <w:iCs/>
          <w:lang w:val="en-GB"/>
        </w:rPr>
        <w:t>: Preventing crime by improving post-release support</w:t>
      </w:r>
      <w:r w:rsidRPr="0091759D">
        <w:rPr>
          <w:lang w:val="en-GB"/>
        </w:rPr>
        <w:t xml:space="preserve"> (</w:t>
      </w:r>
      <w:r w:rsidR="00DA3D90">
        <w:rPr>
          <w:lang w:val="en-GB"/>
        </w:rPr>
        <w:t xml:space="preserve">Report, </w:t>
      </w:r>
      <w:r w:rsidRPr="0091759D">
        <w:rPr>
          <w:lang w:val="en-GB"/>
        </w:rPr>
        <w:t xml:space="preserve">June 2024) 12; </w:t>
      </w:r>
      <w:r w:rsidRPr="0091759D">
        <w:t>Australian Institute of Health and Welfare</w:t>
      </w:r>
      <w:r w:rsidR="009F449C">
        <w:t xml:space="preserve">, </w:t>
      </w:r>
      <w:r w:rsidR="005D3E0D" w:rsidRPr="0005416D">
        <w:rPr>
          <w:i/>
        </w:rPr>
        <w:t>Youth justice in Australia 2023-24</w:t>
      </w:r>
      <w:r w:rsidR="005D3E0D">
        <w:t xml:space="preserve"> </w:t>
      </w:r>
      <w:r w:rsidR="005D6939">
        <w:t>(</w:t>
      </w:r>
      <w:r w:rsidR="00554291">
        <w:t xml:space="preserve">Web Page, </w:t>
      </w:r>
      <w:r w:rsidR="0003521C">
        <w:t xml:space="preserve">28 March 2025) &lt; </w:t>
      </w:r>
      <w:r w:rsidR="00DD19DE" w:rsidRPr="00DD19DE">
        <w:t>https://www.aihw.gov.au/reports/youth-justice/youth-justice-in-australia-2023-24/contents/introduction/youth-justice-system</w:t>
      </w:r>
      <w:r w:rsidR="00DD19DE">
        <w:t>&gt;</w:t>
      </w:r>
      <w:r>
        <w:t xml:space="preserve">; </w:t>
      </w:r>
      <w:r>
        <w:rPr>
          <w:lang w:val="en-US"/>
        </w:rPr>
        <w:t xml:space="preserve">Committee on the Rights of the Child, </w:t>
      </w:r>
      <w:r>
        <w:rPr>
          <w:i/>
          <w:iCs/>
          <w:lang w:val="en-US"/>
        </w:rPr>
        <w:t>General Comment No. 24 (2019) on Children’s Rights in the Child Justice System</w:t>
      </w:r>
      <w:r>
        <w:rPr>
          <w:lang w:val="en-US"/>
        </w:rPr>
        <w:t>, UN Doc CRC/C/GC/24 (18 September 2019) [2], [22]-[23].</w:t>
      </w:r>
    </w:p>
  </w:footnote>
  <w:footnote w:id="63">
    <w:p w14:paraId="2719509D" w14:textId="6B6F1874" w:rsidR="00952EFE" w:rsidRPr="00D7531C" w:rsidRDefault="00952EFE" w:rsidP="00952EFE">
      <w:pPr>
        <w:pStyle w:val="FootnoteText"/>
        <w:rPr>
          <w:lang w:val="en-GB"/>
        </w:rPr>
      </w:pPr>
      <w:r>
        <w:rPr>
          <w:rStyle w:val="FootnoteReference"/>
        </w:rPr>
        <w:footnoteRef/>
      </w:r>
      <w:r>
        <w:t xml:space="preserve"> Jesse Cale et al, 'A quasi-experimental evaluation of a specialized treatment service for youth adjudicated for sexual offences in Queensland, Australia' (2025) 99 </w:t>
      </w:r>
      <w:r w:rsidRPr="0005416D">
        <w:rPr>
          <w:i/>
        </w:rPr>
        <w:t>Journal of Criminal Justice</w:t>
      </w:r>
      <w:r>
        <w:t xml:space="preserve"> 102462</w:t>
      </w:r>
      <w:r w:rsidR="00B321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ED03" w14:textId="77777777" w:rsidR="00BC7248" w:rsidRDefault="00527ECE" w:rsidP="00304408">
    <w:pPr>
      <w:pStyle w:val="Header"/>
      <w:tabs>
        <w:tab w:val="clear" w:pos="4513"/>
        <w:tab w:val="clear" w:pos="9026"/>
      </w:tabs>
    </w:pPr>
    <w:r>
      <w:rPr>
        <w:noProof/>
        <w:lang w:eastAsia="en-AU"/>
      </w:rPr>
      <w:drawing>
        <wp:inline distT="0" distB="0" distL="0" distR="0" wp14:anchorId="1901E9F8" wp14:editId="7979A0D6">
          <wp:extent cx="2147504" cy="895985"/>
          <wp:effectExtent l="0" t="0" r="5715" b="0"/>
          <wp:docPr id="336099719" name="Picture 336099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15938EC5" w14:textId="77777777" w:rsidR="00527ECE" w:rsidRDefault="00527ECE" w:rsidP="00304408">
    <w:pPr>
      <w:pStyle w:val="Header"/>
      <w:tabs>
        <w:tab w:val="clear" w:pos="4513"/>
        <w:tab w:val="clear" w:pos="9026"/>
      </w:tabs>
    </w:pPr>
  </w:p>
  <w:p w14:paraId="58D8C6A6" w14:textId="77777777" w:rsidR="00527ECE" w:rsidRDefault="00527ECE" w:rsidP="00304408">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70AB" w14:textId="77777777" w:rsidR="00BC7248" w:rsidRDefault="00BC7248" w:rsidP="000C13C7">
    <w:pPr>
      <w:pStyle w:val="Header"/>
      <w:tabs>
        <w:tab w:val="clear" w:pos="4513"/>
        <w:tab w:val="clear" w:pos="9026"/>
      </w:tabs>
    </w:pPr>
    <w:r>
      <w:rPr>
        <w:noProof/>
        <w:lang w:eastAsia="en-AU"/>
      </w:rPr>
      <w:drawing>
        <wp:inline distT="0" distB="0" distL="0" distR="0" wp14:anchorId="4A1C3877" wp14:editId="37AEF77C">
          <wp:extent cx="2147504" cy="895985"/>
          <wp:effectExtent l="0" t="0" r="5715" b="0"/>
          <wp:docPr id="1003581422" name="Picture 100358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p w14:paraId="7CDB1F2B" w14:textId="77777777" w:rsidR="00527ECE" w:rsidRDefault="00527ECE" w:rsidP="000C13C7">
    <w:pPr>
      <w:pStyle w:val="Header"/>
      <w:tabs>
        <w:tab w:val="clear" w:pos="4513"/>
        <w:tab w:val="clear" w:pos="9026"/>
      </w:tabs>
    </w:pPr>
  </w:p>
  <w:p w14:paraId="7D47A6A9" w14:textId="77777777" w:rsidR="00527ECE" w:rsidRDefault="00527ECE"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67916"/>
    <w:multiLevelType w:val="hybridMultilevel"/>
    <w:tmpl w:val="1DBE4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50E7E"/>
    <w:multiLevelType w:val="multilevel"/>
    <w:tmpl w:val="AA0882AE"/>
    <w:lvl w:ilvl="0">
      <w:start w:val="1"/>
      <w:numFmt w:val="decimal"/>
      <w:lvlText w:val="%1."/>
      <w:lvlJc w:val="left"/>
      <w:pPr>
        <w:ind w:left="567" w:hanging="567"/>
      </w:pPr>
      <w:rPr>
        <w:b w:val="0"/>
        <w:bCs w:val="0"/>
        <w:i w:val="0"/>
        <w:iCs w:val="0"/>
      </w:rPr>
    </w:lvl>
    <w:lvl w:ilvl="1">
      <w:start w:val="1"/>
      <w:numFmt w:val="bullet"/>
      <w:lvlText w:val=""/>
      <w:lvlJc w:val="left"/>
      <w:pPr>
        <w:ind w:left="907" w:hanging="360"/>
      </w:pPr>
      <w:rPr>
        <w:rFonts w:ascii="Symbol" w:hAnsi="Symbol" w:hint="default"/>
        <w:b w:val="0"/>
        <w:i w:val="0"/>
        <w:sz w:val="24"/>
      </w:rPr>
    </w:lvl>
    <w:lvl w:ilvl="2">
      <w:start w:val="1"/>
      <w:numFmt w:val="bullet"/>
      <w:lvlText w:val=""/>
      <w:lvlJc w:val="left"/>
      <w:pPr>
        <w:ind w:left="1494" w:hanging="360"/>
      </w:pPr>
      <w:rPr>
        <w:rFonts w:ascii="Symbol" w:hAnsi="Symbol" w:hint="default"/>
      </w:r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righ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right"/>
      <w:pPr>
        <w:ind w:left="3213" w:hanging="357"/>
      </w:pPr>
    </w:lvl>
  </w:abstractNum>
  <w:abstractNum w:abstractNumId="3" w15:restartNumberingAfterBreak="0">
    <w:nsid w:val="1A69591A"/>
    <w:multiLevelType w:val="hybridMultilevel"/>
    <w:tmpl w:val="00007FBC"/>
    <w:lvl w:ilvl="0" w:tplc="3ED49866">
      <w:start w:val="1"/>
      <w:numFmt w:val="decimal"/>
      <w:pStyle w:val="Bodytextnumbered"/>
      <w:lvlText w:val="%1"/>
      <w:lvlJc w:val="left"/>
      <w:pPr>
        <w:ind w:left="786" w:hanging="360"/>
      </w:pPr>
    </w:lvl>
    <w:lvl w:ilvl="1" w:tplc="0C090001">
      <w:start w:val="1"/>
      <w:numFmt w:val="bullet"/>
      <w:lvlText w:val=""/>
      <w:lvlJc w:val="left"/>
      <w:pPr>
        <w:ind w:left="1440" w:hanging="360"/>
      </w:pPr>
      <w:rPr>
        <w:rFonts w:ascii="Symbol" w:hAnsi="Symbol" w:hint="default"/>
      </w:rPr>
    </w:lvl>
    <w:lvl w:ilvl="2" w:tplc="28CEB19C">
      <w:start w:val="1"/>
      <w:numFmt w:val="bullet"/>
      <w:lvlText w:val=""/>
      <w:lvlJc w:val="left"/>
      <w:pPr>
        <w:ind w:left="234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E5E8C"/>
    <w:multiLevelType w:val="multilevel"/>
    <w:tmpl w:val="C3C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75442"/>
    <w:multiLevelType w:val="multilevel"/>
    <w:tmpl w:val="579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963BE"/>
    <w:multiLevelType w:val="hybridMultilevel"/>
    <w:tmpl w:val="EC16A486"/>
    <w:lvl w:ilvl="0" w:tplc="FFFFFFFF">
      <w:start w:val="1"/>
      <w:numFmt w:val="decimal"/>
      <w:lvlText w:val="%1."/>
      <w:lvlJc w:val="left"/>
      <w:pPr>
        <w:ind w:left="643" w:hanging="360"/>
      </w:pPr>
      <w:rPr>
        <w:rFonts w:hint="default"/>
        <w:b w:val="0"/>
        <w:bCs/>
        <w:i w:val="0"/>
        <w:iCs w:val="0"/>
      </w:rPr>
    </w:lvl>
    <w:lvl w:ilvl="1" w:tplc="0C090001">
      <w:start w:val="1"/>
      <w:numFmt w:val="bullet"/>
      <w:lvlText w:val=""/>
      <w:lvlJc w:val="left"/>
      <w:pPr>
        <w:ind w:left="1069"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D67FA6"/>
    <w:multiLevelType w:val="multilevel"/>
    <w:tmpl w:val="D10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C024D"/>
    <w:multiLevelType w:val="multilevel"/>
    <w:tmpl w:val="FB020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47D4C"/>
    <w:multiLevelType w:val="multilevel"/>
    <w:tmpl w:val="23C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4703F4"/>
    <w:multiLevelType w:val="multilevel"/>
    <w:tmpl w:val="CB5E8DAA"/>
    <w:lvl w:ilvl="0">
      <w:start w:val="1"/>
      <w:numFmt w:val="decimal"/>
      <w:lvlText w:val="%1."/>
      <w:lvlJc w:val="left"/>
      <w:pPr>
        <w:ind w:left="567" w:hanging="567"/>
      </w:pPr>
      <w:rPr>
        <w:rFonts w:hint="default"/>
      </w:rPr>
    </w:lvl>
    <w:lvl w:ilvl="1">
      <w:start w:val="1"/>
      <w:numFmt w:val="lowerLetter"/>
      <w:lvlText w:val="%2."/>
      <w:lvlJc w:val="left"/>
      <w:pPr>
        <w:ind w:left="907" w:hanging="360"/>
      </w:p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53D84B5A"/>
    <w:multiLevelType w:val="multilevel"/>
    <w:tmpl w:val="164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F3C8B"/>
    <w:multiLevelType w:val="multilevel"/>
    <w:tmpl w:val="B05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2083C"/>
    <w:multiLevelType w:val="hybridMultilevel"/>
    <w:tmpl w:val="BCC20C1E"/>
    <w:lvl w:ilvl="0" w:tplc="FFFFFFFF">
      <w:start w:val="1"/>
      <w:numFmt w:val="lowerLetter"/>
      <w:lvlText w:val="%1."/>
      <w:lvlJc w:val="left"/>
      <w:pPr>
        <w:ind w:left="720" w:hanging="360"/>
      </w:pPr>
    </w:lvl>
    <w:lvl w:ilvl="1" w:tplc="516AE262">
      <w:start w:val="1"/>
      <w:numFmt w:val="lowerRoman"/>
      <w:pStyle w:val="Bodytextnumberedlevel3"/>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0D1527"/>
    <w:multiLevelType w:val="hybridMultilevel"/>
    <w:tmpl w:val="2564F06E"/>
    <w:lvl w:ilvl="0" w:tplc="F6CA6084">
      <w:start w:val="1"/>
      <w:numFmt w:val="lowerLetter"/>
      <w:pStyle w:val="Bodytextnumberedlevel2"/>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437780"/>
    <w:multiLevelType w:val="hybridMultilevel"/>
    <w:tmpl w:val="0F30EB48"/>
    <w:lvl w:ilvl="0" w:tplc="DF6A6BEC">
      <w:start w:val="1"/>
      <w:numFmt w:val="bullet"/>
      <w:pStyle w:val="Body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6F2D66FF"/>
    <w:multiLevelType w:val="multilevel"/>
    <w:tmpl w:val="085867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3A5C6E"/>
    <w:multiLevelType w:val="multilevel"/>
    <w:tmpl w:val="539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70483F"/>
    <w:multiLevelType w:val="multilevel"/>
    <w:tmpl w:val="AA44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583551">
    <w:abstractNumId w:val="11"/>
  </w:num>
  <w:num w:numId="2" w16cid:durableId="896471792">
    <w:abstractNumId w:val="4"/>
  </w:num>
  <w:num w:numId="3" w16cid:durableId="564029195">
    <w:abstractNumId w:val="17"/>
  </w:num>
  <w:num w:numId="4" w16cid:durableId="1091781503">
    <w:abstractNumId w:val="0"/>
  </w:num>
  <w:num w:numId="5" w16cid:durableId="1275821094">
    <w:abstractNumId w:val="8"/>
  </w:num>
  <w:num w:numId="6" w16cid:durableId="1703365581">
    <w:abstractNumId w:val="12"/>
  </w:num>
  <w:num w:numId="7" w16cid:durableId="1189834516">
    <w:abstractNumId w:val="7"/>
  </w:num>
  <w:num w:numId="8" w16cid:durableId="949974885">
    <w:abstractNumId w:val="9"/>
  </w:num>
  <w:num w:numId="9" w16cid:durableId="141821188">
    <w:abstractNumId w:val="18"/>
  </w:num>
  <w:num w:numId="10" w16cid:durableId="334265250">
    <w:abstractNumId w:val="5"/>
  </w:num>
  <w:num w:numId="11" w16cid:durableId="798495774">
    <w:abstractNumId w:val="16"/>
  </w:num>
  <w:num w:numId="12" w16cid:durableId="251865743">
    <w:abstractNumId w:val="15"/>
  </w:num>
  <w:num w:numId="13" w16cid:durableId="115222937">
    <w:abstractNumId w:val="3"/>
  </w:num>
  <w:num w:numId="14" w16cid:durableId="964117634">
    <w:abstractNumId w:val="14"/>
  </w:num>
  <w:num w:numId="15" w16cid:durableId="334961551">
    <w:abstractNumId w:val="13"/>
  </w:num>
  <w:num w:numId="16" w16cid:durableId="370540707">
    <w:abstractNumId w:val="2"/>
  </w:num>
  <w:num w:numId="17" w16cid:durableId="992490429">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1483053">
    <w:abstractNumId w:val="10"/>
  </w:num>
  <w:num w:numId="19" w16cid:durableId="41487208">
    <w:abstractNumId w:val="1"/>
  </w:num>
  <w:num w:numId="20" w16cid:durableId="1234194286">
    <w:abstractNumId w:val="6"/>
  </w:num>
  <w:num w:numId="21" w16cid:durableId="1612936420">
    <w:abstractNumId w:val="3"/>
  </w:num>
  <w:num w:numId="22" w16cid:durableId="1175605902">
    <w:abstractNumId w:val="3"/>
  </w:num>
  <w:num w:numId="23" w16cid:durableId="1698578902">
    <w:abstractNumId w:val="3"/>
  </w:num>
  <w:num w:numId="24" w16cid:durableId="236281417">
    <w:abstractNumId w:val="3"/>
    <w:lvlOverride w:ilvl="0">
      <w:startOverride w:val="1"/>
    </w:lvlOverride>
  </w:num>
  <w:num w:numId="25" w16cid:durableId="214705778">
    <w:abstractNumId w:val="3"/>
  </w:num>
  <w:num w:numId="26" w16cid:durableId="252513165">
    <w:abstractNumId w:val="3"/>
  </w:num>
  <w:num w:numId="27" w16cid:durableId="2011827922">
    <w:abstractNumId w:val="3"/>
    <w:lvlOverride w:ilvl="0">
      <w:startOverride w:val="1"/>
    </w:lvlOverride>
  </w:num>
  <w:num w:numId="28" w16cid:durableId="336690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92"/>
    <w:rsid w:val="00001C98"/>
    <w:rsid w:val="00002560"/>
    <w:rsid w:val="00002568"/>
    <w:rsid w:val="000028D4"/>
    <w:rsid w:val="00003180"/>
    <w:rsid w:val="000032E6"/>
    <w:rsid w:val="00004FC2"/>
    <w:rsid w:val="00010A3E"/>
    <w:rsid w:val="00011AED"/>
    <w:rsid w:val="00012338"/>
    <w:rsid w:val="0001272F"/>
    <w:rsid w:val="00012A83"/>
    <w:rsid w:val="00012A8A"/>
    <w:rsid w:val="00013389"/>
    <w:rsid w:val="000133F1"/>
    <w:rsid w:val="00013DAE"/>
    <w:rsid w:val="00014CF2"/>
    <w:rsid w:val="000152F3"/>
    <w:rsid w:val="00015F7B"/>
    <w:rsid w:val="00017B2D"/>
    <w:rsid w:val="000200B2"/>
    <w:rsid w:val="000200FC"/>
    <w:rsid w:val="00020790"/>
    <w:rsid w:val="00021163"/>
    <w:rsid w:val="00021679"/>
    <w:rsid w:val="00021C17"/>
    <w:rsid w:val="0002439C"/>
    <w:rsid w:val="00025281"/>
    <w:rsid w:val="000276BC"/>
    <w:rsid w:val="00031137"/>
    <w:rsid w:val="0003120F"/>
    <w:rsid w:val="00031A78"/>
    <w:rsid w:val="00032981"/>
    <w:rsid w:val="000337DA"/>
    <w:rsid w:val="00034AC3"/>
    <w:rsid w:val="00034D18"/>
    <w:rsid w:val="000351CC"/>
    <w:rsid w:val="0003521C"/>
    <w:rsid w:val="0003592D"/>
    <w:rsid w:val="00035D1A"/>
    <w:rsid w:val="00037021"/>
    <w:rsid w:val="00037139"/>
    <w:rsid w:val="0003736B"/>
    <w:rsid w:val="00037ABD"/>
    <w:rsid w:val="00040716"/>
    <w:rsid w:val="00041329"/>
    <w:rsid w:val="0004136F"/>
    <w:rsid w:val="0004170C"/>
    <w:rsid w:val="00041CA8"/>
    <w:rsid w:val="00041D0C"/>
    <w:rsid w:val="00042438"/>
    <w:rsid w:val="00042B45"/>
    <w:rsid w:val="00044461"/>
    <w:rsid w:val="0004568A"/>
    <w:rsid w:val="000466C8"/>
    <w:rsid w:val="00046B70"/>
    <w:rsid w:val="00046E0A"/>
    <w:rsid w:val="00047627"/>
    <w:rsid w:val="000478FB"/>
    <w:rsid w:val="00050A22"/>
    <w:rsid w:val="00050A8C"/>
    <w:rsid w:val="00050D06"/>
    <w:rsid w:val="00051787"/>
    <w:rsid w:val="00051DFB"/>
    <w:rsid w:val="000527FC"/>
    <w:rsid w:val="000528FD"/>
    <w:rsid w:val="00052CA0"/>
    <w:rsid w:val="0005416D"/>
    <w:rsid w:val="00054189"/>
    <w:rsid w:val="00054328"/>
    <w:rsid w:val="00055048"/>
    <w:rsid w:val="00055B87"/>
    <w:rsid w:val="00055D2E"/>
    <w:rsid w:val="0006042C"/>
    <w:rsid w:val="000615EC"/>
    <w:rsid w:val="000616D2"/>
    <w:rsid w:val="00063332"/>
    <w:rsid w:val="000638DD"/>
    <w:rsid w:val="000653A4"/>
    <w:rsid w:val="00065C24"/>
    <w:rsid w:val="00066C7B"/>
    <w:rsid w:val="00067619"/>
    <w:rsid w:val="00070F10"/>
    <w:rsid w:val="0007146D"/>
    <w:rsid w:val="00071A79"/>
    <w:rsid w:val="00072C67"/>
    <w:rsid w:val="00074672"/>
    <w:rsid w:val="00074A1C"/>
    <w:rsid w:val="000756DC"/>
    <w:rsid w:val="00076485"/>
    <w:rsid w:val="000805DC"/>
    <w:rsid w:val="00081475"/>
    <w:rsid w:val="0008292D"/>
    <w:rsid w:val="00083C55"/>
    <w:rsid w:val="00083F58"/>
    <w:rsid w:val="000860A9"/>
    <w:rsid w:val="00086154"/>
    <w:rsid w:val="000869C0"/>
    <w:rsid w:val="00087CAB"/>
    <w:rsid w:val="00091229"/>
    <w:rsid w:val="00091234"/>
    <w:rsid w:val="00091DA1"/>
    <w:rsid w:val="000923B9"/>
    <w:rsid w:val="000926CD"/>
    <w:rsid w:val="000948EF"/>
    <w:rsid w:val="00094BB1"/>
    <w:rsid w:val="0009540D"/>
    <w:rsid w:val="00095FC4"/>
    <w:rsid w:val="000961FA"/>
    <w:rsid w:val="000967FE"/>
    <w:rsid w:val="00097485"/>
    <w:rsid w:val="000A1CB0"/>
    <w:rsid w:val="000A5816"/>
    <w:rsid w:val="000A587E"/>
    <w:rsid w:val="000A7B7A"/>
    <w:rsid w:val="000B05FD"/>
    <w:rsid w:val="000B0C8A"/>
    <w:rsid w:val="000B1A2A"/>
    <w:rsid w:val="000B1E03"/>
    <w:rsid w:val="000B3152"/>
    <w:rsid w:val="000B3441"/>
    <w:rsid w:val="000B3804"/>
    <w:rsid w:val="000B3E0A"/>
    <w:rsid w:val="000B3F4F"/>
    <w:rsid w:val="000B7745"/>
    <w:rsid w:val="000B7F8B"/>
    <w:rsid w:val="000C08CB"/>
    <w:rsid w:val="000C0AAA"/>
    <w:rsid w:val="000C13C7"/>
    <w:rsid w:val="000C1CFE"/>
    <w:rsid w:val="000C5B51"/>
    <w:rsid w:val="000C5F51"/>
    <w:rsid w:val="000C77DC"/>
    <w:rsid w:val="000C7C97"/>
    <w:rsid w:val="000C7D6E"/>
    <w:rsid w:val="000D089D"/>
    <w:rsid w:val="000D103D"/>
    <w:rsid w:val="000D28BA"/>
    <w:rsid w:val="000D3B05"/>
    <w:rsid w:val="000D4725"/>
    <w:rsid w:val="000D4E07"/>
    <w:rsid w:val="000D68EB"/>
    <w:rsid w:val="000E10CE"/>
    <w:rsid w:val="000E271B"/>
    <w:rsid w:val="000E2EAF"/>
    <w:rsid w:val="000E4273"/>
    <w:rsid w:val="000E4A35"/>
    <w:rsid w:val="000E628E"/>
    <w:rsid w:val="000F002B"/>
    <w:rsid w:val="000F29CE"/>
    <w:rsid w:val="000F2A95"/>
    <w:rsid w:val="000F31ED"/>
    <w:rsid w:val="000F4249"/>
    <w:rsid w:val="000F4C8D"/>
    <w:rsid w:val="000F6C03"/>
    <w:rsid w:val="000F6D68"/>
    <w:rsid w:val="000F73AA"/>
    <w:rsid w:val="0010033E"/>
    <w:rsid w:val="0010111C"/>
    <w:rsid w:val="001016E9"/>
    <w:rsid w:val="00101A03"/>
    <w:rsid w:val="00102BA9"/>
    <w:rsid w:val="00104A3E"/>
    <w:rsid w:val="001050A2"/>
    <w:rsid w:val="00106033"/>
    <w:rsid w:val="001071EE"/>
    <w:rsid w:val="00110620"/>
    <w:rsid w:val="00110B82"/>
    <w:rsid w:val="0011315C"/>
    <w:rsid w:val="001138D0"/>
    <w:rsid w:val="00113DC4"/>
    <w:rsid w:val="001142D8"/>
    <w:rsid w:val="00115E83"/>
    <w:rsid w:val="00116F98"/>
    <w:rsid w:val="00117AAA"/>
    <w:rsid w:val="00117BC6"/>
    <w:rsid w:val="001219E8"/>
    <w:rsid w:val="001229C4"/>
    <w:rsid w:val="00122C4D"/>
    <w:rsid w:val="00122E9B"/>
    <w:rsid w:val="00122F4B"/>
    <w:rsid w:val="00125A08"/>
    <w:rsid w:val="001264CC"/>
    <w:rsid w:val="00126FA4"/>
    <w:rsid w:val="00127A42"/>
    <w:rsid w:val="001300DA"/>
    <w:rsid w:val="00130E28"/>
    <w:rsid w:val="00131170"/>
    <w:rsid w:val="0013249D"/>
    <w:rsid w:val="00133339"/>
    <w:rsid w:val="0013527D"/>
    <w:rsid w:val="00135C86"/>
    <w:rsid w:val="00136619"/>
    <w:rsid w:val="001373D5"/>
    <w:rsid w:val="001373E6"/>
    <w:rsid w:val="0014229E"/>
    <w:rsid w:val="001439A5"/>
    <w:rsid w:val="00143CA0"/>
    <w:rsid w:val="00144CCD"/>
    <w:rsid w:val="00144F80"/>
    <w:rsid w:val="00146185"/>
    <w:rsid w:val="001471C9"/>
    <w:rsid w:val="00147CE1"/>
    <w:rsid w:val="00150463"/>
    <w:rsid w:val="001513C9"/>
    <w:rsid w:val="00151923"/>
    <w:rsid w:val="00151F74"/>
    <w:rsid w:val="00152358"/>
    <w:rsid w:val="001525DD"/>
    <w:rsid w:val="0015338F"/>
    <w:rsid w:val="00153DB4"/>
    <w:rsid w:val="001549BD"/>
    <w:rsid w:val="00154AFF"/>
    <w:rsid w:val="00154ECD"/>
    <w:rsid w:val="001552CE"/>
    <w:rsid w:val="00155981"/>
    <w:rsid w:val="00155A6E"/>
    <w:rsid w:val="00155E9C"/>
    <w:rsid w:val="00156A1B"/>
    <w:rsid w:val="00156A1C"/>
    <w:rsid w:val="001604D0"/>
    <w:rsid w:val="0016091F"/>
    <w:rsid w:val="001614FE"/>
    <w:rsid w:val="0016150F"/>
    <w:rsid w:val="00161B9C"/>
    <w:rsid w:val="001650E8"/>
    <w:rsid w:val="0017002D"/>
    <w:rsid w:val="001707C2"/>
    <w:rsid w:val="00170E1B"/>
    <w:rsid w:val="00172B46"/>
    <w:rsid w:val="0017315F"/>
    <w:rsid w:val="0017372E"/>
    <w:rsid w:val="00175516"/>
    <w:rsid w:val="001774DC"/>
    <w:rsid w:val="001804A9"/>
    <w:rsid w:val="0018103F"/>
    <w:rsid w:val="0018417B"/>
    <w:rsid w:val="00190235"/>
    <w:rsid w:val="0019175E"/>
    <w:rsid w:val="001932EE"/>
    <w:rsid w:val="0019419B"/>
    <w:rsid w:val="00194D74"/>
    <w:rsid w:val="0019631E"/>
    <w:rsid w:val="00196494"/>
    <w:rsid w:val="00196BAC"/>
    <w:rsid w:val="00197240"/>
    <w:rsid w:val="001A02D5"/>
    <w:rsid w:val="001A0E0E"/>
    <w:rsid w:val="001A1788"/>
    <w:rsid w:val="001A2319"/>
    <w:rsid w:val="001A3E07"/>
    <w:rsid w:val="001A4295"/>
    <w:rsid w:val="001A43C8"/>
    <w:rsid w:val="001A4AF7"/>
    <w:rsid w:val="001A5FDA"/>
    <w:rsid w:val="001A616A"/>
    <w:rsid w:val="001A6F17"/>
    <w:rsid w:val="001B0BB7"/>
    <w:rsid w:val="001B2EB9"/>
    <w:rsid w:val="001B334F"/>
    <w:rsid w:val="001B4DBE"/>
    <w:rsid w:val="001B5647"/>
    <w:rsid w:val="001B6046"/>
    <w:rsid w:val="001B6A41"/>
    <w:rsid w:val="001B6D56"/>
    <w:rsid w:val="001B7EDA"/>
    <w:rsid w:val="001C06CA"/>
    <w:rsid w:val="001C0EF9"/>
    <w:rsid w:val="001C167D"/>
    <w:rsid w:val="001C2076"/>
    <w:rsid w:val="001C299F"/>
    <w:rsid w:val="001C2C98"/>
    <w:rsid w:val="001C2E4F"/>
    <w:rsid w:val="001C592A"/>
    <w:rsid w:val="001C69F7"/>
    <w:rsid w:val="001D07F4"/>
    <w:rsid w:val="001D0D24"/>
    <w:rsid w:val="001D120B"/>
    <w:rsid w:val="001D1DDD"/>
    <w:rsid w:val="001D2035"/>
    <w:rsid w:val="001D26B2"/>
    <w:rsid w:val="001D274B"/>
    <w:rsid w:val="001D5C34"/>
    <w:rsid w:val="001D636C"/>
    <w:rsid w:val="001D72F5"/>
    <w:rsid w:val="001E0EC7"/>
    <w:rsid w:val="001E125A"/>
    <w:rsid w:val="001E137C"/>
    <w:rsid w:val="001E1EA7"/>
    <w:rsid w:val="001E23EB"/>
    <w:rsid w:val="001E3523"/>
    <w:rsid w:val="001E3BCA"/>
    <w:rsid w:val="001E3DD1"/>
    <w:rsid w:val="001E44B8"/>
    <w:rsid w:val="001E55A7"/>
    <w:rsid w:val="001E61B2"/>
    <w:rsid w:val="001E68C0"/>
    <w:rsid w:val="001F130B"/>
    <w:rsid w:val="001F1D2A"/>
    <w:rsid w:val="001F1E49"/>
    <w:rsid w:val="001F1E87"/>
    <w:rsid w:val="001F21B1"/>
    <w:rsid w:val="001F2658"/>
    <w:rsid w:val="001F2942"/>
    <w:rsid w:val="001F3146"/>
    <w:rsid w:val="001F4E57"/>
    <w:rsid w:val="001F625A"/>
    <w:rsid w:val="001F70D7"/>
    <w:rsid w:val="00200469"/>
    <w:rsid w:val="00202EC1"/>
    <w:rsid w:val="00203F87"/>
    <w:rsid w:val="002041A4"/>
    <w:rsid w:val="00204A11"/>
    <w:rsid w:val="00205510"/>
    <w:rsid w:val="00205A71"/>
    <w:rsid w:val="00206556"/>
    <w:rsid w:val="00206BDC"/>
    <w:rsid w:val="00206E38"/>
    <w:rsid w:val="00207AC2"/>
    <w:rsid w:val="00207D42"/>
    <w:rsid w:val="00207E9A"/>
    <w:rsid w:val="0021003F"/>
    <w:rsid w:val="002106E8"/>
    <w:rsid w:val="00211E92"/>
    <w:rsid w:val="00211FBC"/>
    <w:rsid w:val="00213A4B"/>
    <w:rsid w:val="0021456F"/>
    <w:rsid w:val="00215665"/>
    <w:rsid w:val="00216E7A"/>
    <w:rsid w:val="002203E2"/>
    <w:rsid w:val="00224095"/>
    <w:rsid w:val="00224B0C"/>
    <w:rsid w:val="00226B00"/>
    <w:rsid w:val="00226FF2"/>
    <w:rsid w:val="00230D2E"/>
    <w:rsid w:val="00230F9C"/>
    <w:rsid w:val="002311C1"/>
    <w:rsid w:val="00233F0E"/>
    <w:rsid w:val="002347B9"/>
    <w:rsid w:val="00235F0B"/>
    <w:rsid w:val="00236D6F"/>
    <w:rsid w:val="00237C4A"/>
    <w:rsid w:val="0024024A"/>
    <w:rsid w:val="00240617"/>
    <w:rsid w:val="002429B1"/>
    <w:rsid w:val="00243534"/>
    <w:rsid w:val="00243BB4"/>
    <w:rsid w:val="00245282"/>
    <w:rsid w:val="002458B5"/>
    <w:rsid w:val="00246209"/>
    <w:rsid w:val="00246C94"/>
    <w:rsid w:val="00250975"/>
    <w:rsid w:val="00251A2F"/>
    <w:rsid w:val="00252035"/>
    <w:rsid w:val="00252181"/>
    <w:rsid w:val="00253300"/>
    <w:rsid w:val="00253706"/>
    <w:rsid w:val="002540CC"/>
    <w:rsid w:val="00255BC2"/>
    <w:rsid w:val="002563F6"/>
    <w:rsid w:val="0025707C"/>
    <w:rsid w:val="0026035A"/>
    <w:rsid w:val="0026183C"/>
    <w:rsid w:val="00261969"/>
    <w:rsid w:val="002622D0"/>
    <w:rsid w:val="00263C49"/>
    <w:rsid w:val="0026544E"/>
    <w:rsid w:val="002657A2"/>
    <w:rsid w:val="00265B42"/>
    <w:rsid w:val="00266DC8"/>
    <w:rsid w:val="0026772F"/>
    <w:rsid w:val="00270BF4"/>
    <w:rsid w:val="0027115E"/>
    <w:rsid w:val="00271C99"/>
    <w:rsid w:val="00271E3A"/>
    <w:rsid w:val="00271FB5"/>
    <w:rsid w:val="00272EDC"/>
    <w:rsid w:val="00273C13"/>
    <w:rsid w:val="00274B12"/>
    <w:rsid w:val="002756E4"/>
    <w:rsid w:val="00276D17"/>
    <w:rsid w:val="0027752D"/>
    <w:rsid w:val="00281AE6"/>
    <w:rsid w:val="00281E45"/>
    <w:rsid w:val="00282105"/>
    <w:rsid w:val="00283568"/>
    <w:rsid w:val="0028471B"/>
    <w:rsid w:val="00284C6E"/>
    <w:rsid w:val="0028509D"/>
    <w:rsid w:val="00286138"/>
    <w:rsid w:val="00286975"/>
    <w:rsid w:val="002869F3"/>
    <w:rsid w:val="00287869"/>
    <w:rsid w:val="00290201"/>
    <w:rsid w:val="002910DA"/>
    <w:rsid w:val="00291582"/>
    <w:rsid w:val="00291E41"/>
    <w:rsid w:val="0029295C"/>
    <w:rsid w:val="00293178"/>
    <w:rsid w:val="0029341F"/>
    <w:rsid w:val="0029378B"/>
    <w:rsid w:val="002949BD"/>
    <w:rsid w:val="002950B0"/>
    <w:rsid w:val="00296C45"/>
    <w:rsid w:val="00297A71"/>
    <w:rsid w:val="00297B9B"/>
    <w:rsid w:val="002A09AC"/>
    <w:rsid w:val="002A183B"/>
    <w:rsid w:val="002A1E03"/>
    <w:rsid w:val="002A2224"/>
    <w:rsid w:val="002A5AFC"/>
    <w:rsid w:val="002A6430"/>
    <w:rsid w:val="002A6551"/>
    <w:rsid w:val="002A6F68"/>
    <w:rsid w:val="002A71C0"/>
    <w:rsid w:val="002A7AE6"/>
    <w:rsid w:val="002A7FB6"/>
    <w:rsid w:val="002B1A19"/>
    <w:rsid w:val="002B1A47"/>
    <w:rsid w:val="002B240D"/>
    <w:rsid w:val="002B3E5D"/>
    <w:rsid w:val="002B6E29"/>
    <w:rsid w:val="002C00BD"/>
    <w:rsid w:val="002C03E7"/>
    <w:rsid w:val="002C4C6D"/>
    <w:rsid w:val="002C4C87"/>
    <w:rsid w:val="002C57E5"/>
    <w:rsid w:val="002C7914"/>
    <w:rsid w:val="002D539C"/>
    <w:rsid w:val="002D5E72"/>
    <w:rsid w:val="002D6B08"/>
    <w:rsid w:val="002D7195"/>
    <w:rsid w:val="002D786E"/>
    <w:rsid w:val="002D7B84"/>
    <w:rsid w:val="002E0548"/>
    <w:rsid w:val="002E0782"/>
    <w:rsid w:val="002E0DF4"/>
    <w:rsid w:val="002E2C81"/>
    <w:rsid w:val="002E3317"/>
    <w:rsid w:val="002E364D"/>
    <w:rsid w:val="002E3CE9"/>
    <w:rsid w:val="002E3D24"/>
    <w:rsid w:val="002E5A50"/>
    <w:rsid w:val="002E7BFC"/>
    <w:rsid w:val="002E7D54"/>
    <w:rsid w:val="002F0F2F"/>
    <w:rsid w:val="002F1050"/>
    <w:rsid w:val="002F1536"/>
    <w:rsid w:val="002F5F96"/>
    <w:rsid w:val="002F6940"/>
    <w:rsid w:val="002F70A9"/>
    <w:rsid w:val="002F74B6"/>
    <w:rsid w:val="002F7C95"/>
    <w:rsid w:val="00300113"/>
    <w:rsid w:val="003005F9"/>
    <w:rsid w:val="003006AD"/>
    <w:rsid w:val="003028A3"/>
    <w:rsid w:val="00302A7F"/>
    <w:rsid w:val="00304408"/>
    <w:rsid w:val="00304E24"/>
    <w:rsid w:val="0030586D"/>
    <w:rsid w:val="003101C0"/>
    <w:rsid w:val="003112BC"/>
    <w:rsid w:val="003118D0"/>
    <w:rsid w:val="00311E4F"/>
    <w:rsid w:val="00312404"/>
    <w:rsid w:val="00312451"/>
    <w:rsid w:val="00312EBD"/>
    <w:rsid w:val="0031379E"/>
    <w:rsid w:val="00315C79"/>
    <w:rsid w:val="00321B59"/>
    <w:rsid w:val="00321C85"/>
    <w:rsid w:val="003224D1"/>
    <w:rsid w:val="003225D1"/>
    <w:rsid w:val="00323945"/>
    <w:rsid w:val="00324920"/>
    <w:rsid w:val="00324D3B"/>
    <w:rsid w:val="00324EDE"/>
    <w:rsid w:val="0032567A"/>
    <w:rsid w:val="003263A5"/>
    <w:rsid w:val="00326871"/>
    <w:rsid w:val="00326985"/>
    <w:rsid w:val="00330A1A"/>
    <w:rsid w:val="00332542"/>
    <w:rsid w:val="00333D8D"/>
    <w:rsid w:val="00335126"/>
    <w:rsid w:val="003355B7"/>
    <w:rsid w:val="003357EE"/>
    <w:rsid w:val="003366FF"/>
    <w:rsid w:val="00336B6C"/>
    <w:rsid w:val="003372FA"/>
    <w:rsid w:val="003377B8"/>
    <w:rsid w:val="0034038F"/>
    <w:rsid w:val="00342DBA"/>
    <w:rsid w:val="00342EDA"/>
    <w:rsid w:val="00343CE7"/>
    <w:rsid w:val="0034495A"/>
    <w:rsid w:val="00345C14"/>
    <w:rsid w:val="00347AE9"/>
    <w:rsid w:val="00351B81"/>
    <w:rsid w:val="00352570"/>
    <w:rsid w:val="00353A9C"/>
    <w:rsid w:val="0035553A"/>
    <w:rsid w:val="00356377"/>
    <w:rsid w:val="0035766C"/>
    <w:rsid w:val="00357D7D"/>
    <w:rsid w:val="00357FA0"/>
    <w:rsid w:val="0036034A"/>
    <w:rsid w:val="00362338"/>
    <w:rsid w:val="00362651"/>
    <w:rsid w:val="00362A21"/>
    <w:rsid w:val="003641D9"/>
    <w:rsid w:val="003648E2"/>
    <w:rsid w:val="00365A43"/>
    <w:rsid w:val="00365F66"/>
    <w:rsid w:val="0036615F"/>
    <w:rsid w:val="003661E0"/>
    <w:rsid w:val="00366957"/>
    <w:rsid w:val="003673D3"/>
    <w:rsid w:val="00367E61"/>
    <w:rsid w:val="003705FD"/>
    <w:rsid w:val="00370B22"/>
    <w:rsid w:val="00371257"/>
    <w:rsid w:val="00371E0C"/>
    <w:rsid w:val="00374ABE"/>
    <w:rsid w:val="00377606"/>
    <w:rsid w:val="00377C2D"/>
    <w:rsid w:val="003814C2"/>
    <w:rsid w:val="00381CF3"/>
    <w:rsid w:val="00382BC2"/>
    <w:rsid w:val="00382D55"/>
    <w:rsid w:val="003838B2"/>
    <w:rsid w:val="00383F36"/>
    <w:rsid w:val="00384A1C"/>
    <w:rsid w:val="00384ABC"/>
    <w:rsid w:val="00385B29"/>
    <w:rsid w:val="00385E49"/>
    <w:rsid w:val="00385E82"/>
    <w:rsid w:val="003864CF"/>
    <w:rsid w:val="003869F8"/>
    <w:rsid w:val="00386F57"/>
    <w:rsid w:val="00387133"/>
    <w:rsid w:val="0038775E"/>
    <w:rsid w:val="00387952"/>
    <w:rsid w:val="00387F2D"/>
    <w:rsid w:val="003926DE"/>
    <w:rsid w:val="00392723"/>
    <w:rsid w:val="00393B48"/>
    <w:rsid w:val="0039490F"/>
    <w:rsid w:val="003963ED"/>
    <w:rsid w:val="00396E19"/>
    <w:rsid w:val="0039705F"/>
    <w:rsid w:val="003A085F"/>
    <w:rsid w:val="003A3693"/>
    <w:rsid w:val="003A3891"/>
    <w:rsid w:val="003A5442"/>
    <w:rsid w:val="003B02B5"/>
    <w:rsid w:val="003B0365"/>
    <w:rsid w:val="003B0A61"/>
    <w:rsid w:val="003B1748"/>
    <w:rsid w:val="003B1D52"/>
    <w:rsid w:val="003B2190"/>
    <w:rsid w:val="003B257F"/>
    <w:rsid w:val="003C1708"/>
    <w:rsid w:val="003C1B0B"/>
    <w:rsid w:val="003C1E0C"/>
    <w:rsid w:val="003C423B"/>
    <w:rsid w:val="003C4408"/>
    <w:rsid w:val="003C4863"/>
    <w:rsid w:val="003C4ABE"/>
    <w:rsid w:val="003C4C10"/>
    <w:rsid w:val="003C5787"/>
    <w:rsid w:val="003C5C53"/>
    <w:rsid w:val="003C62CA"/>
    <w:rsid w:val="003C6BFC"/>
    <w:rsid w:val="003C7B6F"/>
    <w:rsid w:val="003C7C66"/>
    <w:rsid w:val="003D0172"/>
    <w:rsid w:val="003D215B"/>
    <w:rsid w:val="003D22CB"/>
    <w:rsid w:val="003D2D00"/>
    <w:rsid w:val="003D2E58"/>
    <w:rsid w:val="003D4FF3"/>
    <w:rsid w:val="003D56D2"/>
    <w:rsid w:val="003D6092"/>
    <w:rsid w:val="003D7714"/>
    <w:rsid w:val="003D7C55"/>
    <w:rsid w:val="003D7D65"/>
    <w:rsid w:val="003D7EEF"/>
    <w:rsid w:val="003D7EF1"/>
    <w:rsid w:val="003E109A"/>
    <w:rsid w:val="003E150D"/>
    <w:rsid w:val="003E24C6"/>
    <w:rsid w:val="003E28AE"/>
    <w:rsid w:val="003E49D1"/>
    <w:rsid w:val="003E5396"/>
    <w:rsid w:val="003E6218"/>
    <w:rsid w:val="003E752A"/>
    <w:rsid w:val="003F23CA"/>
    <w:rsid w:val="003F36B6"/>
    <w:rsid w:val="003F61C2"/>
    <w:rsid w:val="003F634D"/>
    <w:rsid w:val="003F650B"/>
    <w:rsid w:val="003F6D11"/>
    <w:rsid w:val="003F727D"/>
    <w:rsid w:val="003F7B40"/>
    <w:rsid w:val="00400E87"/>
    <w:rsid w:val="0040114A"/>
    <w:rsid w:val="00402393"/>
    <w:rsid w:val="00403B0C"/>
    <w:rsid w:val="00404AFF"/>
    <w:rsid w:val="00404E3D"/>
    <w:rsid w:val="00404EA5"/>
    <w:rsid w:val="0040502D"/>
    <w:rsid w:val="00405EA0"/>
    <w:rsid w:val="00407710"/>
    <w:rsid w:val="004124C1"/>
    <w:rsid w:val="00412C8D"/>
    <w:rsid w:val="00412E4A"/>
    <w:rsid w:val="0041464C"/>
    <w:rsid w:val="00414D2A"/>
    <w:rsid w:val="004155C6"/>
    <w:rsid w:val="00415C44"/>
    <w:rsid w:val="00415F5A"/>
    <w:rsid w:val="00417479"/>
    <w:rsid w:val="004204D0"/>
    <w:rsid w:val="004216CE"/>
    <w:rsid w:val="00422F9B"/>
    <w:rsid w:val="00423B22"/>
    <w:rsid w:val="004242EB"/>
    <w:rsid w:val="00430674"/>
    <w:rsid w:val="00430EF9"/>
    <w:rsid w:val="00431E74"/>
    <w:rsid w:val="0043687E"/>
    <w:rsid w:val="004369FD"/>
    <w:rsid w:val="00436F40"/>
    <w:rsid w:val="004377AD"/>
    <w:rsid w:val="00440147"/>
    <w:rsid w:val="00440349"/>
    <w:rsid w:val="0044236D"/>
    <w:rsid w:val="00443AE7"/>
    <w:rsid w:val="00443B32"/>
    <w:rsid w:val="00443CE0"/>
    <w:rsid w:val="00443CE1"/>
    <w:rsid w:val="0044733C"/>
    <w:rsid w:val="004500F9"/>
    <w:rsid w:val="00451450"/>
    <w:rsid w:val="00451849"/>
    <w:rsid w:val="004520F2"/>
    <w:rsid w:val="00452B04"/>
    <w:rsid w:val="004532EE"/>
    <w:rsid w:val="00456B19"/>
    <w:rsid w:val="00457058"/>
    <w:rsid w:val="00462BF8"/>
    <w:rsid w:val="00462CC5"/>
    <w:rsid w:val="00463FD6"/>
    <w:rsid w:val="00464C03"/>
    <w:rsid w:val="00466E1C"/>
    <w:rsid w:val="0047035C"/>
    <w:rsid w:val="0047204D"/>
    <w:rsid w:val="0047473B"/>
    <w:rsid w:val="00475093"/>
    <w:rsid w:val="00475489"/>
    <w:rsid w:val="00475566"/>
    <w:rsid w:val="00477205"/>
    <w:rsid w:val="00477217"/>
    <w:rsid w:val="00477E60"/>
    <w:rsid w:val="00480D39"/>
    <w:rsid w:val="00481D99"/>
    <w:rsid w:val="004832F8"/>
    <w:rsid w:val="00483960"/>
    <w:rsid w:val="0048678C"/>
    <w:rsid w:val="00486C6F"/>
    <w:rsid w:val="004871D6"/>
    <w:rsid w:val="00487C42"/>
    <w:rsid w:val="00487D50"/>
    <w:rsid w:val="00490D74"/>
    <w:rsid w:val="0049177F"/>
    <w:rsid w:val="004935BD"/>
    <w:rsid w:val="00495108"/>
    <w:rsid w:val="004951A6"/>
    <w:rsid w:val="00496EBC"/>
    <w:rsid w:val="004973FB"/>
    <w:rsid w:val="00497CF3"/>
    <w:rsid w:val="004A2437"/>
    <w:rsid w:val="004A24DB"/>
    <w:rsid w:val="004A2CF1"/>
    <w:rsid w:val="004A2D62"/>
    <w:rsid w:val="004A2FF6"/>
    <w:rsid w:val="004A3B43"/>
    <w:rsid w:val="004A51E7"/>
    <w:rsid w:val="004A54CD"/>
    <w:rsid w:val="004A7279"/>
    <w:rsid w:val="004A7518"/>
    <w:rsid w:val="004A7B61"/>
    <w:rsid w:val="004B0693"/>
    <w:rsid w:val="004B2CFD"/>
    <w:rsid w:val="004B3355"/>
    <w:rsid w:val="004B4723"/>
    <w:rsid w:val="004B6094"/>
    <w:rsid w:val="004B63C6"/>
    <w:rsid w:val="004B64F8"/>
    <w:rsid w:val="004B691B"/>
    <w:rsid w:val="004C0DD3"/>
    <w:rsid w:val="004C22C7"/>
    <w:rsid w:val="004C46E5"/>
    <w:rsid w:val="004C4884"/>
    <w:rsid w:val="004C686C"/>
    <w:rsid w:val="004C6882"/>
    <w:rsid w:val="004C6D74"/>
    <w:rsid w:val="004D1ABE"/>
    <w:rsid w:val="004D2A17"/>
    <w:rsid w:val="004D45B0"/>
    <w:rsid w:val="004D4A93"/>
    <w:rsid w:val="004D4D14"/>
    <w:rsid w:val="004D6906"/>
    <w:rsid w:val="004D6FBE"/>
    <w:rsid w:val="004D7C0C"/>
    <w:rsid w:val="004E0F81"/>
    <w:rsid w:val="004E1F18"/>
    <w:rsid w:val="004E29C5"/>
    <w:rsid w:val="004E2B97"/>
    <w:rsid w:val="004E41A0"/>
    <w:rsid w:val="004E4EAA"/>
    <w:rsid w:val="004E51C8"/>
    <w:rsid w:val="004E5380"/>
    <w:rsid w:val="004E57FD"/>
    <w:rsid w:val="004E75CB"/>
    <w:rsid w:val="004E7848"/>
    <w:rsid w:val="004F1E7D"/>
    <w:rsid w:val="004F2346"/>
    <w:rsid w:val="004F2A1B"/>
    <w:rsid w:val="004F3150"/>
    <w:rsid w:val="004F44D9"/>
    <w:rsid w:val="004F7800"/>
    <w:rsid w:val="004F7D95"/>
    <w:rsid w:val="00501B6D"/>
    <w:rsid w:val="00502225"/>
    <w:rsid w:val="005026B8"/>
    <w:rsid w:val="005031B3"/>
    <w:rsid w:val="005033BE"/>
    <w:rsid w:val="00503F98"/>
    <w:rsid w:val="0050476C"/>
    <w:rsid w:val="005047DA"/>
    <w:rsid w:val="00505757"/>
    <w:rsid w:val="005059BA"/>
    <w:rsid w:val="00505A19"/>
    <w:rsid w:val="00507B24"/>
    <w:rsid w:val="0051062C"/>
    <w:rsid w:val="00511DFB"/>
    <w:rsid w:val="00512160"/>
    <w:rsid w:val="00513B56"/>
    <w:rsid w:val="00513C2C"/>
    <w:rsid w:val="00513D0A"/>
    <w:rsid w:val="00513E4F"/>
    <w:rsid w:val="00513F6E"/>
    <w:rsid w:val="005159A5"/>
    <w:rsid w:val="00517179"/>
    <w:rsid w:val="00517323"/>
    <w:rsid w:val="005174D5"/>
    <w:rsid w:val="00517A23"/>
    <w:rsid w:val="00517AFD"/>
    <w:rsid w:val="00517EE1"/>
    <w:rsid w:val="0052029E"/>
    <w:rsid w:val="005202A3"/>
    <w:rsid w:val="0052106A"/>
    <w:rsid w:val="00521B9D"/>
    <w:rsid w:val="005235FE"/>
    <w:rsid w:val="0052440F"/>
    <w:rsid w:val="00525B58"/>
    <w:rsid w:val="00526EF9"/>
    <w:rsid w:val="00526FEC"/>
    <w:rsid w:val="00527ECE"/>
    <w:rsid w:val="00530E8B"/>
    <w:rsid w:val="00532917"/>
    <w:rsid w:val="0053536F"/>
    <w:rsid w:val="00535684"/>
    <w:rsid w:val="00535AA9"/>
    <w:rsid w:val="00536537"/>
    <w:rsid w:val="00537F86"/>
    <w:rsid w:val="00537FF0"/>
    <w:rsid w:val="00541864"/>
    <w:rsid w:val="00541AC8"/>
    <w:rsid w:val="00544241"/>
    <w:rsid w:val="00544669"/>
    <w:rsid w:val="00544C16"/>
    <w:rsid w:val="00545148"/>
    <w:rsid w:val="00546C15"/>
    <w:rsid w:val="005515E9"/>
    <w:rsid w:val="00551718"/>
    <w:rsid w:val="00552812"/>
    <w:rsid w:val="00554291"/>
    <w:rsid w:val="00554396"/>
    <w:rsid w:val="00555798"/>
    <w:rsid w:val="005562B4"/>
    <w:rsid w:val="005569D6"/>
    <w:rsid w:val="00556D6A"/>
    <w:rsid w:val="00557963"/>
    <w:rsid w:val="00557F27"/>
    <w:rsid w:val="00557F52"/>
    <w:rsid w:val="005619CD"/>
    <w:rsid w:val="00561C68"/>
    <w:rsid w:val="00562B3C"/>
    <w:rsid w:val="00563BB6"/>
    <w:rsid w:val="005642CC"/>
    <w:rsid w:val="00565019"/>
    <w:rsid w:val="00565412"/>
    <w:rsid w:val="00566070"/>
    <w:rsid w:val="005660AD"/>
    <w:rsid w:val="0056622D"/>
    <w:rsid w:val="00566D98"/>
    <w:rsid w:val="0056711B"/>
    <w:rsid w:val="00567231"/>
    <w:rsid w:val="00570EEE"/>
    <w:rsid w:val="00571297"/>
    <w:rsid w:val="005715AD"/>
    <w:rsid w:val="00572514"/>
    <w:rsid w:val="0057382D"/>
    <w:rsid w:val="005739DA"/>
    <w:rsid w:val="00573D94"/>
    <w:rsid w:val="00575605"/>
    <w:rsid w:val="005768F2"/>
    <w:rsid w:val="00576A65"/>
    <w:rsid w:val="00577C84"/>
    <w:rsid w:val="00581511"/>
    <w:rsid w:val="005832CA"/>
    <w:rsid w:val="00583338"/>
    <w:rsid w:val="0058461D"/>
    <w:rsid w:val="005849C7"/>
    <w:rsid w:val="005878F4"/>
    <w:rsid w:val="00591949"/>
    <w:rsid w:val="00593F1B"/>
    <w:rsid w:val="00593F8F"/>
    <w:rsid w:val="00594116"/>
    <w:rsid w:val="005955DF"/>
    <w:rsid w:val="00595805"/>
    <w:rsid w:val="00595A5D"/>
    <w:rsid w:val="0059737B"/>
    <w:rsid w:val="00597AF1"/>
    <w:rsid w:val="005A0616"/>
    <w:rsid w:val="005A19B2"/>
    <w:rsid w:val="005A1D51"/>
    <w:rsid w:val="005A203C"/>
    <w:rsid w:val="005A24BB"/>
    <w:rsid w:val="005A26AB"/>
    <w:rsid w:val="005A26D0"/>
    <w:rsid w:val="005A3058"/>
    <w:rsid w:val="005A3F5B"/>
    <w:rsid w:val="005A6ABD"/>
    <w:rsid w:val="005A7702"/>
    <w:rsid w:val="005B1676"/>
    <w:rsid w:val="005B233C"/>
    <w:rsid w:val="005B3328"/>
    <w:rsid w:val="005B4D36"/>
    <w:rsid w:val="005B5753"/>
    <w:rsid w:val="005B62F5"/>
    <w:rsid w:val="005B6549"/>
    <w:rsid w:val="005C1BE4"/>
    <w:rsid w:val="005C1F5E"/>
    <w:rsid w:val="005C2A6B"/>
    <w:rsid w:val="005C52D4"/>
    <w:rsid w:val="005C5C1B"/>
    <w:rsid w:val="005C6ECB"/>
    <w:rsid w:val="005C6FE7"/>
    <w:rsid w:val="005C790A"/>
    <w:rsid w:val="005C7941"/>
    <w:rsid w:val="005D0A3A"/>
    <w:rsid w:val="005D241F"/>
    <w:rsid w:val="005D2EAF"/>
    <w:rsid w:val="005D2ED7"/>
    <w:rsid w:val="005D3127"/>
    <w:rsid w:val="005D3E0D"/>
    <w:rsid w:val="005D3E89"/>
    <w:rsid w:val="005D57E7"/>
    <w:rsid w:val="005D6939"/>
    <w:rsid w:val="005D7108"/>
    <w:rsid w:val="005E0B26"/>
    <w:rsid w:val="005E1888"/>
    <w:rsid w:val="005E3ED9"/>
    <w:rsid w:val="005E49B9"/>
    <w:rsid w:val="005E620F"/>
    <w:rsid w:val="005E69DD"/>
    <w:rsid w:val="005E7D11"/>
    <w:rsid w:val="005F0BAD"/>
    <w:rsid w:val="005F1803"/>
    <w:rsid w:val="005F199C"/>
    <w:rsid w:val="005F1D1E"/>
    <w:rsid w:val="005F4533"/>
    <w:rsid w:val="005F4B87"/>
    <w:rsid w:val="005F4CB2"/>
    <w:rsid w:val="005F5001"/>
    <w:rsid w:val="005F66C8"/>
    <w:rsid w:val="00600B65"/>
    <w:rsid w:val="00601095"/>
    <w:rsid w:val="006034B7"/>
    <w:rsid w:val="00605E13"/>
    <w:rsid w:val="0061163B"/>
    <w:rsid w:val="00612078"/>
    <w:rsid w:val="006129E9"/>
    <w:rsid w:val="00612FF5"/>
    <w:rsid w:val="006141FB"/>
    <w:rsid w:val="006160CF"/>
    <w:rsid w:val="006160DB"/>
    <w:rsid w:val="0061650D"/>
    <w:rsid w:val="006166BC"/>
    <w:rsid w:val="0061714B"/>
    <w:rsid w:val="006171E4"/>
    <w:rsid w:val="0061761A"/>
    <w:rsid w:val="00617A87"/>
    <w:rsid w:val="0062080A"/>
    <w:rsid w:val="00620D0F"/>
    <w:rsid w:val="006221F8"/>
    <w:rsid w:val="00624B80"/>
    <w:rsid w:val="00624DAF"/>
    <w:rsid w:val="00625086"/>
    <w:rsid w:val="00625BE1"/>
    <w:rsid w:val="006264FF"/>
    <w:rsid w:val="006268C2"/>
    <w:rsid w:val="00626990"/>
    <w:rsid w:val="00626E64"/>
    <w:rsid w:val="0063133F"/>
    <w:rsid w:val="0063198A"/>
    <w:rsid w:val="00631C18"/>
    <w:rsid w:val="006320CF"/>
    <w:rsid w:val="0063328C"/>
    <w:rsid w:val="00633C13"/>
    <w:rsid w:val="00634996"/>
    <w:rsid w:val="00634F99"/>
    <w:rsid w:val="0063545C"/>
    <w:rsid w:val="0063680F"/>
    <w:rsid w:val="00636B23"/>
    <w:rsid w:val="00636FA1"/>
    <w:rsid w:val="00637814"/>
    <w:rsid w:val="00637847"/>
    <w:rsid w:val="0064006F"/>
    <w:rsid w:val="006400A2"/>
    <w:rsid w:val="00640448"/>
    <w:rsid w:val="00643317"/>
    <w:rsid w:val="00643AF8"/>
    <w:rsid w:val="00646A5F"/>
    <w:rsid w:val="006476AE"/>
    <w:rsid w:val="0065105C"/>
    <w:rsid w:val="00652AB5"/>
    <w:rsid w:val="0065313C"/>
    <w:rsid w:val="00653C3E"/>
    <w:rsid w:val="006543AE"/>
    <w:rsid w:val="0065634C"/>
    <w:rsid w:val="00660B38"/>
    <w:rsid w:val="006611BD"/>
    <w:rsid w:val="00662D4E"/>
    <w:rsid w:val="00663EA5"/>
    <w:rsid w:val="00665DC3"/>
    <w:rsid w:val="006702E4"/>
    <w:rsid w:val="0067104B"/>
    <w:rsid w:val="00671ADB"/>
    <w:rsid w:val="0067227F"/>
    <w:rsid w:val="00672632"/>
    <w:rsid w:val="00673196"/>
    <w:rsid w:val="00673AB2"/>
    <w:rsid w:val="00673D53"/>
    <w:rsid w:val="00673DC7"/>
    <w:rsid w:val="0067627C"/>
    <w:rsid w:val="0067711A"/>
    <w:rsid w:val="006802AE"/>
    <w:rsid w:val="00681B7A"/>
    <w:rsid w:val="00682D82"/>
    <w:rsid w:val="00683BFC"/>
    <w:rsid w:val="0068438D"/>
    <w:rsid w:val="00684BEA"/>
    <w:rsid w:val="00687DB6"/>
    <w:rsid w:val="00693C9B"/>
    <w:rsid w:val="00693FCE"/>
    <w:rsid w:val="00695347"/>
    <w:rsid w:val="006964EF"/>
    <w:rsid w:val="0069741D"/>
    <w:rsid w:val="006A0609"/>
    <w:rsid w:val="006A07B0"/>
    <w:rsid w:val="006A327A"/>
    <w:rsid w:val="006A3512"/>
    <w:rsid w:val="006A4170"/>
    <w:rsid w:val="006A6643"/>
    <w:rsid w:val="006A6F46"/>
    <w:rsid w:val="006A7DCF"/>
    <w:rsid w:val="006B06F0"/>
    <w:rsid w:val="006B371F"/>
    <w:rsid w:val="006B3DDE"/>
    <w:rsid w:val="006B6515"/>
    <w:rsid w:val="006B761A"/>
    <w:rsid w:val="006B7B23"/>
    <w:rsid w:val="006C0127"/>
    <w:rsid w:val="006C0CBE"/>
    <w:rsid w:val="006C1E71"/>
    <w:rsid w:val="006C1FF7"/>
    <w:rsid w:val="006C2B81"/>
    <w:rsid w:val="006C3FDC"/>
    <w:rsid w:val="006C4105"/>
    <w:rsid w:val="006C5549"/>
    <w:rsid w:val="006C60C5"/>
    <w:rsid w:val="006C6E14"/>
    <w:rsid w:val="006D15F6"/>
    <w:rsid w:val="006D1A5D"/>
    <w:rsid w:val="006D2E1F"/>
    <w:rsid w:val="006D431F"/>
    <w:rsid w:val="006D5A15"/>
    <w:rsid w:val="006D67E1"/>
    <w:rsid w:val="006D6B81"/>
    <w:rsid w:val="006E00A1"/>
    <w:rsid w:val="006E1598"/>
    <w:rsid w:val="006E3EC8"/>
    <w:rsid w:val="006E7005"/>
    <w:rsid w:val="006E70AF"/>
    <w:rsid w:val="006E7BA5"/>
    <w:rsid w:val="006F02C7"/>
    <w:rsid w:val="006F07C7"/>
    <w:rsid w:val="006F0970"/>
    <w:rsid w:val="006F0BCA"/>
    <w:rsid w:val="006F0E38"/>
    <w:rsid w:val="006F135C"/>
    <w:rsid w:val="006F1E26"/>
    <w:rsid w:val="006F2D7A"/>
    <w:rsid w:val="006F30BB"/>
    <w:rsid w:val="006F37FA"/>
    <w:rsid w:val="006F577D"/>
    <w:rsid w:val="006F67F1"/>
    <w:rsid w:val="006F711E"/>
    <w:rsid w:val="006F71A0"/>
    <w:rsid w:val="006F781C"/>
    <w:rsid w:val="0070042F"/>
    <w:rsid w:val="0070126A"/>
    <w:rsid w:val="007036A6"/>
    <w:rsid w:val="00703764"/>
    <w:rsid w:val="00703898"/>
    <w:rsid w:val="00705412"/>
    <w:rsid w:val="007056B4"/>
    <w:rsid w:val="00705A36"/>
    <w:rsid w:val="00707379"/>
    <w:rsid w:val="00707E32"/>
    <w:rsid w:val="00710DBE"/>
    <w:rsid w:val="0071112E"/>
    <w:rsid w:val="00711587"/>
    <w:rsid w:val="00711980"/>
    <w:rsid w:val="00711AB5"/>
    <w:rsid w:val="007123C2"/>
    <w:rsid w:val="00712424"/>
    <w:rsid w:val="00712432"/>
    <w:rsid w:val="007149BC"/>
    <w:rsid w:val="007155D0"/>
    <w:rsid w:val="007159C0"/>
    <w:rsid w:val="00715F1E"/>
    <w:rsid w:val="007165AD"/>
    <w:rsid w:val="00716B04"/>
    <w:rsid w:val="00721F2B"/>
    <w:rsid w:val="00722693"/>
    <w:rsid w:val="007236F3"/>
    <w:rsid w:val="00723CE1"/>
    <w:rsid w:val="0072662C"/>
    <w:rsid w:val="00726D82"/>
    <w:rsid w:val="0073034C"/>
    <w:rsid w:val="007303F8"/>
    <w:rsid w:val="0073209F"/>
    <w:rsid w:val="007321C9"/>
    <w:rsid w:val="00732D64"/>
    <w:rsid w:val="00733621"/>
    <w:rsid w:val="00733950"/>
    <w:rsid w:val="00733E67"/>
    <w:rsid w:val="00735D14"/>
    <w:rsid w:val="00735F94"/>
    <w:rsid w:val="007363F8"/>
    <w:rsid w:val="00736892"/>
    <w:rsid w:val="00737193"/>
    <w:rsid w:val="0074096F"/>
    <w:rsid w:val="00742055"/>
    <w:rsid w:val="00742484"/>
    <w:rsid w:val="00743021"/>
    <w:rsid w:val="00743BBF"/>
    <w:rsid w:val="00745B87"/>
    <w:rsid w:val="00745E6C"/>
    <w:rsid w:val="00745F0D"/>
    <w:rsid w:val="007464E5"/>
    <w:rsid w:val="0074665A"/>
    <w:rsid w:val="00746ADF"/>
    <w:rsid w:val="00746DF2"/>
    <w:rsid w:val="00746E19"/>
    <w:rsid w:val="00747A6C"/>
    <w:rsid w:val="007506BF"/>
    <w:rsid w:val="0075485C"/>
    <w:rsid w:val="00754883"/>
    <w:rsid w:val="0075637F"/>
    <w:rsid w:val="0075673E"/>
    <w:rsid w:val="00760C95"/>
    <w:rsid w:val="00760EFF"/>
    <w:rsid w:val="007623E0"/>
    <w:rsid w:val="007628BB"/>
    <w:rsid w:val="00764378"/>
    <w:rsid w:val="00766253"/>
    <w:rsid w:val="00767205"/>
    <w:rsid w:val="00767F9B"/>
    <w:rsid w:val="0077045C"/>
    <w:rsid w:val="007704D3"/>
    <w:rsid w:val="00770B3A"/>
    <w:rsid w:val="0077365F"/>
    <w:rsid w:val="00773A25"/>
    <w:rsid w:val="00773A8F"/>
    <w:rsid w:val="00777AF1"/>
    <w:rsid w:val="00777D01"/>
    <w:rsid w:val="00780199"/>
    <w:rsid w:val="00780DCA"/>
    <w:rsid w:val="00781D05"/>
    <w:rsid w:val="0078265C"/>
    <w:rsid w:val="00783D46"/>
    <w:rsid w:val="007872E8"/>
    <w:rsid w:val="007900C8"/>
    <w:rsid w:val="00790C49"/>
    <w:rsid w:val="0079172C"/>
    <w:rsid w:val="00793CA9"/>
    <w:rsid w:val="00793E77"/>
    <w:rsid w:val="00794E8F"/>
    <w:rsid w:val="0079650F"/>
    <w:rsid w:val="007966A3"/>
    <w:rsid w:val="007A0033"/>
    <w:rsid w:val="007A206A"/>
    <w:rsid w:val="007A20B6"/>
    <w:rsid w:val="007A215E"/>
    <w:rsid w:val="007A3977"/>
    <w:rsid w:val="007A44C1"/>
    <w:rsid w:val="007A5E27"/>
    <w:rsid w:val="007A60FC"/>
    <w:rsid w:val="007A6A81"/>
    <w:rsid w:val="007A6FEA"/>
    <w:rsid w:val="007A78F0"/>
    <w:rsid w:val="007B08C3"/>
    <w:rsid w:val="007B29CA"/>
    <w:rsid w:val="007B3127"/>
    <w:rsid w:val="007B3296"/>
    <w:rsid w:val="007B36F8"/>
    <w:rsid w:val="007B3CC5"/>
    <w:rsid w:val="007B5611"/>
    <w:rsid w:val="007B6DE6"/>
    <w:rsid w:val="007B7AAB"/>
    <w:rsid w:val="007B7BF4"/>
    <w:rsid w:val="007C3DE3"/>
    <w:rsid w:val="007C474D"/>
    <w:rsid w:val="007C7B04"/>
    <w:rsid w:val="007D0B5F"/>
    <w:rsid w:val="007D2BE5"/>
    <w:rsid w:val="007D37B3"/>
    <w:rsid w:val="007D4083"/>
    <w:rsid w:val="007D40F5"/>
    <w:rsid w:val="007D5580"/>
    <w:rsid w:val="007D5A31"/>
    <w:rsid w:val="007D5C92"/>
    <w:rsid w:val="007D791B"/>
    <w:rsid w:val="007E0196"/>
    <w:rsid w:val="007E0310"/>
    <w:rsid w:val="007E0A46"/>
    <w:rsid w:val="007E0D0D"/>
    <w:rsid w:val="007E13E9"/>
    <w:rsid w:val="007E14B2"/>
    <w:rsid w:val="007E25A4"/>
    <w:rsid w:val="007E369D"/>
    <w:rsid w:val="007E38FA"/>
    <w:rsid w:val="007E55DC"/>
    <w:rsid w:val="007E6006"/>
    <w:rsid w:val="007E6EC3"/>
    <w:rsid w:val="007E708A"/>
    <w:rsid w:val="007E7353"/>
    <w:rsid w:val="007E7AD8"/>
    <w:rsid w:val="007E7C64"/>
    <w:rsid w:val="007F132A"/>
    <w:rsid w:val="007F2664"/>
    <w:rsid w:val="007F5C27"/>
    <w:rsid w:val="007F6BA7"/>
    <w:rsid w:val="007F786F"/>
    <w:rsid w:val="008006DA"/>
    <w:rsid w:val="00800D04"/>
    <w:rsid w:val="00801901"/>
    <w:rsid w:val="00802504"/>
    <w:rsid w:val="00803E07"/>
    <w:rsid w:val="00805634"/>
    <w:rsid w:val="00805A9F"/>
    <w:rsid w:val="00805B61"/>
    <w:rsid w:val="00805D9B"/>
    <w:rsid w:val="00806CB9"/>
    <w:rsid w:val="00807226"/>
    <w:rsid w:val="0081021C"/>
    <w:rsid w:val="008104CD"/>
    <w:rsid w:val="0081131C"/>
    <w:rsid w:val="008125FC"/>
    <w:rsid w:val="00812957"/>
    <w:rsid w:val="00813EE9"/>
    <w:rsid w:val="00815B57"/>
    <w:rsid w:val="008168CD"/>
    <w:rsid w:val="008207AF"/>
    <w:rsid w:val="008215CE"/>
    <w:rsid w:val="00823513"/>
    <w:rsid w:val="0082364D"/>
    <w:rsid w:val="00823C5F"/>
    <w:rsid w:val="00825ECD"/>
    <w:rsid w:val="00827119"/>
    <w:rsid w:val="00827171"/>
    <w:rsid w:val="00827470"/>
    <w:rsid w:val="008302BF"/>
    <w:rsid w:val="0083077F"/>
    <w:rsid w:val="00830A9F"/>
    <w:rsid w:val="00831A0A"/>
    <w:rsid w:val="00832790"/>
    <w:rsid w:val="00835AF5"/>
    <w:rsid w:val="008363DA"/>
    <w:rsid w:val="00836D4E"/>
    <w:rsid w:val="008372BB"/>
    <w:rsid w:val="00840CE1"/>
    <w:rsid w:val="00842812"/>
    <w:rsid w:val="00844EE5"/>
    <w:rsid w:val="00845216"/>
    <w:rsid w:val="008462F7"/>
    <w:rsid w:val="00851A33"/>
    <w:rsid w:val="00854B1B"/>
    <w:rsid w:val="00857D3D"/>
    <w:rsid w:val="00857F40"/>
    <w:rsid w:val="0086037A"/>
    <w:rsid w:val="0086077F"/>
    <w:rsid w:val="008618D4"/>
    <w:rsid w:val="008618F3"/>
    <w:rsid w:val="00862FDF"/>
    <w:rsid w:val="008631E7"/>
    <w:rsid w:val="0086353D"/>
    <w:rsid w:val="00865F36"/>
    <w:rsid w:val="008661EE"/>
    <w:rsid w:val="00866CDA"/>
    <w:rsid w:val="00866D36"/>
    <w:rsid w:val="00867643"/>
    <w:rsid w:val="008726EC"/>
    <w:rsid w:val="00872CEE"/>
    <w:rsid w:val="00875CE4"/>
    <w:rsid w:val="00875E48"/>
    <w:rsid w:val="008762B8"/>
    <w:rsid w:val="00882244"/>
    <w:rsid w:val="00882A6D"/>
    <w:rsid w:val="00882FAF"/>
    <w:rsid w:val="0088404F"/>
    <w:rsid w:val="00885E95"/>
    <w:rsid w:val="00885EB0"/>
    <w:rsid w:val="00886722"/>
    <w:rsid w:val="00887782"/>
    <w:rsid w:val="00887796"/>
    <w:rsid w:val="00890A3A"/>
    <w:rsid w:val="00892EA9"/>
    <w:rsid w:val="0089423C"/>
    <w:rsid w:val="00895F65"/>
    <w:rsid w:val="008962B9"/>
    <w:rsid w:val="0089672C"/>
    <w:rsid w:val="008A010E"/>
    <w:rsid w:val="008A20A3"/>
    <w:rsid w:val="008A2704"/>
    <w:rsid w:val="008A2752"/>
    <w:rsid w:val="008A37D2"/>
    <w:rsid w:val="008A3C8F"/>
    <w:rsid w:val="008A3ECF"/>
    <w:rsid w:val="008A64F1"/>
    <w:rsid w:val="008A67DC"/>
    <w:rsid w:val="008A6817"/>
    <w:rsid w:val="008A6FA6"/>
    <w:rsid w:val="008A726C"/>
    <w:rsid w:val="008A7763"/>
    <w:rsid w:val="008B13FC"/>
    <w:rsid w:val="008B2FAD"/>
    <w:rsid w:val="008B3013"/>
    <w:rsid w:val="008B4BF7"/>
    <w:rsid w:val="008B53D1"/>
    <w:rsid w:val="008C09EB"/>
    <w:rsid w:val="008C0F25"/>
    <w:rsid w:val="008C2E00"/>
    <w:rsid w:val="008C2F8E"/>
    <w:rsid w:val="008C31C7"/>
    <w:rsid w:val="008C37F6"/>
    <w:rsid w:val="008C3C15"/>
    <w:rsid w:val="008C3F8B"/>
    <w:rsid w:val="008C57CD"/>
    <w:rsid w:val="008C5F31"/>
    <w:rsid w:val="008C71D0"/>
    <w:rsid w:val="008C7845"/>
    <w:rsid w:val="008C7CBE"/>
    <w:rsid w:val="008D0163"/>
    <w:rsid w:val="008D01C1"/>
    <w:rsid w:val="008D1241"/>
    <w:rsid w:val="008D36A4"/>
    <w:rsid w:val="008D4132"/>
    <w:rsid w:val="008D44B9"/>
    <w:rsid w:val="008D6243"/>
    <w:rsid w:val="008E0A63"/>
    <w:rsid w:val="008E0ABD"/>
    <w:rsid w:val="008E2D45"/>
    <w:rsid w:val="008E4048"/>
    <w:rsid w:val="008E4E21"/>
    <w:rsid w:val="008E65F5"/>
    <w:rsid w:val="008E721F"/>
    <w:rsid w:val="008F0571"/>
    <w:rsid w:val="008F05A6"/>
    <w:rsid w:val="008F06AE"/>
    <w:rsid w:val="008F0994"/>
    <w:rsid w:val="008F0D2B"/>
    <w:rsid w:val="008F146E"/>
    <w:rsid w:val="008F2259"/>
    <w:rsid w:val="008F2998"/>
    <w:rsid w:val="008F30C6"/>
    <w:rsid w:val="008F35D6"/>
    <w:rsid w:val="008F467A"/>
    <w:rsid w:val="008F48B5"/>
    <w:rsid w:val="008F4B44"/>
    <w:rsid w:val="008F5DDC"/>
    <w:rsid w:val="008F663B"/>
    <w:rsid w:val="008F799D"/>
    <w:rsid w:val="009020D6"/>
    <w:rsid w:val="00902EA0"/>
    <w:rsid w:val="00903016"/>
    <w:rsid w:val="009034F6"/>
    <w:rsid w:val="0090532B"/>
    <w:rsid w:val="00905DF2"/>
    <w:rsid w:val="00906243"/>
    <w:rsid w:val="00907E39"/>
    <w:rsid w:val="00911F7B"/>
    <w:rsid w:val="0091269A"/>
    <w:rsid w:val="009128A9"/>
    <w:rsid w:val="009144D8"/>
    <w:rsid w:val="00914C50"/>
    <w:rsid w:val="00915093"/>
    <w:rsid w:val="009213BB"/>
    <w:rsid w:val="00921879"/>
    <w:rsid w:val="00922185"/>
    <w:rsid w:val="00922C4F"/>
    <w:rsid w:val="009239A5"/>
    <w:rsid w:val="009268A0"/>
    <w:rsid w:val="00926D6A"/>
    <w:rsid w:val="00926E7F"/>
    <w:rsid w:val="009270FD"/>
    <w:rsid w:val="00927F92"/>
    <w:rsid w:val="009317D9"/>
    <w:rsid w:val="009349BF"/>
    <w:rsid w:val="00934A29"/>
    <w:rsid w:val="00934D41"/>
    <w:rsid w:val="00937466"/>
    <w:rsid w:val="009406BB"/>
    <w:rsid w:val="00940972"/>
    <w:rsid w:val="0094097B"/>
    <w:rsid w:val="00941E30"/>
    <w:rsid w:val="00943D5D"/>
    <w:rsid w:val="00944026"/>
    <w:rsid w:val="00946E5A"/>
    <w:rsid w:val="0095099C"/>
    <w:rsid w:val="009519AB"/>
    <w:rsid w:val="00952AC0"/>
    <w:rsid w:val="00952EFE"/>
    <w:rsid w:val="00954A27"/>
    <w:rsid w:val="009559C0"/>
    <w:rsid w:val="0095677E"/>
    <w:rsid w:val="00956C95"/>
    <w:rsid w:val="00956DC0"/>
    <w:rsid w:val="009579BD"/>
    <w:rsid w:val="00957CE9"/>
    <w:rsid w:val="009603B5"/>
    <w:rsid w:val="009612AB"/>
    <w:rsid w:val="00961D19"/>
    <w:rsid w:val="00962095"/>
    <w:rsid w:val="009641E5"/>
    <w:rsid w:val="00964445"/>
    <w:rsid w:val="00964DC1"/>
    <w:rsid w:val="00965768"/>
    <w:rsid w:val="009658B6"/>
    <w:rsid w:val="00966ADF"/>
    <w:rsid w:val="00970C95"/>
    <w:rsid w:val="00971081"/>
    <w:rsid w:val="00971122"/>
    <w:rsid w:val="00972D3D"/>
    <w:rsid w:val="00974A0A"/>
    <w:rsid w:val="00974E34"/>
    <w:rsid w:val="00975A2B"/>
    <w:rsid w:val="00976AFA"/>
    <w:rsid w:val="00977C84"/>
    <w:rsid w:val="00982621"/>
    <w:rsid w:val="00983A21"/>
    <w:rsid w:val="00984CDC"/>
    <w:rsid w:val="00986359"/>
    <w:rsid w:val="00986C65"/>
    <w:rsid w:val="009879AA"/>
    <w:rsid w:val="00990FD8"/>
    <w:rsid w:val="00990FF0"/>
    <w:rsid w:val="009911EF"/>
    <w:rsid w:val="00991759"/>
    <w:rsid w:val="0099196D"/>
    <w:rsid w:val="00992327"/>
    <w:rsid w:val="0099295B"/>
    <w:rsid w:val="00994153"/>
    <w:rsid w:val="00995791"/>
    <w:rsid w:val="00997DF1"/>
    <w:rsid w:val="009A0DD8"/>
    <w:rsid w:val="009A1673"/>
    <w:rsid w:val="009A334F"/>
    <w:rsid w:val="009A3B99"/>
    <w:rsid w:val="009A3D37"/>
    <w:rsid w:val="009A3D6A"/>
    <w:rsid w:val="009A3F91"/>
    <w:rsid w:val="009A6441"/>
    <w:rsid w:val="009A75C4"/>
    <w:rsid w:val="009A7672"/>
    <w:rsid w:val="009A76F3"/>
    <w:rsid w:val="009B0D6E"/>
    <w:rsid w:val="009B2762"/>
    <w:rsid w:val="009B40CC"/>
    <w:rsid w:val="009B5884"/>
    <w:rsid w:val="009B5EB5"/>
    <w:rsid w:val="009B77AD"/>
    <w:rsid w:val="009B7E06"/>
    <w:rsid w:val="009C0AF9"/>
    <w:rsid w:val="009C124E"/>
    <w:rsid w:val="009C18D8"/>
    <w:rsid w:val="009C1A0F"/>
    <w:rsid w:val="009C2DB6"/>
    <w:rsid w:val="009C372D"/>
    <w:rsid w:val="009C412A"/>
    <w:rsid w:val="009C4E7D"/>
    <w:rsid w:val="009C6668"/>
    <w:rsid w:val="009C6F39"/>
    <w:rsid w:val="009C6F95"/>
    <w:rsid w:val="009C75B6"/>
    <w:rsid w:val="009D141A"/>
    <w:rsid w:val="009D1956"/>
    <w:rsid w:val="009D1C16"/>
    <w:rsid w:val="009D1DD3"/>
    <w:rsid w:val="009D27B3"/>
    <w:rsid w:val="009D2D0C"/>
    <w:rsid w:val="009D532B"/>
    <w:rsid w:val="009E0E6E"/>
    <w:rsid w:val="009E106F"/>
    <w:rsid w:val="009E1DDD"/>
    <w:rsid w:val="009E4C56"/>
    <w:rsid w:val="009E73F9"/>
    <w:rsid w:val="009F26A8"/>
    <w:rsid w:val="009F28A8"/>
    <w:rsid w:val="009F29D3"/>
    <w:rsid w:val="009F2DA3"/>
    <w:rsid w:val="009F429F"/>
    <w:rsid w:val="009F449C"/>
    <w:rsid w:val="009F4EDF"/>
    <w:rsid w:val="009F5D0C"/>
    <w:rsid w:val="009F6DAE"/>
    <w:rsid w:val="009F70A2"/>
    <w:rsid w:val="009F719E"/>
    <w:rsid w:val="00A0254A"/>
    <w:rsid w:val="00A03F2A"/>
    <w:rsid w:val="00A04E81"/>
    <w:rsid w:val="00A06521"/>
    <w:rsid w:val="00A134F6"/>
    <w:rsid w:val="00A13B12"/>
    <w:rsid w:val="00A13FFF"/>
    <w:rsid w:val="00A14906"/>
    <w:rsid w:val="00A177E4"/>
    <w:rsid w:val="00A17E42"/>
    <w:rsid w:val="00A20BCE"/>
    <w:rsid w:val="00A21059"/>
    <w:rsid w:val="00A2405B"/>
    <w:rsid w:val="00A24063"/>
    <w:rsid w:val="00A245B8"/>
    <w:rsid w:val="00A246DA"/>
    <w:rsid w:val="00A24BA2"/>
    <w:rsid w:val="00A25E82"/>
    <w:rsid w:val="00A265F5"/>
    <w:rsid w:val="00A27847"/>
    <w:rsid w:val="00A27A86"/>
    <w:rsid w:val="00A27F8D"/>
    <w:rsid w:val="00A30096"/>
    <w:rsid w:val="00A30C1E"/>
    <w:rsid w:val="00A33B86"/>
    <w:rsid w:val="00A34210"/>
    <w:rsid w:val="00A350B1"/>
    <w:rsid w:val="00A354FE"/>
    <w:rsid w:val="00A36D8A"/>
    <w:rsid w:val="00A37352"/>
    <w:rsid w:val="00A40038"/>
    <w:rsid w:val="00A4077E"/>
    <w:rsid w:val="00A40FDA"/>
    <w:rsid w:val="00A41491"/>
    <w:rsid w:val="00A4212E"/>
    <w:rsid w:val="00A42349"/>
    <w:rsid w:val="00A42FCB"/>
    <w:rsid w:val="00A44A51"/>
    <w:rsid w:val="00A479D1"/>
    <w:rsid w:val="00A503A5"/>
    <w:rsid w:val="00A50A45"/>
    <w:rsid w:val="00A513E4"/>
    <w:rsid w:val="00A51574"/>
    <w:rsid w:val="00A51858"/>
    <w:rsid w:val="00A519CD"/>
    <w:rsid w:val="00A53AC9"/>
    <w:rsid w:val="00A53EBF"/>
    <w:rsid w:val="00A55D5F"/>
    <w:rsid w:val="00A571D7"/>
    <w:rsid w:val="00A57223"/>
    <w:rsid w:val="00A5748D"/>
    <w:rsid w:val="00A60BE8"/>
    <w:rsid w:val="00A6168D"/>
    <w:rsid w:val="00A61ADC"/>
    <w:rsid w:val="00A61EA8"/>
    <w:rsid w:val="00A641CE"/>
    <w:rsid w:val="00A66264"/>
    <w:rsid w:val="00A66430"/>
    <w:rsid w:val="00A66B85"/>
    <w:rsid w:val="00A705AB"/>
    <w:rsid w:val="00A70BC3"/>
    <w:rsid w:val="00A714A5"/>
    <w:rsid w:val="00A7264F"/>
    <w:rsid w:val="00A73743"/>
    <w:rsid w:val="00A738CD"/>
    <w:rsid w:val="00A73D3B"/>
    <w:rsid w:val="00A74619"/>
    <w:rsid w:val="00A75869"/>
    <w:rsid w:val="00A75881"/>
    <w:rsid w:val="00A81167"/>
    <w:rsid w:val="00A835A9"/>
    <w:rsid w:val="00A840C9"/>
    <w:rsid w:val="00A877D2"/>
    <w:rsid w:val="00A87A11"/>
    <w:rsid w:val="00A922E4"/>
    <w:rsid w:val="00A926CC"/>
    <w:rsid w:val="00A93629"/>
    <w:rsid w:val="00A9480C"/>
    <w:rsid w:val="00A975B7"/>
    <w:rsid w:val="00AA084E"/>
    <w:rsid w:val="00AA1048"/>
    <w:rsid w:val="00AA1DF2"/>
    <w:rsid w:val="00AA2B8F"/>
    <w:rsid w:val="00AA4564"/>
    <w:rsid w:val="00AA6936"/>
    <w:rsid w:val="00AA696C"/>
    <w:rsid w:val="00AA702F"/>
    <w:rsid w:val="00AA7120"/>
    <w:rsid w:val="00AB0D1E"/>
    <w:rsid w:val="00AB0FC1"/>
    <w:rsid w:val="00AB165C"/>
    <w:rsid w:val="00AB1859"/>
    <w:rsid w:val="00AB1B02"/>
    <w:rsid w:val="00AB1B2A"/>
    <w:rsid w:val="00AB1B90"/>
    <w:rsid w:val="00AB1F86"/>
    <w:rsid w:val="00AB321D"/>
    <w:rsid w:val="00AB442B"/>
    <w:rsid w:val="00AB48D5"/>
    <w:rsid w:val="00AB5429"/>
    <w:rsid w:val="00AB6324"/>
    <w:rsid w:val="00AB6CBC"/>
    <w:rsid w:val="00AC0C99"/>
    <w:rsid w:val="00AC0E73"/>
    <w:rsid w:val="00AC1281"/>
    <w:rsid w:val="00AC1B80"/>
    <w:rsid w:val="00AC20E9"/>
    <w:rsid w:val="00AC36F0"/>
    <w:rsid w:val="00AC4175"/>
    <w:rsid w:val="00AC796A"/>
    <w:rsid w:val="00AC7DE2"/>
    <w:rsid w:val="00AC7F56"/>
    <w:rsid w:val="00AD02FB"/>
    <w:rsid w:val="00AD0B0A"/>
    <w:rsid w:val="00AD10CA"/>
    <w:rsid w:val="00AD321E"/>
    <w:rsid w:val="00AD34BB"/>
    <w:rsid w:val="00AD45BD"/>
    <w:rsid w:val="00AD4F91"/>
    <w:rsid w:val="00AD52C1"/>
    <w:rsid w:val="00AD69B8"/>
    <w:rsid w:val="00AD7317"/>
    <w:rsid w:val="00AD7F6B"/>
    <w:rsid w:val="00AD7FE4"/>
    <w:rsid w:val="00AE3DC2"/>
    <w:rsid w:val="00AE3EE4"/>
    <w:rsid w:val="00AE481D"/>
    <w:rsid w:val="00AE4AD8"/>
    <w:rsid w:val="00AE68A7"/>
    <w:rsid w:val="00AE6C0E"/>
    <w:rsid w:val="00AF07F6"/>
    <w:rsid w:val="00AF142B"/>
    <w:rsid w:val="00AF20F3"/>
    <w:rsid w:val="00AF2E27"/>
    <w:rsid w:val="00AF3513"/>
    <w:rsid w:val="00AF3E66"/>
    <w:rsid w:val="00AF447F"/>
    <w:rsid w:val="00AF46D0"/>
    <w:rsid w:val="00AF4793"/>
    <w:rsid w:val="00AF5A44"/>
    <w:rsid w:val="00AF6C84"/>
    <w:rsid w:val="00B00601"/>
    <w:rsid w:val="00B00853"/>
    <w:rsid w:val="00B00985"/>
    <w:rsid w:val="00B0121C"/>
    <w:rsid w:val="00B01472"/>
    <w:rsid w:val="00B01AF1"/>
    <w:rsid w:val="00B01D7D"/>
    <w:rsid w:val="00B02B09"/>
    <w:rsid w:val="00B02F4F"/>
    <w:rsid w:val="00B03089"/>
    <w:rsid w:val="00B038EB"/>
    <w:rsid w:val="00B041AE"/>
    <w:rsid w:val="00B0578A"/>
    <w:rsid w:val="00B05DC6"/>
    <w:rsid w:val="00B06029"/>
    <w:rsid w:val="00B0796B"/>
    <w:rsid w:val="00B07EDA"/>
    <w:rsid w:val="00B1018F"/>
    <w:rsid w:val="00B114AE"/>
    <w:rsid w:val="00B1256F"/>
    <w:rsid w:val="00B12F44"/>
    <w:rsid w:val="00B1404E"/>
    <w:rsid w:val="00B149C4"/>
    <w:rsid w:val="00B14E14"/>
    <w:rsid w:val="00B15438"/>
    <w:rsid w:val="00B16A2C"/>
    <w:rsid w:val="00B17977"/>
    <w:rsid w:val="00B17DB2"/>
    <w:rsid w:val="00B2097C"/>
    <w:rsid w:val="00B2270E"/>
    <w:rsid w:val="00B22FF7"/>
    <w:rsid w:val="00B2323D"/>
    <w:rsid w:val="00B232C1"/>
    <w:rsid w:val="00B24505"/>
    <w:rsid w:val="00B25537"/>
    <w:rsid w:val="00B26912"/>
    <w:rsid w:val="00B27D44"/>
    <w:rsid w:val="00B30015"/>
    <w:rsid w:val="00B3078C"/>
    <w:rsid w:val="00B317F3"/>
    <w:rsid w:val="00B31D4D"/>
    <w:rsid w:val="00B32164"/>
    <w:rsid w:val="00B323D1"/>
    <w:rsid w:val="00B3308E"/>
    <w:rsid w:val="00B33A97"/>
    <w:rsid w:val="00B347F0"/>
    <w:rsid w:val="00B3482E"/>
    <w:rsid w:val="00B37E6C"/>
    <w:rsid w:val="00B41885"/>
    <w:rsid w:val="00B433DD"/>
    <w:rsid w:val="00B44748"/>
    <w:rsid w:val="00B458AF"/>
    <w:rsid w:val="00B46B78"/>
    <w:rsid w:val="00B471B2"/>
    <w:rsid w:val="00B5020C"/>
    <w:rsid w:val="00B5145C"/>
    <w:rsid w:val="00B51C16"/>
    <w:rsid w:val="00B54088"/>
    <w:rsid w:val="00B54119"/>
    <w:rsid w:val="00B56517"/>
    <w:rsid w:val="00B57D75"/>
    <w:rsid w:val="00B61073"/>
    <w:rsid w:val="00B6345A"/>
    <w:rsid w:val="00B64FE7"/>
    <w:rsid w:val="00B651D0"/>
    <w:rsid w:val="00B652A0"/>
    <w:rsid w:val="00B6558A"/>
    <w:rsid w:val="00B65BEA"/>
    <w:rsid w:val="00B67A7F"/>
    <w:rsid w:val="00B70AFB"/>
    <w:rsid w:val="00B711F4"/>
    <w:rsid w:val="00B71375"/>
    <w:rsid w:val="00B741D8"/>
    <w:rsid w:val="00B747C8"/>
    <w:rsid w:val="00B762BD"/>
    <w:rsid w:val="00B769E9"/>
    <w:rsid w:val="00B823BC"/>
    <w:rsid w:val="00B824D6"/>
    <w:rsid w:val="00B830E3"/>
    <w:rsid w:val="00B837D7"/>
    <w:rsid w:val="00B843C3"/>
    <w:rsid w:val="00B855D4"/>
    <w:rsid w:val="00B9077E"/>
    <w:rsid w:val="00B9117F"/>
    <w:rsid w:val="00B91E79"/>
    <w:rsid w:val="00B91F7F"/>
    <w:rsid w:val="00B924AD"/>
    <w:rsid w:val="00B92870"/>
    <w:rsid w:val="00B93419"/>
    <w:rsid w:val="00B9364B"/>
    <w:rsid w:val="00B9543D"/>
    <w:rsid w:val="00B95ADC"/>
    <w:rsid w:val="00B95D7F"/>
    <w:rsid w:val="00BA0D09"/>
    <w:rsid w:val="00BA2346"/>
    <w:rsid w:val="00BA255A"/>
    <w:rsid w:val="00BA32C2"/>
    <w:rsid w:val="00BA499D"/>
    <w:rsid w:val="00BA4A4A"/>
    <w:rsid w:val="00BB0054"/>
    <w:rsid w:val="00BB05AF"/>
    <w:rsid w:val="00BB0AA4"/>
    <w:rsid w:val="00BB0C54"/>
    <w:rsid w:val="00BB1867"/>
    <w:rsid w:val="00BB1BE8"/>
    <w:rsid w:val="00BB30A1"/>
    <w:rsid w:val="00BB3443"/>
    <w:rsid w:val="00BB55A6"/>
    <w:rsid w:val="00BB6295"/>
    <w:rsid w:val="00BB6FEF"/>
    <w:rsid w:val="00BB794E"/>
    <w:rsid w:val="00BC124C"/>
    <w:rsid w:val="00BC2EA6"/>
    <w:rsid w:val="00BC332B"/>
    <w:rsid w:val="00BC3913"/>
    <w:rsid w:val="00BC49C2"/>
    <w:rsid w:val="00BC6CE8"/>
    <w:rsid w:val="00BC7248"/>
    <w:rsid w:val="00BC77BA"/>
    <w:rsid w:val="00BC77CA"/>
    <w:rsid w:val="00BD23EE"/>
    <w:rsid w:val="00BD2562"/>
    <w:rsid w:val="00BD2B25"/>
    <w:rsid w:val="00BD319E"/>
    <w:rsid w:val="00BD349B"/>
    <w:rsid w:val="00BD4068"/>
    <w:rsid w:val="00BD563C"/>
    <w:rsid w:val="00BD5EFA"/>
    <w:rsid w:val="00BD6F37"/>
    <w:rsid w:val="00BE09CB"/>
    <w:rsid w:val="00BE0F0F"/>
    <w:rsid w:val="00BE171D"/>
    <w:rsid w:val="00BE232D"/>
    <w:rsid w:val="00BE3ED2"/>
    <w:rsid w:val="00BE44CE"/>
    <w:rsid w:val="00BE4579"/>
    <w:rsid w:val="00BE4CE2"/>
    <w:rsid w:val="00BE5D77"/>
    <w:rsid w:val="00BE615D"/>
    <w:rsid w:val="00BE6A03"/>
    <w:rsid w:val="00BE6C68"/>
    <w:rsid w:val="00BE712A"/>
    <w:rsid w:val="00BE76BE"/>
    <w:rsid w:val="00BE7DFD"/>
    <w:rsid w:val="00BF0197"/>
    <w:rsid w:val="00BF07F6"/>
    <w:rsid w:val="00BF2BDF"/>
    <w:rsid w:val="00BF3801"/>
    <w:rsid w:val="00BF5AA4"/>
    <w:rsid w:val="00BF5C50"/>
    <w:rsid w:val="00BF67F2"/>
    <w:rsid w:val="00BF7719"/>
    <w:rsid w:val="00C00158"/>
    <w:rsid w:val="00C002A8"/>
    <w:rsid w:val="00C006AC"/>
    <w:rsid w:val="00C00F88"/>
    <w:rsid w:val="00C024EF"/>
    <w:rsid w:val="00C027A6"/>
    <w:rsid w:val="00C04012"/>
    <w:rsid w:val="00C04C2C"/>
    <w:rsid w:val="00C068D1"/>
    <w:rsid w:val="00C06E7E"/>
    <w:rsid w:val="00C103E1"/>
    <w:rsid w:val="00C10D9B"/>
    <w:rsid w:val="00C10EF5"/>
    <w:rsid w:val="00C11500"/>
    <w:rsid w:val="00C11BAD"/>
    <w:rsid w:val="00C12D22"/>
    <w:rsid w:val="00C15446"/>
    <w:rsid w:val="00C15FDD"/>
    <w:rsid w:val="00C160B2"/>
    <w:rsid w:val="00C1649B"/>
    <w:rsid w:val="00C17AB3"/>
    <w:rsid w:val="00C20A56"/>
    <w:rsid w:val="00C210AF"/>
    <w:rsid w:val="00C21DC0"/>
    <w:rsid w:val="00C2227D"/>
    <w:rsid w:val="00C22BCE"/>
    <w:rsid w:val="00C233AF"/>
    <w:rsid w:val="00C24382"/>
    <w:rsid w:val="00C243B5"/>
    <w:rsid w:val="00C246BF"/>
    <w:rsid w:val="00C25D0E"/>
    <w:rsid w:val="00C2619F"/>
    <w:rsid w:val="00C26EBC"/>
    <w:rsid w:val="00C312E0"/>
    <w:rsid w:val="00C31DFF"/>
    <w:rsid w:val="00C31F75"/>
    <w:rsid w:val="00C33498"/>
    <w:rsid w:val="00C34FB3"/>
    <w:rsid w:val="00C36744"/>
    <w:rsid w:val="00C36A2C"/>
    <w:rsid w:val="00C41C59"/>
    <w:rsid w:val="00C4351C"/>
    <w:rsid w:val="00C50C86"/>
    <w:rsid w:val="00C51FF3"/>
    <w:rsid w:val="00C5284C"/>
    <w:rsid w:val="00C52ECC"/>
    <w:rsid w:val="00C5308B"/>
    <w:rsid w:val="00C53B5D"/>
    <w:rsid w:val="00C553B8"/>
    <w:rsid w:val="00C5580D"/>
    <w:rsid w:val="00C55CBD"/>
    <w:rsid w:val="00C55D3E"/>
    <w:rsid w:val="00C5621B"/>
    <w:rsid w:val="00C57481"/>
    <w:rsid w:val="00C57F6E"/>
    <w:rsid w:val="00C57FAC"/>
    <w:rsid w:val="00C6029F"/>
    <w:rsid w:val="00C640D7"/>
    <w:rsid w:val="00C6420F"/>
    <w:rsid w:val="00C64CB6"/>
    <w:rsid w:val="00C655B9"/>
    <w:rsid w:val="00C66CC5"/>
    <w:rsid w:val="00C66D25"/>
    <w:rsid w:val="00C6769E"/>
    <w:rsid w:val="00C677FF"/>
    <w:rsid w:val="00C712A0"/>
    <w:rsid w:val="00C7167E"/>
    <w:rsid w:val="00C72484"/>
    <w:rsid w:val="00C7437C"/>
    <w:rsid w:val="00C75132"/>
    <w:rsid w:val="00C771C7"/>
    <w:rsid w:val="00C81342"/>
    <w:rsid w:val="00C82A4A"/>
    <w:rsid w:val="00C837DC"/>
    <w:rsid w:val="00C83A06"/>
    <w:rsid w:val="00C84DD1"/>
    <w:rsid w:val="00C8503D"/>
    <w:rsid w:val="00C8572A"/>
    <w:rsid w:val="00C86382"/>
    <w:rsid w:val="00C87A9A"/>
    <w:rsid w:val="00C9141B"/>
    <w:rsid w:val="00C92A3D"/>
    <w:rsid w:val="00C9459A"/>
    <w:rsid w:val="00C94C0E"/>
    <w:rsid w:val="00C94DB8"/>
    <w:rsid w:val="00C97445"/>
    <w:rsid w:val="00CA0A0A"/>
    <w:rsid w:val="00CA1534"/>
    <w:rsid w:val="00CA2BEA"/>
    <w:rsid w:val="00CA39EF"/>
    <w:rsid w:val="00CA52CC"/>
    <w:rsid w:val="00CA75E2"/>
    <w:rsid w:val="00CA7C8B"/>
    <w:rsid w:val="00CB0245"/>
    <w:rsid w:val="00CB04F0"/>
    <w:rsid w:val="00CB318C"/>
    <w:rsid w:val="00CB5233"/>
    <w:rsid w:val="00CB5896"/>
    <w:rsid w:val="00CB698C"/>
    <w:rsid w:val="00CB7B25"/>
    <w:rsid w:val="00CB7B76"/>
    <w:rsid w:val="00CC19A4"/>
    <w:rsid w:val="00CC239F"/>
    <w:rsid w:val="00CC30B2"/>
    <w:rsid w:val="00CC53B8"/>
    <w:rsid w:val="00CC73A6"/>
    <w:rsid w:val="00CD264D"/>
    <w:rsid w:val="00CD29DD"/>
    <w:rsid w:val="00CD303D"/>
    <w:rsid w:val="00CD348B"/>
    <w:rsid w:val="00CD4514"/>
    <w:rsid w:val="00CD4AA7"/>
    <w:rsid w:val="00CD5B04"/>
    <w:rsid w:val="00CD6E1F"/>
    <w:rsid w:val="00CD6E23"/>
    <w:rsid w:val="00CE0314"/>
    <w:rsid w:val="00CE0E39"/>
    <w:rsid w:val="00CE40ED"/>
    <w:rsid w:val="00CE5089"/>
    <w:rsid w:val="00CE50FB"/>
    <w:rsid w:val="00CE5810"/>
    <w:rsid w:val="00CE5E1D"/>
    <w:rsid w:val="00CE6722"/>
    <w:rsid w:val="00CE6B30"/>
    <w:rsid w:val="00CE71D5"/>
    <w:rsid w:val="00CE7E67"/>
    <w:rsid w:val="00CF09DF"/>
    <w:rsid w:val="00CF0AC1"/>
    <w:rsid w:val="00CF0AE7"/>
    <w:rsid w:val="00CF1165"/>
    <w:rsid w:val="00CF1204"/>
    <w:rsid w:val="00CF12C2"/>
    <w:rsid w:val="00CF2461"/>
    <w:rsid w:val="00CF288E"/>
    <w:rsid w:val="00CF3C1B"/>
    <w:rsid w:val="00CF3DA8"/>
    <w:rsid w:val="00CF3FB7"/>
    <w:rsid w:val="00CF40CB"/>
    <w:rsid w:val="00CF5302"/>
    <w:rsid w:val="00CF5712"/>
    <w:rsid w:val="00CF6B43"/>
    <w:rsid w:val="00D00489"/>
    <w:rsid w:val="00D00FF3"/>
    <w:rsid w:val="00D01441"/>
    <w:rsid w:val="00D025F7"/>
    <w:rsid w:val="00D03D81"/>
    <w:rsid w:val="00D03F80"/>
    <w:rsid w:val="00D04429"/>
    <w:rsid w:val="00D0556E"/>
    <w:rsid w:val="00D06CAE"/>
    <w:rsid w:val="00D113CE"/>
    <w:rsid w:val="00D11570"/>
    <w:rsid w:val="00D119E4"/>
    <w:rsid w:val="00D11AA4"/>
    <w:rsid w:val="00D12B6D"/>
    <w:rsid w:val="00D1342B"/>
    <w:rsid w:val="00D13469"/>
    <w:rsid w:val="00D142EF"/>
    <w:rsid w:val="00D1516D"/>
    <w:rsid w:val="00D1680E"/>
    <w:rsid w:val="00D2059F"/>
    <w:rsid w:val="00D20827"/>
    <w:rsid w:val="00D2232C"/>
    <w:rsid w:val="00D22768"/>
    <w:rsid w:val="00D2376E"/>
    <w:rsid w:val="00D23B20"/>
    <w:rsid w:val="00D27F43"/>
    <w:rsid w:val="00D31225"/>
    <w:rsid w:val="00D31B37"/>
    <w:rsid w:val="00D31B8C"/>
    <w:rsid w:val="00D31F71"/>
    <w:rsid w:val="00D32A5E"/>
    <w:rsid w:val="00D332CA"/>
    <w:rsid w:val="00D35508"/>
    <w:rsid w:val="00D36542"/>
    <w:rsid w:val="00D36AAD"/>
    <w:rsid w:val="00D374CB"/>
    <w:rsid w:val="00D40C16"/>
    <w:rsid w:val="00D41527"/>
    <w:rsid w:val="00D42E4F"/>
    <w:rsid w:val="00D43306"/>
    <w:rsid w:val="00D43412"/>
    <w:rsid w:val="00D43BBF"/>
    <w:rsid w:val="00D44657"/>
    <w:rsid w:val="00D44D21"/>
    <w:rsid w:val="00D45953"/>
    <w:rsid w:val="00D46062"/>
    <w:rsid w:val="00D507E4"/>
    <w:rsid w:val="00D521CF"/>
    <w:rsid w:val="00D52510"/>
    <w:rsid w:val="00D525D5"/>
    <w:rsid w:val="00D53A45"/>
    <w:rsid w:val="00D55602"/>
    <w:rsid w:val="00D56F1C"/>
    <w:rsid w:val="00D57381"/>
    <w:rsid w:val="00D573AC"/>
    <w:rsid w:val="00D63F86"/>
    <w:rsid w:val="00D643DA"/>
    <w:rsid w:val="00D64816"/>
    <w:rsid w:val="00D64820"/>
    <w:rsid w:val="00D64BAF"/>
    <w:rsid w:val="00D65A19"/>
    <w:rsid w:val="00D66690"/>
    <w:rsid w:val="00D676A9"/>
    <w:rsid w:val="00D67BAD"/>
    <w:rsid w:val="00D70865"/>
    <w:rsid w:val="00D70BEF"/>
    <w:rsid w:val="00D71E0B"/>
    <w:rsid w:val="00D71FCE"/>
    <w:rsid w:val="00D722D1"/>
    <w:rsid w:val="00D73001"/>
    <w:rsid w:val="00D74C83"/>
    <w:rsid w:val="00D7521F"/>
    <w:rsid w:val="00D76BC2"/>
    <w:rsid w:val="00D77CDA"/>
    <w:rsid w:val="00D80CFC"/>
    <w:rsid w:val="00D83507"/>
    <w:rsid w:val="00D859AF"/>
    <w:rsid w:val="00D85FE6"/>
    <w:rsid w:val="00D86D92"/>
    <w:rsid w:val="00D87731"/>
    <w:rsid w:val="00D90EE4"/>
    <w:rsid w:val="00D910F1"/>
    <w:rsid w:val="00D9113F"/>
    <w:rsid w:val="00D91A3A"/>
    <w:rsid w:val="00D9428E"/>
    <w:rsid w:val="00D948B6"/>
    <w:rsid w:val="00D9603A"/>
    <w:rsid w:val="00D97C41"/>
    <w:rsid w:val="00DA0844"/>
    <w:rsid w:val="00DA3CDD"/>
    <w:rsid w:val="00DA3D90"/>
    <w:rsid w:val="00DA40FC"/>
    <w:rsid w:val="00DA41D2"/>
    <w:rsid w:val="00DA4ACD"/>
    <w:rsid w:val="00DA53A8"/>
    <w:rsid w:val="00DA57DB"/>
    <w:rsid w:val="00DA6A78"/>
    <w:rsid w:val="00DA7DEC"/>
    <w:rsid w:val="00DB093E"/>
    <w:rsid w:val="00DB17ED"/>
    <w:rsid w:val="00DB1B65"/>
    <w:rsid w:val="00DB2289"/>
    <w:rsid w:val="00DB44B5"/>
    <w:rsid w:val="00DB5350"/>
    <w:rsid w:val="00DB5780"/>
    <w:rsid w:val="00DB7DF0"/>
    <w:rsid w:val="00DC04EF"/>
    <w:rsid w:val="00DC1EF1"/>
    <w:rsid w:val="00DC323F"/>
    <w:rsid w:val="00DD19DE"/>
    <w:rsid w:val="00DD305B"/>
    <w:rsid w:val="00DD3C9A"/>
    <w:rsid w:val="00DD6B0E"/>
    <w:rsid w:val="00DE0F32"/>
    <w:rsid w:val="00DE26D0"/>
    <w:rsid w:val="00DE2854"/>
    <w:rsid w:val="00DE4B8C"/>
    <w:rsid w:val="00DE4D79"/>
    <w:rsid w:val="00DE53D1"/>
    <w:rsid w:val="00DE58C2"/>
    <w:rsid w:val="00DE6FBD"/>
    <w:rsid w:val="00DE7F0A"/>
    <w:rsid w:val="00DF25C4"/>
    <w:rsid w:val="00DF26E2"/>
    <w:rsid w:val="00DF491D"/>
    <w:rsid w:val="00DF4CE9"/>
    <w:rsid w:val="00DF5108"/>
    <w:rsid w:val="00DF63BC"/>
    <w:rsid w:val="00DF65E4"/>
    <w:rsid w:val="00DF6E46"/>
    <w:rsid w:val="00DF740C"/>
    <w:rsid w:val="00DF760E"/>
    <w:rsid w:val="00E00BEA"/>
    <w:rsid w:val="00E02404"/>
    <w:rsid w:val="00E027F0"/>
    <w:rsid w:val="00E02F2C"/>
    <w:rsid w:val="00E03BB4"/>
    <w:rsid w:val="00E0528B"/>
    <w:rsid w:val="00E079B8"/>
    <w:rsid w:val="00E10244"/>
    <w:rsid w:val="00E10C60"/>
    <w:rsid w:val="00E1175B"/>
    <w:rsid w:val="00E127D2"/>
    <w:rsid w:val="00E13069"/>
    <w:rsid w:val="00E1386E"/>
    <w:rsid w:val="00E14050"/>
    <w:rsid w:val="00E1438A"/>
    <w:rsid w:val="00E145D2"/>
    <w:rsid w:val="00E14B2F"/>
    <w:rsid w:val="00E15B7B"/>
    <w:rsid w:val="00E16090"/>
    <w:rsid w:val="00E1655E"/>
    <w:rsid w:val="00E171E8"/>
    <w:rsid w:val="00E178C6"/>
    <w:rsid w:val="00E20359"/>
    <w:rsid w:val="00E2177F"/>
    <w:rsid w:val="00E22205"/>
    <w:rsid w:val="00E22DCE"/>
    <w:rsid w:val="00E23FB9"/>
    <w:rsid w:val="00E244FD"/>
    <w:rsid w:val="00E2695F"/>
    <w:rsid w:val="00E27E1B"/>
    <w:rsid w:val="00E30209"/>
    <w:rsid w:val="00E31216"/>
    <w:rsid w:val="00E31422"/>
    <w:rsid w:val="00E3162D"/>
    <w:rsid w:val="00E33C3A"/>
    <w:rsid w:val="00E34122"/>
    <w:rsid w:val="00E343C5"/>
    <w:rsid w:val="00E34C37"/>
    <w:rsid w:val="00E352E4"/>
    <w:rsid w:val="00E36636"/>
    <w:rsid w:val="00E36AA1"/>
    <w:rsid w:val="00E37564"/>
    <w:rsid w:val="00E37B50"/>
    <w:rsid w:val="00E4028A"/>
    <w:rsid w:val="00E44927"/>
    <w:rsid w:val="00E453CC"/>
    <w:rsid w:val="00E510F3"/>
    <w:rsid w:val="00E5226D"/>
    <w:rsid w:val="00E52ED7"/>
    <w:rsid w:val="00E536A6"/>
    <w:rsid w:val="00E53D4F"/>
    <w:rsid w:val="00E56960"/>
    <w:rsid w:val="00E60615"/>
    <w:rsid w:val="00E61B8E"/>
    <w:rsid w:val="00E62D92"/>
    <w:rsid w:val="00E62DEF"/>
    <w:rsid w:val="00E63F2A"/>
    <w:rsid w:val="00E66B00"/>
    <w:rsid w:val="00E6708A"/>
    <w:rsid w:val="00E703AB"/>
    <w:rsid w:val="00E7155D"/>
    <w:rsid w:val="00E72F1B"/>
    <w:rsid w:val="00E734E4"/>
    <w:rsid w:val="00E740F4"/>
    <w:rsid w:val="00E75196"/>
    <w:rsid w:val="00E80310"/>
    <w:rsid w:val="00E80843"/>
    <w:rsid w:val="00E81F99"/>
    <w:rsid w:val="00E82019"/>
    <w:rsid w:val="00E82777"/>
    <w:rsid w:val="00E8401D"/>
    <w:rsid w:val="00E846DC"/>
    <w:rsid w:val="00E85FF8"/>
    <w:rsid w:val="00E86E7A"/>
    <w:rsid w:val="00E86F66"/>
    <w:rsid w:val="00E87258"/>
    <w:rsid w:val="00E8759B"/>
    <w:rsid w:val="00E907D6"/>
    <w:rsid w:val="00E9173F"/>
    <w:rsid w:val="00E92D14"/>
    <w:rsid w:val="00E934AF"/>
    <w:rsid w:val="00E9430B"/>
    <w:rsid w:val="00E95E64"/>
    <w:rsid w:val="00E9655C"/>
    <w:rsid w:val="00E9799F"/>
    <w:rsid w:val="00EA01BC"/>
    <w:rsid w:val="00EA05D8"/>
    <w:rsid w:val="00EA06C7"/>
    <w:rsid w:val="00EA09F0"/>
    <w:rsid w:val="00EA0DAD"/>
    <w:rsid w:val="00EA2007"/>
    <w:rsid w:val="00EA389D"/>
    <w:rsid w:val="00EA5303"/>
    <w:rsid w:val="00EA748E"/>
    <w:rsid w:val="00EB0C40"/>
    <w:rsid w:val="00EB2808"/>
    <w:rsid w:val="00EB2A30"/>
    <w:rsid w:val="00EB2E13"/>
    <w:rsid w:val="00EB324F"/>
    <w:rsid w:val="00EB49EC"/>
    <w:rsid w:val="00EB52C2"/>
    <w:rsid w:val="00EB687F"/>
    <w:rsid w:val="00EB7FF1"/>
    <w:rsid w:val="00EC147F"/>
    <w:rsid w:val="00EC2914"/>
    <w:rsid w:val="00EC4AA9"/>
    <w:rsid w:val="00EC53A6"/>
    <w:rsid w:val="00EC6146"/>
    <w:rsid w:val="00EC63B4"/>
    <w:rsid w:val="00EC6A4C"/>
    <w:rsid w:val="00EC6A97"/>
    <w:rsid w:val="00ED0058"/>
    <w:rsid w:val="00ED075C"/>
    <w:rsid w:val="00ED0B80"/>
    <w:rsid w:val="00ED1200"/>
    <w:rsid w:val="00ED1258"/>
    <w:rsid w:val="00ED22BB"/>
    <w:rsid w:val="00ED272F"/>
    <w:rsid w:val="00ED2831"/>
    <w:rsid w:val="00ED370F"/>
    <w:rsid w:val="00ED47B3"/>
    <w:rsid w:val="00ED4A82"/>
    <w:rsid w:val="00ED4C1D"/>
    <w:rsid w:val="00ED7E09"/>
    <w:rsid w:val="00ED7FD4"/>
    <w:rsid w:val="00EE07AF"/>
    <w:rsid w:val="00EE4493"/>
    <w:rsid w:val="00EE5A3D"/>
    <w:rsid w:val="00EE5C66"/>
    <w:rsid w:val="00EE6664"/>
    <w:rsid w:val="00EE75A9"/>
    <w:rsid w:val="00EF0C38"/>
    <w:rsid w:val="00EF1939"/>
    <w:rsid w:val="00EF3009"/>
    <w:rsid w:val="00EF3F4A"/>
    <w:rsid w:val="00EF4C8F"/>
    <w:rsid w:val="00EF5FFD"/>
    <w:rsid w:val="00EF6087"/>
    <w:rsid w:val="00EF6C21"/>
    <w:rsid w:val="00F00C5D"/>
    <w:rsid w:val="00F01703"/>
    <w:rsid w:val="00F02535"/>
    <w:rsid w:val="00F02884"/>
    <w:rsid w:val="00F02DB5"/>
    <w:rsid w:val="00F02F1C"/>
    <w:rsid w:val="00F0439D"/>
    <w:rsid w:val="00F0489D"/>
    <w:rsid w:val="00F05E6C"/>
    <w:rsid w:val="00F06AA9"/>
    <w:rsid w:val="00F06DE0"/>
    <w:rsid w:val="00F0723B"/>
    <w:rsid w:val="00F07CEF"/>
    <w:rsid w:val="00F107C6"/>
    <w:rsid w:val="00F107ED"/>
    <w:rsid w:val="00F11302"/>
    <w:rsid w:val="00F1145E"/>
    <w:rsid w:val="00F1151A"/>
    <w:rsid w:val="00F11597"/>
    <w:rsid w:val="00F1174C"/>
    <w:rsid w:val="00F1259F"/>
    <w:rsid w:val="00F125D4"/>
    <w:rsid w:val="00F141C8"/>
    <w:rsid w:val="00F170B2"/>
    <w:rsid w:val="00F1734A"/>
    <w:rsid w:val="00F17900"/>
    <w:rsid w:val="00F202E7"/>
    <w:rsid w:val="00F20E31"/>
    <w:rsid w:val="00F227C2"/>
    <w:rsid w:val="00F2297C"/>
    <w:rsid w:val="00F24237"/>
    <w:rsid w:val="00F25E6F"/>
    <w:rsid w:val="00F2607D"/>
    <w:rsid w:val="00F2639B"/>
    <w:rsid w:val="00F305D8"/>
    <w:rsid w:val="00F3253E"/>
    <w:rsid w:val="00F348E2"/>
    <w:rsid w:val="00F36927"/>
    <w:rsid w:val="00F378DA"/>
    <w:rsid w:val="00F4090F"/>
    <w:rsid w:val="00F43364"/>
    <w:rsid w:val="00F443F7"/>
    <w:rsid w:val="00F4514B"/>
    <w:rsid w:val="00F452AB"/>
    <w:rsid w:val="00F4696A"/>
    <w:rsid w:val="00F473D8"/>
    <w:rsid w:val="00F47A77"/>
    <w:rsid w:val="00F501A4"/>
    <w:rsid w:val="00F50312"/>
    <w:rsid w:val="00F52BF6"/>
    <w:rsid w:val="00F54A1B"/>
    <w:rsid w:val="00F55B07"/>
    <w:rsid w:val="00F60177"/>
    <w:rsid w:val="00F60178"/>
    <w:rsid w:val="00F60996"/>
    <w:rsid w:val="00F625AD"/>
    <w:rsid w:val="00F628C4"/>
    <w:rsid w:val="00F63698"/>
    <w:rsid w:val="00F63A02"/>
    <w:rsid w:val="00F6425D"/>
    <w:rsid w:val="00F64A16"/>
    <w:rsid w:val="00F70CA7"/>
    <w:rsid w:val="00F714E6"/>
    <w:rsid w:val="00F7150F"/>
    <w:rsid w:val="00F71767"/>
    <w:rsid w:val="00F71A43"/>
    <w:rsid w:val="00F71B82"/>
    <w:rsid w:val="00F72222"/>
    <w:rsid w:val="00F73CF2"/>
    <w:rsid w:val="00F742D9"/>
    <w:rsid w:val="00F74971"/>
    <w:rsid w:val="00F75A9A"/>
    <w:rsid w:val="00F77269"/>
    <w:rsid w:val="00F77655"/>
    <w:rsid w:val="00F77B06"/>
    <w:rsid w:val="00F77E32"/>
    <w:rsid w:val="00F80A9D"/>
    <w:rsid w:val="00F81068"/>
    <w:rsid w:val="00F82FC3"/>
    <w:rsid w:val="00F83600"/>
    <w:rsid w:val="00F863E8"/>
    <w:rsid w:val="00F87885"/>
    <w:rsid w:val="00F905D7"/>
    <w:rsid w:val="00F91370"/>
    <w:rsid w:val="00F928CC"/>
    <w:rsid w:val="00F93227"/>
    <w:rsid w:val="00F96A13"/>
    <w:rsid w:val="00F96A73"/>
    <w:rsid w:val="00FA169F"/>
    <w:rsid w:val="00FA23D0"/>
    <w:rsid w:val="00FA2CA0"/>
    <w:rsid w:val="00FA3EB1"/>
    <w:rsid w:val="00FA42FB"/>
    <w:rsid w:val="00FA4740"/>
    <w:rsid w:val="00FA4CD4"/>
    <w:rsid w:val="00FA5416"/>
    <w:rsid w:val="00FA6599"/>
    <w:rsid w:val="00FA7161"/>
    <w:rsid w:val="00FA718D"/>
    <w:rsid w:val="00FA74D9"/>
    <w:rsid w:val="00FA7E82"/>
    <w:rsid w:val="00FB013D"/>
    <w:rsid w:val="00FB159D"/>
    <w:rsid w:val="00FB16C7"/>
    <w:rsid w:val="00FB2756"/>
    <w:rsid w:val="00FB2E33"/>
    <w:rsid w:val="00FB35A5"/>
    <w:rsid w:val="00FB36E8"/>
    <w:rsid w:val="00FB5B0F"/>
    <w:rsid w:val="00FB5D28"/>
    <w:rsid w:val="00FB60A8"/>
    <w:rsid w:val="00FB706C"/>
    <w:rsid w:val="00FB718E"/>
    <w:rsid w:val="00FC0AD0"/>
    <w:rsid w:val="00FC0C49"/>
    <w:rsid w:val="00FC17BE"/>
    <w:rsid w:val="00FC18AE"/>
    <w:rsid w:val="00FC18F7"/>
    <w:rsid w:val="00FC2069"/>
    <w:rsid w:val="00FC3349"/>
    <w:rsid w:val="00FC5961"/>
    <w:rsid w:val="00FC6469"/>
    <w:rsid w:val="00FC726C"/>
    <w:rsid w:val="00FC7A1E"/>
    <w:rsid w:val="00FD0593"/>
    <w:rsid w:val="00FD0C8D"/>
    <w:rsid w:val="00FD129E"/>
    <w:rsid w:val="00FD1981"/>
    <w:rsid w:val="00FD2105"/>
    <w:rsid w:val="00FD3B9A"/>
    <w:rsid w:val="00FD429C"/>
    <w:rsid w:val="00FD4E18"/>
    <w:rsid w:val="00FD57E0"/>
    <w:rsid w:val="00FD6329"/>
    <w:rsid w:val="00FD7812"/>
    <w:rsid w:val="00FE2A2C"/>
    <w:rsid w:val="00FE369A"/>
    <w:rsid w:val="00FE3EE2"/>
    <w:rsid w:val="00FE55C2"/>
    <w:rsid w:val="00FE5C8D"/>
    <w:rsid w:val="00FE6F17"/>
    <w:rsid w:val="00FE792F"/>
    <w:rsid w:val="00FE7DA3"/>
    <w:rsid w:val="00FF01F3"/>
    <w:rsid w:val="00FF0931"/>
    <w:rsid w:val="00FF0C9F"/>
    <w:rsid w:val="00FF188A"/>
    <w:rsid w:val="00FF1C25"/>
    <w:rsid w:val="00FF1DBA"/>
    <w:rsid w:val="00FF2E33"/>
    <w:rsid w:val="00FF3349"/>
    <w:rsid w:val="00FF5193"/>
    <w:rsid w:val="00FF680C"/>
    <w:rsid w:val="00FF7175"/>
    <w:rsid w:val="02F1EA64"/>
    <w:rsid w:val="090E7C2C"/>
    <w:rsid w:val="1003F275"/>
    <w:rsid w:val="1117A8C2"/>
    <w:rsid w:val="11C1611E"/>
    <w:rsid w:val="13228A16"/>
    <w:rsid w:val="143B97F8"/>
    <w:rsid w:val="16466A5F"/>
    <w:rsid w:val="174AF477"/>
    <w:rsid w:val="17669D9A"/>
    <w:rsid w:val="1B6663F7"/>
    <w:rsid w:val="1CB70DB9"/>
    <w:rsid w:val="1E300739"/>
    <w:rsid w:val="1FF8EC73"/>
    <w:rsid w:val="20498D6F"/>
    <w:rsid w:val="2297FDC1"/>
    <w:rsid w:val="22C8B066"/>
    <w:rsid w:val="282F4B31"/>
    <w:rsid w:val="2BCFEFA8"/>
    <w:rsid w:val="2BF6BB15"/>
    <w:rsid w:val="30DD477F"/>
    <w:rsid w:val="31764E6B"/>
    <w:rsid w:val="327B3E67"/>
    <w:rsid w:val="392F1795"/>
    <w:rsid w:val="3BC5D8AA"/>
    <w:rsid w:val="3C1A392E"/>
    <w:rsid w:val="413FAF01"/>
    <w:rsid w:val="44D938AA"/>
    <w:rsid w:val="4E4B19B9"/>
    <w:rsid w:val="4F440246"/>
    <w:rsid w:val="4F6EAF64"/>
    <w:rsid w:val="50A4602F"/>
    <w:rsid w:val="562400D0"/>
    <w:rsid w:val="5A6E8717"/>
    <w:rsid w:val="5B332B8E"/>
    <w:rsid w:val="65965214"/>
    <w:rsid w:val="67F1F1AE"/>
    <w:rsid w:val="695CD560"/>
    <w:rsid w:val="6D53A191"/>
    <w:rsid w:val="6F839042"/>
    <w:rsid w:val="6FB4238C"/>
    <w:rsid w:val="71DA6758"/>
    <w:rsid w:val="730097FA"/>
    <w:rsid w:val="732C100D"/>
    <w:rsid w:val="76CEDCD9"/>
    <w:rsid w:val="7DCEDA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15AC0"/>
  <w15:chartTrackingRefBased/>
  <w15:docId w15:val="{CAE260B9-E902-4DB2-A9E1-C17B2108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64"/>
    <w:rPr>
      <w:rFonts w:ascii="Arial" w:hAnsi="Arial"/>
      <w:sz w:val="24"/>
    </w:rPr>
  </w:style>
  <w:style w:type="paragraph" w:styleId="Heading1">
    <w:name w:val="heading 1"/>
    <w:basedOn w:val="ListParagraph"/>
    <w:link w:val="Heading1Char"/>
    <w:uiPriority w:val="9"/>
    <w:qFormat/>
    <w:rsid w:val="008D4132"/>
    <w:pPr>
      <w:keepNext/>
      <w:spacing w:line="240" w:lineRule="auto"/>
      <w:ind w:left="0"/>
      <w:contextualSpacing w:val="0"/>
      <w:outlineLvl w:val="0"/>
    </w:pPr>
    <w:rPr>
      <w:color w:val="347B9F"/>
      <w:sz w:val="48"/>
      <w:szCs w:val="48"/>
    </w:rPr>
  </w:style>
  <w:style w:type="paragraph" w:styleId="Heading2">
    <w:name w:val="heading 2"/>
    <w:basedOn w:val="Heading1"/>
    <w:link w:val="Heading2Char"/>
    <w:uiPriority w:val="9"/>
    <w:qFormat/>
    <w:rsid w:val="00BF7719"/>
    <w:pPr>
      <w:numPr>
        <w:ilvl w:val="1"/>
      </w:numPr>
      <w:spacing w:before="200"/>
      <w:ind w:left="851" w:hanging="851"/>
      <w:outlineLvl w:val="1"/>
    </w:pPr>
    <w:rPr>
      <w:sz w:val="36"/>
      <w:szCs w:val="36"/>
    </w:rPr>
  </w:style>
  <w:style w:type="paragraph" w:styleId="Heading3">
    <w:name w:val="heading 3"/>
    <w:basedOn w:val="Heading2"/>
    <w:next w:val="Normal"/>
    <w:link w:val="Heading3Char"/>
    <w:uiPriority w:val="9"/>
    <w:unhideWhenUsed/>
    <w:qFormat/>
    <w:rsid w:val="00BF7719"/>
    <w:pPr>
      <w:numPr>
        <w:ilvl w:val="2"/>
      </w:numPr>
      <w:ind w:left="851" w:hanging="851"/>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customStyle="1" w:styleId="Heading1Char">
    <w:name w:val="Heading 1 Char"/>
    <w:basedOn w:val="DefaultParagraphFont"/>
    <w:link w:val="Heading1"/>
    <w:uiPriority w:val="9"/>
    <w:rsid w:val="008D4132"/>
    <w:rPr>
      <w:rFonts w:ascii="Arial" w:hAnsi="Arial"/>
      <w:color w:val="347B9F"/>
      <w:sz w:val="48"/>
      <w:szCs w:val="48"/>
    </w:rPr>
  </w:style>
  <w:style w:type="character" w:customStyle="1" w:styleId="Heading2Char">
    <w:name w:val="Heading 2 Char"/>
    <w:basedOn w:val="DefaultParagraphFont"/>
    <w:link w:val="Heading2"/>
    <w:uiPriority w:val="9"/>
    <w:rsid w:val="00BF7719"/>
    <w:rPr>
      <w:rFonts w:ascii="Arial" w:hAnsi="Arial"/>
      <w:sz w:val="36"/>
      <w:szCs w:val="36"/>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lang w:eastAsia="en-AU"/>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lang w:eastAsia="en-AU"/>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BF7719"/>
    <w:rPr>
      <w:rFonts w:ascii="Arial" w:hAnsi="Arial"/>
      <w:sz w:val="28"/>
      <w:szCs w:val="28"/>
    </w:rPr>
  </w:style>
  <w:style w:type="paragraph" w:styleId="Quote">
    <w:name w:val="Quote"/>
    <w:basedOn w:val="Normal"/>
    <w:next w:val="Normal"/>
    <w:link w:val="QuoteChar"/>
    <w:uiPriority w:val="29"/>
    <w:qFormat/>
    <w:rsid w:val="007E7C64"/>
    <w:pPr>
      <w:spacing w:before="200" w:after="160"/>
      <w:ind w:left="864" w:right="864"/>
    </w:pPr>
    <w:rPr>
      <w:i/>
      <w:iCs/>
      <w:color w:val="000000" w:themeColor="text1"/>
    </w:rPr>
  </w:style>
  <w:style w:type="character" w:customStyle="1" w:styleId="QuoteChar">
    <w:name w:val="Quote Char"/>
    <w:basedOn w:val="DefaultParagraphFont"/>
    <w:link w:val="Quote"/>
    <w:uiPriority w:val="29"/>
    <w:rsid w:val="007E7C64"/>
    <w:rPr>
      <w:rFonts w:ascii="Arial" w:hAnsi="Arial"/>
      <w:i/>
      <w:iCs/>
      <w:color w:val="000000" w:themeColor="text1"/>
      <w:sz w:val="24"/>
    </w:rPr>
  </w:style>
  <w:style w:type="paragraph" w:customStyle="1" w:styleId="xmsonormal">
    <w:name w:val="x_msonormal"/>
    <w:basedOn w:val="Normal"/>
    <w:rsid w:val="00505757"/>
    <w:pPr>
      <w:spacing w:after="0" w:line="240" w:lineRule="auto"/>
    </w:pPr>
    <w:rPr>
      <w:rFonts w:ascii="Aptos" w:hAnsi="Aptos" w:cs="Aptos"/>
      <w:szCs w:val="24"/>
      <w:lang w:eastAsia="en-AU"/>
    </w:rPr>
  </w:style>
  <w:style w:type="character" w:styleId="UnresolvedMention">
    <w:name w:val="Unresolved Mention"/>
    <w:basedOn w:val="DefaultParagraphFont"/>
    <w:uiPriority w:val="99"/>
    <w:semiHidden/>
    <w:unhideWhenUsed/>
    <w:rsid w:val="00527ECE"/>
    <w:rPr>
      <w:color w:val="605E5C"/>
      <w:shd w:val="clear" w:color="auto" w:fill="E1DFDD"/>
    </w:rPr>
  </w:style>
  <w:style w:type="paragraph" w:styleId="ListParagraph">
    <w:name w:val="List Paragraph"/>
    <w:basedOn w:val="Normal"/>
    <w:link w:val="ListParagraphChar"/>
    <w:uiPriority w:val="34"/>
    <w:qFormat/>
    <w:rsid w:val="00271C99"/>
    <w:pPr>
      <w:ind w:left="720"/>
      <w:contextualSpacing/>
    </w:pPr>
  </w:style>
  <w:style w:type="table" w:styleId="TableGrid">
    <w:name w:val="Table Grid"/>
    <w:basedOn w:val="TableNormal"/>
    <w:uiPriority w:val="59"/>
    <w:rsid w:val="00271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qFormat/>
    <w:rsid w:val="00BF7719"/>
    <w:pPr>
      <w:spacing w:before="40" w:after="40" w:line="240" w:lineRule="auto"/>
    </w:pPr>
    <w:rPr>
      <w:sz w:val="22"/>
    </w:rPr>
  </w:style>
  <w:style w:type="paragraph" w:customStyle="1" w:styleId="Tableheading">
    <w:name w:val="Table heading"/>
    <w:basedOn w:val="Normal"/>
    <w:qFormat/>
    <w:rsid w:val="00BF7719"/>
    <w:pPr>
      <w:spacing w:before="40" w:after="40" w:line="240" w:lineRule="auto"/>
    </w:pPr>
    <w:rPr>
      <w:b/>
      <w:bCs/>
      <w:sz w:val="22"/>
    </w:rPr>
  </w:style>
  <w:style w:type="paragraph" w:customStyle="1" w:styleId="Bodytextnumbered">
    <w:name w:val="Body text numbered"/>
    <w:basedOn w:val="Normal"/>
    <w:qFormat/>
    <w:rsid w:val="0070042F"/>
    <w:pPr>
      <w:keepLines/>
      <w:numPr>
        <w:numId w:val="21"/>
      </w:numPr>
      <w:spacing w:after="120"/>
    </w:pPr>
    <w:rPr>
      <w:sz w:val="22"/>
    </w:rPr>
  </w:style>
  <w:style w:type="paragraph" w:styleId="Title">
    <w:name w:val="Title"/>
    <w:basedOn w:val="Normal"/>
    <w:next w:val="Normal"/>
    <w:link w:val="TitleChar"/>
    <w:uiPriority w:val="10"/>
    <w:rsid w:val="00BF7719"/>
    <w:rPr>
      <w:sz w:val="72"/>
      <w:szCs w:val="72"/>
    </w:rPr>
  </w:style>
  <w:style w:type="character" w:customStyle="1" w:styleId="TitleChar">
    <w:name w:val="Title Char"/>
    <w:basedOn w:val="DefaultParagraphFont"/>
    <w:link w:val="Title"/>
    <w:uiPriority w:val="10"/>
    <w:rsid w:val="00BF7719"/>
    <w:rPr>
      <w:rFonts w:ascii="Arial" w:hAnsi="Arial"/>
      <w:sz w:val="72"/>
      <w:szCs w:val="72"/>
    </w:rPr>
  </w:style>
  <w:style w:type="paragraph" w:customStyle="1" w:styleId="Contents">
    <w:name w:val="Contents"/>
    <w:basedOn w:val="Normal"/>
    <w:qFormat/>
    <w:rsid w:val="00BF7719"/>
    <w:pPr>
      <w:spacing w:line="240" w:lineRule="auto"/>
    </w:pPr>
    <w:rPr>
      <w:sz w:val="48"/>
      <w:szCs w:val="48"/>
    </w:rPr>
  </w:style>
  <w:style w:type="paragraph" w:customStyle="1" w:styleId="Bodybullet">
    <w:name w:val="Body bullet"/>
    <w:basedOn w:val="ListParagraph"/>
    <w:qFormat/>
    <w:rsid w:val="0070042F"/>
    <w:pPr>
      <w:numPr>
        <w:numId w:val="12"/>
      </w:numPr>
      <w:spacing w:after="120"/>
      <w:ind w:left="924" w:hanging="357"/>
    </w:pPr>
    <w:rPr>
      <w:sz w:val="22"/>
    </w:rPr>
  </w:style>
  <w:style w:type="paragraph" w:styleId="TOCHeading">
    <w:name w:val="TOC Heading"/>
    <w:basedOn w:val="Heading1"/>
    <w:next w:val="Normal"/>
    <w:uiPriority w:val="39"/>
    <w:unhideWhenUsed/>
    <w:qFormat/>
    <w:rsid w:val="00C50C86"/>
    <w:pPr>
      <w:keepLines/>
      <w:spacing w:before="240" w:after="0" w:line="259" w:lineRule="auto"/>
      <w:outlineLvl w:val="9"/>
    </w:pPr>
    <w:rPr>
      <w:rFonts w:asciiTheme="majorHAnsi" w:eastAsiaTheme="majorEastAsia" w:hAnsiTheme="majorHAnsi" w:cstheme="majorBidi"/>
      <w:color w:val="365F91" w:themeColor="accent1" w:themeShade="BF"/>
      <w:sz w:val="32"/>
      <w:szCs w:val="32"/>
      <w:lang w:eastAsia="en-AU"/>
    </w:rPr>
  </w:style>
  <w:style w:type="paragraph" w:styleId="TOC1">
    <w:name w:val="toc 1"/>
    <w:basedOn w:val="Normal"/>
    <w:next w:val="Normal"/>
    <w:autoRedefine/>
    <w:uiPriority w:val="39"/>
    <w:unhideWhenUsed/>
    <w:rsid w:val="00387133"/>
    <w:pPr>
      <w:spacing w:after="100"/>
    </w:pPr>
  </w:style>
  <w:style w:type="paragraph" w:styleId="TOC2">
    <w:name w:val="toc 2"/>
    <w:basedOn w:val="Normal"/>
    <w:next w:val="Normal"/>
    <w:autoRedefine/>
    <w:uiPriority w:val="39"/>
    <w:unhideWhenUsed/>
    <w:rsid w:val="00387133"/>
    <w:pPr>
      <w:spacing w:after="100"/>
      <w:ind w:left="240"/>
    </w:pPr>
  </w:style>
  <w:style w:type="paragraph" w:styleId="TOC3">
    <w:name w:val="toc 3"/>
    <w:basedOn w:val="Normal"/>
    <w:next w:val="Normal"/>
    <w:autoRedefine/>
    <w:uiPriority w:val="39"/>
    <w:unhideWhenUsed/>
    <w:rsid w:val="00C50C86"/>
    <w:pPr>
      <w:spacing w:after="100"/>
      <w:ind w:left="480"/>
    </w:pPr>
  </w:style>
  <w:style w:type="paragraph" w:customStyle="1" w:styleId="Bodytextnumberedlevel2">
    <w:name w:val="Body text numbered level 2"/>
    <w:basedOn w:val="ListParagraph"/>
    <w:link w:val="Bodytextnumberedlevel2Char"/>
    <w:qFormat/>
    <w:rsid w:val="0070042F"/>
    <w:pPr>
      <w:numPr>
        <w:numId w:val="14"/>
      </w:numPr>
      <w:spacing w:after="120"/>
      <w:ind w:left="1134" w:hanging="567"/>
    </w:pPr>
    <w:rPr>
      <w:sz w:val="22"/>
    </w:rPr>
  </w:style>
  <w:style w:type="character" w:customStyle="1" w:styleId="ListParagraphChar">
    <w:name w:val="List Paragraph Char"/>
    <w:basedOn w:val="DefaultParagraphFont"/>
    <w:link w:val="ListParagraph"/>
    <w:uiPriority w:val="34"/>
    <w:rsid w:val="0070042F"/>
    <w:rPr>
      <w:rFonts w:ascii="Arial" w:hAnsi="Arial"/>
      <w:sz w:val="24"/>
    </w:rPr>
  </w:style>
  <w:style w:type="character" w:customStyle="1" w:styleId="Bodytextnumberedlevel2Char">
    <w:name w:val="Body text numbered level 2 Char"/>
    <w:basedOn w:val="ListParagraphChar"/>
    <w:link w:val="Bodytextnumberedlevel2"/>
    <w:rsid w:val="0070042F"/>
    <w:rPr>
      <w:rFonts w:ascii="Arial" w:hAnsi="Arial"/>
      <w:sz w:val="24"/>
    </w:rPr>
  </w:style>
  <w:style w:type="paragraph" w:customStyle="1" w:styleId="Bodytextnumberedlevel3">
    <w:name w:val="Body text numbered level 3"/>
    <w:basedOn w:val="Bodytextnumberedlevel2"/>
    <w:link w:val="Bodytextnumberedlevel3Char"/>
    <w:qFormat/>
    <w:rsid w:val="0070042F"/>
    <w:pPr>
      <w:keepLines/>
      <w:numPr>
        <w:ilvl w:val="1"/>
        <w:numId w:val="15"/>
      </w:numPr>
      <w:ind w:left="1701" w:hanging="425"/>
    </w:pPr>
  </w:style>
  <w:style w:type="character" w:customStyle="1" w:styleId="Bodytextnumberedlevel3Char">
    <w:name w:val="Body text numbered level 3 Char"/>
    <w:basedOn w:val="Bodytextnumberedlevel2Char"/>
    <w:link w:val="Bodytextnumberedlevel3"/>
    <w:rsid w:val="0070042F"/>
    <w:rPr>
      <w:rFonts w:ascii="Arial" w:hAnsi="Arial"/>
      <w:sz w:val="24"/>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Footnote Text2 Char,Text Char,Te Char"/>
    <w:basedOn w:val="DefaultParagraphFont"/>
    <w:link w:val="FootnoteText"/>
    <w:uiPriority w:val="99"/>
    <w:locked/>
    <w:rsid w:val="00B61073"/>
    <w:rPr>
      <w:rFonts w:ascii="Arial" w:hAnsi="Arial" w:cs="Arial"/>
      <w:color w:val="000000" w:themeColor="text1"/>
      <w:sz w:val="20"/>
    </w:rPr>
  </w:style>
  <w:style w:type="paragraph" w:styleId="FootnoteText">
    <w:name w:val="footnote text"/>
    <w:aliases w:val="Footnote text,5_G,Footnote Text Char Char Char Char Char Char,Footnote Text Char Char Char Char Char Char Char Char Char Char Char Char Char Char Char Char Char,C,Footnote Text2,Footnote Text Char Char,Footnote Text Char1 Char Char,Text,Te"/>
    <w:basedOn w:val="Normal"/>
    <w:link w:val="FootnoteTextChar"/>
    <w:uiPriority w:val="99"/>
    <w:unhideWhenUsed/>
    <w:qFormat/>
    <w:rsid w:val="00B61073"/>
    <w:pPr>
      <w:spacing w:after="120" w:line="240" w:lineRule="auto"/>
    </w:pPr>
    <w:rPr>
      <w:rFonts w:cs="Arial"/>
      <w:color w:val="000000" w:themeColor="text1"/>
      <w:sz w:val="20"/>
    </w:rPr>
  </w:style>
  <w:style w:type="character" w:customStyle="1" w:styleId="FootnoteTextChar1">
    <w:name w:val="Footnote Text Char1"/>
    <w:basedOn w:val="DefaultParagraphFont"/>
    <w:uiPriority w:val="99"/>
    <w:semiHidden/>
    <w:rsid w:val="00B61073"/>
    <w:rPr>
      <w:rFonts w:ascii="Arial" w:hAnsi="Arial"/>
      <w:sz w:val="20"/>
      <w:szCs w:val="20"/>
    </w:rPr>
  </w:style>
  <w:style w:type="character" w:customStyle="1" w:styleId="NumberedparagraphChar">
    <w:name w:val="Numbered paragraph Char"/>
    <w:basedOn w:val="DefaultParagraphFont"/>
    <w:link w:val="Numberedparagraph"/>
    <w:locked/>
    <w:rsid w:val="00B61073"/>
    <w:rPr>
      <w:rFonts w:ascii="Arial" w:hAnsi="Arial" w:cs="Arial"/>
      <w:color w:val="000000" w:themeColor="text1"/>
    </w:rPr>
  </w:style>
  <w:style w:type="paragraph" w:customStyle="1" w:styleId="Numberedparagraph">
    <w:name w:val="Numbered paragraph"/>
    <w:basedOn w:val="ListParagraph"/>
    <w:link w:val="NumberedparagraphChar"/>
    <w:qFormat/>
    <w:rsid w:val="00B61073"/>
    <w:pPr>
      <w:spacing w:before="120" w:after="240"/>
      <w:ind w:left="0"/>
      <w:contextualSpacing w:val="0"/>
    </w:pPr>
    <w:rPr>
      <w:rFonts w:cs="Arial"/>
      <w:color w:val="000000" w:themeColor="text1"/>
      <w:sz w:val="22"/>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B61073"/>
    <w:rPr>
      <w:vertAlign w:val="superscript"/>
    </w:rPr>
  </w:style>
  <w:style w:type="character" w:styleId="CommentReference">
    <w:name w:val="annotation reference"/>
    <w:basedOn w:val="DefaultParagraphFont"/>
    <w:uiPriority w:val="99"/>
    <w:semiHidden/>
    <w:unhideWhenUsed/>
    <w:rsid w:val="00B25537"/>
    <w:rPr>
      <w:sz w:val="16"/>
      <w:szCs w:val="16"/>
    </w:rPr>
  </w:style>
  <w:style w:type="paragraph" w:styleId="CommentText">
    <w:name w:val="annotation text"/>
    <w:basedOn w:val="Normal"/>
    <w:link w:val="CommentTextChar"/>
    <w:uiPriority w:val="99"/>
    <w:unhideWhenUsed/>
    <w:rsid w:val="00B25537"/>
    <w:pPr>
      <w:spacing w:line="240" w:lineRule="auto"/>
    </w:pPr>
    <w:rPr>
      <w:sz w:val="20"/>
      <w:szCs w:val="20"/>
    </w:rPr>
  </w:style>
  <w:style w:type="character" w:customStyle="1" w:styleId="CommentTextChar">
    <w:name w:val="Comment Text Char"/>
    <w:basedOn w:val="DefaultParagraphFont"/>
    <w:link w:val="CommentText"/>
    <w:uiPriority w:val="99"/>
    <w:rsid w:val="00B255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5537"/>
    <w:rPr>
      <w:b/>
      <w:bCs/>
    </w:rPr>
  </w:style>
  <w:style w:type="character" w:customStyle="1" w:styleId="CommentSubjectChar">
    <w:name w:val="Comment Subject Char"/>
    <w:basedOn w:val="CommentTextChar"/>
    <w:link w:val="CommentSubject"/>
    <w:uiPriority w:val="99"/>
    <w:semiHidden/>
    <w:rsid w:val="00B25537"/>
    <w:rPr>
      <w:rFonts w:ascii="Arial" w:hAnsi="Arial"/>
      <w:b/>
      <w:bCs/>
      <w:sz w:val="20"/>
      <w:szCs w:val="20"/>
    </w:rPr>
  </w:style>
  <w:style w:type="paragraph" w:styleId="Revision">
    <w:name w:val="Revision"/>
    <w:hidden/>
    <w:uiPriority w:val="99"/>
    <w:semiHidden/>
    <w:rsid w:val="00A42349"/>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002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811604253">
      <w:bodyDiv w:val="1"/>
      <w:marLeft w:val="0"/>
      <w:marRight w:val="0"/>
      <w:marTop w:val="0"/>
      <w:marBottom w:val="0"/>
      <w:divBdr>
        <w:top w:val="none" w:sz="0" w:space="0" w:color="auto"/>
        <w:left w:val="none" w:sz="0" w:space="0" w:color="auto"/>
        <w:bottom w:val="none" w:sz="0" w:space="0" w:color="auto"/>
        <w:right w:val="none" w:sz="0" w:space="0" w:color="auto"/>
      </w:divBdr>
    </w:div>
    <w:div w:id="139673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qldhrc.sharepoint.com/QHRCAssets/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rahssubs xmlns="9ce53bef-e5d1-4308-a048-986453adcb2d">
      <UserInfo>
        <DisplayName/>
        <AccountId xsi:nil="true"/>
        <AccountType/>
      </UserInfo>
    </Sarahssubs>
    <SubmissionTo xmlns="9ce53bef-e5d1-4308-a048-986453adcb2d" xsi:nil="true"/>
    <Filenumber xmlns="a9ec758c-7b29-4bbd-836f-c599af6fef2b">LP2025016A</Filenumber>
    <lcf76f155ced4ddcb4097134ff3c332f xmlns="9ce53bef-e5d1-4308-a048-986453adcb2d">
      <Terms xmlns="http://schemas.microsoft.com/office/infopath/2007/PartnerControls"/>
    </lcf76f155ced4ddcb4097134ff3c332f>
    <_dlc_DocIdUrl xmlns="a9ec758c-7b29-4bbd-836f-c599af6fef2b">
      <Url>https://qldhrc.sharepoint.com/sites/LegalResearchandPolicy/_layouts/15/DocIdRedir.aspx?ID=CS3F356C3TDS-1011335364-8234</Url>
      <Description>CS3F356C3TDS-1011335364-8234</Description>
    </_dlc_DocIdUrl>
    <_dlc_DocId xmlns="a9ec758c-7b29-4bbd-836f-c599af6fef2b">CS3F356C3TDS-1011335364-8234</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13" ma:contentTypeDescription="Create a new document." ma:contentTypeScope="" ma:versionID="cc8b8631d351c69949bf78ef296b9d35">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aee2c19fc15d505978572c06be6cbe50"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55ed63-341b-4a6d-8d92-bc71a32054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BD9C9-4CC0-4817-9F24-BD332DAA65D4}">
  <ds:schemaRefs>
    <ds:schemaRef ds:uri="http://schemas.microsoft.com/office/2006/metadata/properties"/>
    <ds:schemaRef ds:uri="http://schemas.microsoft.com/office/infopath/2007/PartnerControls"/>
    <ds:schemaRef ds:uri="9ce53bef-e5d1-4308-a048-986453adcb2d"/>
    <ds:schemaRef ds:uri="a9ec758c-7b29-4bbd-836f-c599af6fef2b"/>
  </ds:schemaRefs>
</ds:datastoreItem>
</file>

<file path=customXml/itemProps2.xml><?xml version="1.0" encoding="utf-8"?>
<ds:datastoreItem xmlns:ds="http://schemas.openxmlformats.org/officeDocument/2006/customXml" ds:itemID="{B370D15E-1774-4105-A495-809900982F9D}">
  <ds:schemaRefs>
    <ds:schemaRef ds:uri="http://schemas.microsoft.com/sharepoint/v3/contenttype/forms"/>
  </ds:schemaRefs>
</ds:datastoreItem>
</file>

<file path=customXml/itemProps3.xml><?xml version="1.0" encoding="utf-8"?>
<ds:datastoreItem xmlns:ds="http://schemas.openxmlformats.org/officeDocument/2006/customXml" ds:itemID="{B55E143E-8CF7-497F-B898-3BBA6A54E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758c-7b29-4bbd-836f-c599af6fef2b"/>
    <ds:schemaRef ds:uri="9ce53bef-e5d1-4308-a048-986453a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6CE75-256F-4FA6-AE82-BADA536FFAF6}">
  <ds:schemaRefs>
    <ds:schemaRef ds:uri="http://schemas.microsoft.com/sharepoint/events"/>
  </ds:schemaRefs>
</ds:datastoreItem>
</file>

<file path=customXml/itemProps5.xml><?xml version="1.0" encoding="utf-8"?>
<ds:datastoreItem xmlns:ds="http://schemas.openxmlformats.org/officeDocument/2006/customXml" ds:itemID="{05B872DD-1574-47E5-98DF-3915A5EF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QHRC%20submission%20template</Template>
  <TotalTime>1</TotalTime>
  <Pages>22</Pages>
  <Words>6538</Words>
  <Characters>34722</Characters>
  <DocSecurity>0</DocSecurity>
  <Lines>846</Lines>
  <Paragraphs>385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40875</CharactersWithSpaces>
  <SharedDoc>false</SharedDoc>
  <HLinks>
    <vt:vector size="60" baseType="variant">
      <vt:variant>
        <vt:i4>1441840</vt:i4>
      </vt:variant>
      <vt:variant>
        <vt:i4>56</vt:i4>
      </vt:variant>
      <vt:variant>
        <vt:i4>0</vt:i4>
      </vt:variant>
      <vt:variant>
        <vt:i4>5</vt:i4>
      </vt:variant>
      <vt:variant>
        <vt:lpwstr/>
      </vt:variant>
      <vt:variant>
        <vt:lpwstr>_Toc208387251</vt:lpwstr>
      </vt:variant>
      <vt:variant>
        <vt:i4>1441840</vt:i4>
      </vt:variant>
      <vt:variant>
        <vt:i4>50</vt:i4>
      </vt:variant>
      <vt:variant>
        <vt:i4>0</vt:i4>
      </vt:variant>
      <vt:variant>
        <vt:i4>5</vt:i4>
      </vt:variant>
      <vt:variant>
        <vt:lpwstr/>
      </vt:variant>
      <vt:variant>
        <vt:lpwstr>_Toc208387250</vt:lpwstr>
      </vt:variant>
      <vt:variant>
        <vt:i4>1507376</vt:i4>
      </vt:variant>
      <vt:variant>
        <vt:i4>44</vt:i4>
      </vt:variant>
      <vt:variant>
        <vt:i4>0</vt:i4>
      </vt:variant>
      <vt:variant>
        <vt:i4>5</vt:i4>
      </vt:variant>
      <vt:variant>
        <vt:lpwstr/>
      </vt:variant>
      <vt:variant>
        <vt:lpwstr>_Toc208387249</vt:lpwstr>
      </vt:variant>
      <vt:variant>
        <vt:i4>1507376</vt:i4>
      </vt:variant>
      <vt:variant>
        <vt:i4>38</vt:i4>
      </vt:variant>
      <vt:variant>
        <vt:i4>0</vt:i4>
      </vt:variant>
      <vt:variant>
        <vt:i4>5</vt:i4>
      </vt:variant>
      <vt:variant>
        <vt:lpwstr/>
      </vt:variant>
      <vt:variant>
        <vt:lpwstr>_Toc208387248</vt:lpwstr>
      </vt:variant>
      <vt:variant>
        <vt:i4>1507376</vt:i4>
      </vt:variant>
      <vt:variant>
        <vt:i4>32</vt:i4>
      </vt:variant>
      <vt:variant>
        <vt:i4>0</vt:i4>
      </vt:variant>
      <vt:variant>
        <vt:i4>5</vt:i4>
      </vt:variant>
      <vt:variant>
        <vt:lpwstr/>
      </vt:variant>
      <vt:variant>
        <vt:lpwstr>_Toc208387247</vt:lpwstr>
      </vt:variant>
      <vt:variant>
        <vt:i4>1507376</vt:i4>
      </vt:variant>
      <vt:variant>
        <vt:i4>26</vt:i4>
      </vt:variant>
      <vt:variant>
        <vt:i4>0</vt:i4>
      </vt:variant>
      <vt:variant>
        <vt:i4>5</vt:i4>
      </vt:variant>
      <vt:variant>
        <vt:lpwstr/>
      </vt:variant>
      <vt:variant>
        <vt:lpwstr>_Toc208387246</vt:lpwstr>
      </vt:variant>
      <vt:variant>
        <vt:i4>1507376</vt:i4>
      </vt:variant>
      <vt:variant>
        <vt:i4>20</vt:i4>
      </vt:variant>
      <vt:variant>
        <vt:i4>0</vt:i4>
      </vt:variant>
      <vt:variant>
        <vt:i4>5</vt:i4>
      </vt:variant>
      <vt:variant>
        <vt:lpwstr/>
      </vt:variant>
      <vt:variant>
        <vt:lpwstr>_Toc208387245</vt:lpwstr>
      </vt:variant>
      <vt:variant>
        <vt:i4>1507376</vt:i4>
      </vt:variant>
      <vt:variant>
        <vt:i4>14</vt:i4>
      </vt:variant>
      <vt:variant>
        <vt:i4>0</vt:i4>
      </vt:variant>
      <vt:variant>
        <vt:i4>5</vt:i4>
      </vt:variant>
      <vt:variant>
        <vt:lpwstr/>
      </vt:variant>
      <vt:variant>
        <vt:lpwstr>_Toc208387244</vt:lpwstr>
      </vt:variant>
      <vt:variant>
        <vt:i4>1507376</vt:i4>
      </vt:variant>
      <vt:variant>
        <vt:i4>8</vt:i4>
      </vt:variant>
      <vt:variant>
        <vt:i4>0</vt:i4>
      </vt:variant>
      <vt:variant>
        <vt:i4>5</vt:i4>
      </vt:variant>
      <vt:variant>
        <vt:lpwstr/>
      </vt:variant>
      <vt:variant>
        <vt:lpwstr>_Toc208387243</vt:lpwstr>
      </vt:variant>
      <vt:variant>
        <vt:i4>1507376</vt:i4>
      </vt:variant>
      <vt:variant>
        <vt:i4>2</vt:i4>
      </vt:variant>
      <vt:variant>
        <vt:i4>0</vt:i4>
      </vt:variant>
      <vt:variant>
        <vt:i4>5</vt:i4>
      </vt:variant>
      <vt:variant>
        <vt:lpwstr/>
      </vt:variant>
      <vt:variant>
        <vt:lpwstr>_Toc208387242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2025-09-23T03:55:00Z</dcterms:created>
  <dcterms:modified xsi:type="dcterms:W3CDTF">2025-09-23T03:55:00Z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_dlc_DocIdItemGuid">
    <vt:lpwstr>8263b236-8ca6-40b3-abad-732aa0d49c00</vt:lpwstr>
  </property>
  <property fmtid="{D5CDD505-2E9C-101B-9397-08002B2CF9AE}" pid="4" name="xd_ProgID">
    <vt:lpwstr/>
  </property>
  <property fmtid="{D5CDD505-2E9C-101B-9397-08002B2CF9AE}" pid="5" name="_dlc_DocId">
    <vt:lpwstr>MXEKDN6VVZUS-1035446974-35</vt:lpwstr>
  </property>
  <property fmtid="{D5CDD505-2E9C-101B-9397-08002B2CF9AE}" pid="6" name="ComplianceAssetId">
    <vt:lpwstr/>
  </property>
  <property fmtid="{D5CDD505-2E9C-101B-9397-08002B2CF9AE}" pid="7" name="TemplateUrl">
    <vt:lpwstr/>
  </property>
  <property fmtid="{D5CDD505-2E9C-101B-9397-08002B2CF9AE}" pid="8" name="DocumentType">
    <vt:lpwstr>15;#Template|aaf00d10-84d3-4180-ba8b-d16ef7e37900</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https://qldhrc.sharepoint.com/sites/CorporateServices/_layouts/15/DocIdRedir.aspx?ID=MXEKDN6VVZUS-1035446974-35, MXEKDN6VVZUS-1035446974-35</vt:lpwstr>
  </property>
  <property fmtid="{D5CDD505-2E9C-101B-9397-08002B2CF9AE}" pid="12" name="xd_Signature">
    <vt:bool>false</vt:bool>
  </property>
  <property fmtid="{D5CDD505-2E9C-101B-9397-08002B2CF9AE}" pid="13" name="Topic">
    <vt:lpwstr>23;#Communication|65eed94a-19dd-4f6d-b0b7-775f465a526c</vt:lpwstr>
  </property>
  <property fmtid="{D5CDD505-2E9C-101B-9397-08002B2CF9AE}" pid="14" name="BusinessArea">
    <vt:lpwstr>19;#Performance ＆ People|b35e691a-f004-44d8-9f7f-495e0f2916b4</vt:lpwstr>
  </property>
  <property fmtid="{D5CDD505-2E9C-101B-9397-08002B2CF9AE}" pid="15" name="Order">
    <vt:r8>4500</vt:r8>
  </property>
  <property fmtid="{D5CDD505-2E9C-101B-9397-08002B2CF9AE}" pid="16" name="o8a2670e2ee54e7ba26c3956e9c24a96">
    <vt:lpwstr>Performance ＆ People|b35e691a-f004-44d8-9f7f-495e0f2916b4</vt:lpwstr>
  </property>
  <property fmtid="{D5CDD505-2E9C-101B-9397-08002B2CF9AE}" pid="17" name="i9eb08ac34eb4f289356b6dc0053c513">
    <vt:lpwstr>Communication|65eed94a-19dd-4f6d-b0b7-775f465a526c</vt:lpwstr>
  </property>
  <property fmtid="{D5CDD505-2E9C-101B-9397-08002B2CF9AE}" pid="18" name="Owner">
    <vt:lpwstr>43;#Anh Bui</vt:lpwstr>
  </property>
  <property fmtid="{D5CDD505-2E9C-101B-9397-08002B2CF9AE}" pid="19" name="SME">
    <vt:lpwstr>10;#Kat Sekar</vt:lpwstr>
  </property>
  <property fmtid="{D5CDD505-2E9C-101B-9397-08002B2CF9AE}" pid="20" name="oa9fbd0508de436da13dc19a72853b3f">
    <vt:lpwstr>Template|aaf00d10-84d3-4180-ba8b-d16ef7e37900</vt:lpwstr>
  </property>
  <property fmtid="{D5CDD505-2E9C-101B-9397-08002B2CF9AE}" pid="21" name="TaxCatchAll">
    <vt:lpwstr>15;#Template|aaf00d10-84d3-4180-ba8b-d16ef7e37900</vt:lpwstr>
  </property>
  <property fmtid="{D5CDD505-2E9C-101B-9397-08002B2CF9AE}" pid="22" name="g18f092eaa554abcb943f50973cc4433">
    <vt:lpwstr/>
  </property>
  <property fmtid="{D5CDD505-2E9C-101B-9397-08002B2CF9AE}" pid="23" name="MediaServiceImageTags">
    <vt:lpwstr/>
  </property>
  <property fmtid="{D5CDD505-2E9C-101B-9397-08002B2CF9AE}" pid="24" name="QHRCKeywords">
    <vt:lpwstr/>
  </property>
</Properties>
</file>