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bottom w:val="single" w:sz="4" w:space="0" w:color="auto"/>
        </w:tblBorders>
        <w:tblLook w:val="04A0" w:firstRow="1" w:lastRow="0" w:firstColumn="1" w:lastColumn="0" w:noHBand="0" w:noVBand="1"/>
      </w:tblPr>
      <w:tblGrid>
        <w:gridCol w:w="9020"/>
      </w:tblGrid>
      <w:tr w:rsidR="004A2375" w:rsidRPr="00041B02" w14:paraId="5658453C" w14:textId="77777777" w:rsidTr="00260847">
        <w:trPr>
          <w:trHeight w:val="2506"/>
          <w:jc w:val="center"/>
        </w:trPr>
        <w:tc>
          <w:tcPr>
            <w:tcW w:w="5000" w:type="pct"/>
            <w:vAlign w:val="center"/>
          </w:tcPr>
          <w:p w14:paraId="2C1A33CD" w14:textId="77777777" w:rsidR="00260847" w:rsidRPr="00041B02" w:rsidRDefault="00260847" w:rsidP="005A1988">
            <w:pPr>
              <w:pStyle w:val="NoSpacing"/>
              <w:widowControl w:val="0"/>
              <w:spacing w:after="240"/>
              <w:rPr>
                <w:rFonts w:ascii="Arial" w:hAnsi="Arial" w:cs="Arial"/>
              </w:rPr>
            </w:pPr>
          </w:p>
          <w:p w14:paraId="0441FB1F" w14:textId="77777777" w:rsidR="00260847" w:rsidRPr="00041B02" w:rsidRDefault="00260847" w:rsidP="005A1988">
            <w:pPr>
              <w:pStyle w:val="NoSpacing"/>
              <w:widowControl w:val="0"/>
              <w:spacing w:after="240"/>
              <w:rPr>
                <w:rFonts w:ascii="Arial" w:hAnsi="Arial" w:cs="Arial"/>
              </w:rPr>
            </w:pPr>
          </w:p>
          <w:p w14:paraId="724B77DA" w14:textId="77777777" w:rsidR="00260847" w:rsidRPr="00041B02" w:rsidRDefault="00260847" w:rsidP="005A1988">
            <w:pPr>
              <w:pStyle w:val="NoSpacing"/>
              <w:widowControl w:val="0"/>
              <w:spacing w:after="240"/>
              <w:rPr>
                <w:rFonts w:ascii="Arial" w:hAnsi="Arial" w:cs="Arial"/>
              </w:rPr>
            </w:pPr>
          </w:p>
          <w:p w14:paraId="5441CAC0" w14:textId="77777777" w:rsidR="00260847" w:rsidRPr="00041B02" w:rsidRDefault="00260847" w:rsidP="005A1988">
            <w:pPr>
              <w:pStyle w:val="NoSpacing"/>
              <w:widowControl w:val="0"/>
              <w:spacing w:after="240"/>
              <w:rPr>
                <w:rFonts w:ascii="Arial" w:hAnsi="Arial" w:cs="Arial"/>
              </w:rPr>
            </w:pPr>
          </w:p>
          <w:p w14:paraId="7B0BF898" w14:textId="77777777" w:rsidR="00260847" w:rsidRPr="00041B02" w:rsidRDefault="00260847" w:rsidP="005A1988">
            <w:pPr>
              <w:pStyle w:val="NoSpacing"/>
              <w:widowControl w:val="0"/>
              <w:spacing w:after="240"/>
              <w:rPr>
                <w:rFonts w:ascii="Arial" w:hAnsi="Arial" w:cs="Arial"/>
              </w:rPr>
            </w:pPr>
          </w:p>
          <w:p w14:paraId="154CDF0D" w14:textId="77777777" w:rsidR="00260847" w:rsidRPr="00041B02" w:rsidRDefault="00260847" w:rsidP="005A1988">
            <w:pPr>
              <w:pStyle w:val="NoSpacing"/>
              <w:widowControl w:val="0"/>
              <w:spacing w:after="240"/>
              <w:rPr>
                <w:rFonts w:ascii="Arial" w:hAnsi="Arial" w:cs="Arial"/>
              </w:rPr>
            </w:pPr>
          </w:p>
          <w:p w14:paraId="4115A4B4" w14:textId="77777777" w:rsidR="00260847" w:rsidRPr="00041B02" w:rsidRDefault="00260847" w:rsidP="005A1988">
            <w:pPr>
              <w:pStyle w:val="NoSpacing"/>
              <w:widowControl w:val="0"/>
              <w:spacing w:after="240"/>
              <w:rPr>
                <w:rFonts w:ascii="Arial" w:hAnsi="Arial" w:cs="Arial"/>
              </w:rPr>
            </w:pPr>
            <w:r w:rsidRPr="00041B02">
              <w:rPr>
                <w:rFonts w:ascii="Arial" w:hAnsi="Arial" w:cs="Arial"/>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Pr="00041B02" w:rsidRDefault="00260847" w:rsidP="005A1988">
            <w:pPr>
              <w:pStyle w:val="NoSpacing"/>
              <w:widowControl w:val="0"/>
              <w:spacing w:after="240"/>
              <w:rPr>
                <w:rFonts w:ascii="Arial" w:hAnsi="Arial" w:cs="Arial"/>
              </w:rPr>
            </w:pPr>
          </w:p>
          <w:p w14:paraId="514D3B7A" w14:textId="77777777" w:rsidR="00260847" w:rsidRPr="00041B02" w:rsidRDefault="00260847" w:rsidP="005A1988">
            <w:pPr>
              <w:pStyle w:val="NoSpacing"/>
              <w:widowControl w:val="0"/>
              <w:spacing w:after="240"/>
              <w:rPr>
                <w:rFonts w:ascii="Arial" w:hAnsi="Arial" w:cs="Arial"/>
              </w:rPr>
            </w:pPr>
          </w:p>
          <w:p w14:paraId="1AEF9582" w14:textId="77777777" w:rsidR="00260847" w:rsidRPr="00041B02" w:rsidRDefault="00260847" w:rsidP="005A1988">
            <w:pPr>
              <w:pStyle w:val="NoSpacing"/>
              <w:widowControl w:val="0"/>
              <w:spacing w:after="240"/>
              <w:rPr>
                <w:rFonts w:ascii="Arial" w:hAnsi="Arial" w:cs="Arial"/>
              </w:rPr>
            </w:pPr>
          </w:p>
          <w:p w14:paraId="70A3C8B9" w14:textId="07CEC222" w:rsidR="004A2375" w:rsidRPr="00041B02" w:rsidRDefault="00DC161B" w:rsidP="005A1988">
            <w:pPr>
              <w:pStyle w:val="Heading1"/>
              <w:rPr>
                <w:rFonts w:cs="Arial"/>
              </w:rPr>
            </w:pPr>
            <w:r w:rsidRPr="00DC161B">
              <w:rPr>
                <w:rFonts w:eastAsiaTheme="minorEastAsia" w:cs="Arial"/>
                <w:b w:val="0"/>
                <w:bCs/>
                <w:color w:val="auto"/>
                <w:sz w:val="22"/>
                <w:szCs w:val="22"/>
              </w:rPr>
              <w:t>​​</w:t>
            </w:r>
            <w:r w:rsidRPr="00DC161B">
              <w:t>Independent review of Stage 1 and Stage 2 hormone therapies in Queensland’s public paediatrics gender services​ </w:t>
            </w:r>
            <w:bookmarkStart w:id="0" w:name="_Toc123717109"/>
            <w:bookmarkStart w:id="1" w:name="_Toc123717177"/>
            <w:bookmarkStart w:id="2" w:name="_Toc124495101"/>
            <w:bookmarkStart w:id="3" w:name="_Toc127945686"/>
            <w:bookmarkStart w:id="4" w:name="_Toc128046903"/>
            <w:bookmarkStart w:id="5" w:name="_Toc128046975"/>
            <w:bookmarkStart w:id="6" w:name="_Toc128047066"/>
            <w:bookmarkStart w:id="7" w:name="_Toc128047137"/>
            <w:bookmarkStart w:id="8" w:name="_Toc128047833"/>
            <w:bookmarkStart w:id="9" w:name="_Toc128047919"/>
            <w:bookmarkStart w:id="10" w:name="_Toc128050045"/>
            <w:bookmarkStart w:id="11" w:name="_Toc128123983"/>
            <w:bookmarkStart w:id="12" w:name="_Toc199857025"/>
            <w:bookmarkStart w:id="13" w:name="_Toc202521768"/>
            <w:bookmarkStart w:id="14" w:name="_Toc204760982"/>
            <w:sdt>
              <w:sdt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r w:rsidRPr="00DC161B">
                  <w:t xml:space="preserve">     </w:t>
                </w:r>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c>
      </w:tr>
    </w:tbl>
    <w:p w14:paraId="5DBCC84D" w14:textId="1C8330A4" w:rsidR="00260847" w:rsidRPr="00F05518" w:rsidRDefault="00260847" w:rsidP="008601BA">
      <w:pPr>
        <w:pStyle w:val="NoSpacing"/>
        <w:widowControl w:val="0"/>
        <w:spacing w:before="240" w:after="240"/>
        <w:rPr>
          <w:rFonts w:ascii="Arial" w:hAnsi="Arial" w:cs="Arial"/>
          <w:bCs/>
          <w:sz w:val="32"/>
          <w:szCs w:val="32"/>
        </w:rPr>
      </w:pPr>
      <w:r w:rsidRPr="00F05518">
        <w:rPr>
          <w:rFonts w:ascii="Arial" w:hAnsi="Arial" w:cs="Arial"/>
          <w:bCs/>
          <w:sz w:val="32"/>
          <w:szCs w:val="32"/>
        </w:rPr>
        <w:t>Submission to</w:t>
      </w:r>
      <w:r w:rsidR="003635EB">
        <w:rPr>
          <w:rFonts w:ascii="Arial" w:hAnsi="Arial" w:cs="Arial"/>
          <w:bCs/>
          <w:sz w:val="32"/>
          <w:szCs w:val="32"/>
        </w:rPr>
        <w:t xml:space="preserve"> </w:t>
      </w:r>
      <w:r w:rsidR="00F274C6">
        <w:rPr>
          <w:rFonts w:ascii="Arial" w:hAnsi="Arial" w:cs="Arial"/>
          <w:bCs/>
          <w:sz w:val="32"/>
          <w:szCs w:val="32"/>
        </w:rPr>
        <w:t xml:space="preserve">Independent Panel </w:t>
      </w:r>
    </w:p>
    <w:p w14:paraId="2A03E1AF" w14:textId="6A8BB338" w:rsidR="001D43C0" w:rsidRPr="00FA2ED8" w:rsidRDefault="00F274C6" w:rsidP="001D43C0">
      <w:pPr>
        <w:pStyle w:val="NoSpacing"/>
        <w:widowControl w:val="0"/>
        <w:spacing w:before="240" w:after="240"/>
        <w:rPr>
          <w:rFonts w:ascii="Arial" w:hAnsi="Arial" w:cs="Arial"/>
          <w:bCs/>
          <w:color w:val="004270"/>
          <w:sz w:val="28"/>
          <w:szCs w:val="28"/>
        </w:rPr>
      </w:pPr>
      <w:r>
        <w:rPr>
          <w:rFonts w:ascii="Arial" w:hAnsi="Arial" w:cs="Arial"/>
          <w:bCs/>
          <w:color w:val="004270"/>
          <w:sz w:val="28"/>
          <w:szCs w:val="28"/>
        </w:rPr>
        <w:t>29 July</w:t>
      </w:r>
      <w:r w:rsidR="003635EB">
        <w:rPr>
          <w:rFonts w:ascii="Arial" w:hAnsi="Arial" w:cs="Arial"/>
          <w:bCs/>
          <w:color w:val="004270"/>
          <w:sz w:val="28"/>
          <w:szCs w:val="28"/>
        </w:rPr>
        <w:t xml:space="preserve"> 2025</w:t>
      </w:r>
    </w:p>
    <w:p w14:paraId="3B348709" w14:textId="12352F66" w:rsidR="00293C9F" w:rsidRPr="004C7C44" w:rsidRDefault="00293C9F" w:rsidP="005A1988">
      <w:pPr>
        <w:widowControl w:val="0"/>
        <w:rPr>
          <w:rFonts w:ascii="Arial" w:eastAsiaTheme="majorEastAsia" w:hAnsi="Arial" w:cstheme="majorBidi"/>
          <w:color w:val="004270"/>
          <w:sz w:val="22"/>
          <w:szCs w:val="22"/>
        </w:rPr>
      </w:pPr>
      <w:r w:rsidRPr="00041B02">
        <w:rPr>
          <w:rFonts w:ascii="Arial" w:hAnsi="Arial" w:cs="Arial"/>
          <w:sz w:val="22"/>
          <w:szCs w:val="22"/>
        </w:rPr>
        <w:br w:type="page"/>
      </w:r>
    </w:p>
    <w:bookmarkStart w:id="15" w:name="_Toc199857026" w:displacedByCustomXml="next"/>
    <w:bookmarkStart w:id="16" w:name="_Toc202521769" w:displacedByCustomXml="next"/>
    <w:sdt>
      <w:sdtPr>
        <w:rPr>
          <w:rFonts w:asciiTheme="minorHAnsi" w:eastAsiaTheme="minorEastAsia" w:hAnsiTheme="minorHAnsi" w:cstheme="minorBidi"/>
          <w:b/>
          <w:color w:val="auto"/>
          <w:sz w:val="24"/>
          <w:szCs w:val="24"/>
          <w:lang w:val="en-GB"/>
        </w:rPr>
        <w:id w:val="724872849"/>
        <w:docPartObj>
          <w:docPartGallery w:val="Table of Contents"/>
          <w:docPartUnique/>
        </w:docPartObj>
      </w:sdtPr>
      <w:sdtEndPr>
        <w:rPr>
          <w:b w:val="0"/>
          <w:bCs/>
        </w:rPr>
      </w:sdtEndPr>
      <w:sdtContent>
        <w:p w14:paraId="7BF36C42" w14:textId="244633E3" w:rsidR="00475EC2" w:rsidRPr="00473051" w:rsidRDefault="00473051">
          <w:pPr>
            <w:pStyle w:val="TOCHeading"/>
            <w:rPr>
              <w:b/>
              <w:bCs/>
            </w:rPr>
          </w:pPr>
          <w:r w:rsidRPr="00473051">
            <w:rPr>
              <w:bCs/>
              <w:lang w:val="en-GB"/>
            </w:rPr>
            <w:t xml:space="preserve">Table of </w:t>
          </w:r>
          <w:r w:rsidR="00475EC2" w:rsidRPr="00473051">
            <w:rPr>
              <w:bCs/>
              <w:lang w:val="en-GB"/>
            </w:rPr>
            <w:t>Contents</w:t>
          </w:r>
        </w:p>
        <w:p w14:paraId="1F3EC50D" w14:textId="57F41BB4" w:rsidR="00ED0BDD" w:rsidRDefault="00ED0BDD" w:rsidP="00ED0BDD">
          <w:pPr>
            <w:pStyle w:val="TOC1"/>
            <w:rPr>
              <w:rFonts w:asciiTheme="minorHAnsi" w:hAnsiTheme="minorHAnsi"/>
              <w:noProof/>
              <w:kern w:val="2"/>
              <w:sz w:val="24"/>
              <w:lang w:eastAsia="en-AU"/>
              <w14:ligatures w14:val="standardContextual"/>
            </w:rPr>
          </w:pPr>
          <w:r>
            <w:fldChar w:fldCharType="begin"/>
          </w:r>
          <w:r>
            <w:instrText xml:space="preserve"> TOC \o "1-3" \h \z \u </w:instrText>
          </w:r>
          <w:r>
            <w:fldChar w:fldCharType="separate"/>
          </w:r>
          <w:hyperlink w:anchor="_Toc204760982" w:history="1">
            <w:r w:rsidRPr="001D3784">
              <w:rPr>
                <w:rStyle w:val="Hyperlink"/>
                <w:noProof/>
                <w:lang w:eastAsia="en-AU"/>
              </w:rPr>
              <w:t>Independent review of Stage 1 and Stage 2 hormone therapies in Queensland’s public paediatrics gender services</w:t>
            </w:r>
            <w:r>
              <w:rPr>
                <w:noProof/>
                <w:webHidden/>
              </w:rPr>
              <w:tab/>
            </w:r>
            <w:r>
              <w:rPr>
                <w:noProof/>
                <w:webHidden/>
              </w:rPr>
              <w:fldChar w:fldCharType="begin"/>
            </w:r>
            <w:r>
              <w:rPr>
                <w:noProof/>
                <w:webHidden/>
              </w:rPr>
              <w:instrText xml:space="preserve"> PAGEREF _Toc204760982 \h </w:instrText>
            </w:r>
            <w:r>
              <w:rPr>
                <w:noProof/>
                <w:webHidden/>
              </w:rPr>
            </w:r>
            <w:r>
              <w:rPr>
                <w:noProof/>
                <w:webHidden/>
              </w:rPr>
              <w:fldChar w:fldCharType="separate"/>
            </w:r>
            <w:r>
              <w:rPr>
                <w:noProof/>
                <w:webHidden/>
              </w:rPr>
              <w:t>1</w:t>
            </w:r>
            <w:r>
              <w:rPr>
                <w:noProof/>
                <w:webHidden/>
              </w:rPr>
              <w:fldChar w:fldCharType="end"/>
            </w:r>
          </w:hyperlink>
        </w:p>
        <w:p w14:paraId="461A38FF" w14:textId="4DC7FF7C" w:rsidR="00ED0BDD" w:rsidRDefault="00ED0BDD" w:rsidP="00ED0BDD">
          <w:pPr>
            <w:pStyle w:val="TOC1"/>
            <w:rPr>
              <w:rFonts w:asciiTheme="minorHAnsi" w:hAnsiTheme="minorHAnsi"/>
              <w:noProof/>
              <w:kern w:val="2"/>
              <w:sz w:val="24"/>
              <w:lang w:eastAsia="en-AU"/>
              <w14:ligatures w14:val="standardContextual"/>
            </w:rPr>
          </w:pPr>
          <w:hyperlink w:anchor="_Toc204760983" w:history="1">
            <w:r w:rsidRPr="001D3784">
              <w:rPr>
                <w:rStyle w:val="Hyperlink"/>
                <w:noProof/>
              </w:rPr>
              <w:t>Introduction</w:t>
            </w:r>
            <w:r>
              <w:rPr>
                <w:noProof/>
                <w:webHidden/>
              </w:rPr>
              <w:tab/>
            </w:r>
            <w:r>
              <w:rPr>
                <w:noProof/>
                <w:webHidden/>
              </w:rPr>
              <w:fldChar w:fldCharType="begin"/>
            </w:r>
            <w:r>
              <w:rPr>
                <w:noProof/>
                <w:webHidden/>
              </w:rPr>
              <w:instrText xml:space="preserve"> PAGEREF _Toc204760983 \h </w:instrText>
            </w:r>
            <w:r>
              <w:rPr>
                <w:noProof/>
                <w:webHidden/>
              </w:rPr>
            </w:r>
            <w:r>
              <w:rPr>
                <w:noProof/>
                <w:webHidden/>
              </w:rPr>
              <w:fldChar w:fldCharType="separate"/>
            </w:r>
            <w:r>
              <w:rPr>
                <w:noProof/>
                <w:webHidden/>
              </w:rPr>
              <w:t>3</w:t>
            </w:r>
            <w:r>
              <w:rPr>
                <w:noProof/>
                <w:webHidden/>
              </w:rPr>
              <w:fldChar w:fldCharType="end"/>
            </w:r>
          </w:hyperlink>
        </w:p>
        <w:p w14:paraId="77096E18" w14:textId="1A1B446F" w:rsidR="00ED0BDD" w:rsidRDefault="00ED0BDD" w:rsidP="00ED0BDD">
          <w:pPr>
            <w:pStyle w:val="TOC1"/>
            <w:rPr>
              <w:rFonts w:asciiTheme="minorHAnsi" w:hAnsiTheme="minorHAnsi"/>
              <w:noProof/>
              <w:kern w:val="2"/>
              <w:sz w:val="24"/>
              <w:lang w:eastAsia="en-AU"/>
              <w14:ligatures w14:val="standardContextual"/>
            </w:rPr>
          </w:pPr>
          <w:hyperlink w:anchor="_Toc204760984" w:history="1">
            <w:r w:rsidRPr="001D3784">
              <w:rPr>
                <w:rStyle w:val="Hyperlink"/>
                <w:noProof/>
              </w:rPr>
              <w:t>Question 1: What range of hormone treatments do you understand are available for gender dysphoria in children and adolescents?</w:t>
            </w:r>
            <w:r>
              <w:rPr>
                <w:noProof/>
                <w:webHidden/>
              </w:rPr>
              <w:tab/>
            </w:r>
            <w:r>
              <w:rPr>
                <w:noProof/>
                <w:webHidden/>
              </w:rPr>
              <w:fldChar w:fldCharType="begin"/>
            </w:r>
            <w:r>
              <w:rPr>
                <w:noProof/>
                <w:webHidden/>
              </w:rPr>
              <w:instrText xml:space="preserve"> PAGEREF _Toc204760984 \h </w:instrText>
            </w:r>
            <w:r>
              <w:rPr>
                <w:noProof/>
                <w:webHidden/>
              </w:rPr>
            </w:r>
            <w:r>
              <w:rPr>
                <w:noProof/>
                <w:webHidden/>
              </w:rPr>
              <w:fldChar w:fldCharType="separate"/>
            </w:r>
            <w:r>
              <w:rPr>
                <w:noProof/>
                <w:webHidden/>
              </w:rPr>
              <w:t>3</w:t>
            </w:r>
            <w:r>
              <w:rPr>
                <w:noProof/>
                <w:webHidden/>
              </w:rPr>
              <w:fldChar w:fldCharType="end"/>
            </w:r>
          </w:hyperlink>
        </w:p>
        <w:p w14:paraId="3FD1784B" w14:textId="2C69CB02" w:rsidR="00ED0BDD" w:rsidRDefault="00ED0BDD" w:rsidP="00ED0BDD">
          <w:pPr>
            <w:pStyle w:val="TOC1"/>
            <w:rPr>
              <w:rFonts w:asciiTheme="minorHAnsi" w:hAnsiTheme="minorHAnsi"/>
              <w:noProof/>
              <w:kern w:val="2"/>
              <w:sz w:val="24"/>
              <w:lang w:eastAsia="en-AU"/>
              <w14:ligatures w14:val="standardContextual"/>
            </w:rPr>
          </w:pPr>
          <w:hyperlink w:anchor="_Toc204760985" w:history="1">
            <w:r w:rsidRPr="001D3784">
              <w:rPr>
                <w:rStyle w:val="Hyperlink"/>
                <w:noProof/>
              </w:rPr>
              <w:t>Question 2: As well as the views and preferences of children and adolescents and their families, what other factors do you think a practitioner should consider when deciding whether to prescribe the following:</w:t>
            </w:r>
            <w:r>
              <w:rPr>
                <w:noProof/>
                <w:webHidden/>
              </w:rPr>
              <w:tab/>
            </w:r>
            <w:r>
              <w:rPr>
                <w:noProof/>
                <w:webHidden/>
              </w:rPr>
              <w:fldChar w:fldCharType="begin"/>
            </w:r>
            <w:r>
              <w:rPr>
                <w:noProof/>
                <w:webHidden/>
              </w:rPr>
              <w:instrText xml:space="preserve"> PAGEREF _Toc204760985 \h </w:instrText>
            </w:r>
            <w:r>
              <w:rPr>
                <w:noProof/>
                <w:webHidden/>
              </w:rPr>
            </w:r>
            <w:r>
              <w:rPr>
                <w:noProof/>
                <w:webHidden/>
              </w:rPr>
              <w:fldChar w:fldCharType="separate"/>
            </w:r>
            <w:r>
              <w:rPr>
                <w:noProof/>
                <w:webHidden/>
              </w:rPr>
              <w:t>4</w:t>
            </w:r>
            <w:r>
              <w:rPr>
                <w:noProof/>
                <w:webHidden/>
              </w:rPr>
              <w:fldChar w:fldCharType="end"/>
            </w:r>
          </w:hyperlink>
        </w:p>
        <w:p w14:paraId="6200AC89" w14:textId="4EE79B18" w:rsidR="00ED0BDD" w:rsidRDefault="00ED0BDD">
          <w:pPr>
            <w:pStyle w:val="TOC2"/>
            <w:rPr>
              <w:rFonts w:asciiTheme="minorHAnsi" w:hAnsiTheme="minorHAnsi" w:cstheme="minorBidi"/>
              <w:kern w:val="2"/>
              <w:sz w:val="24"/>
              <w:lang w:eastAsia="en-AU"/>
              <w14:ligatures w14:val="standardContextual"/>
            </w:rPr>
          </w:pPr>
          <w:hyperlink w:anchor="_Toc204760986" w:history="1">
            <w:r w:rsidRPr="001D3784">
              <w:rPr>
                <w:rStyle w:val="Hyperlink"/>
              </w:rPr>
              <w:t>Question 2a. Factors for no medication or hormone treatments?</w:t>
            </w:r>
            <w:r>
              <w:rPr>
                <w:webHidden/>
              </w:rPr>
              <w:tab/>
            </w:r>
            <w:r>
              <w:rPr>
                <w:webHidden/>
              </w:rPr>
              <w:fldChar w:fldCharType="begin"/>
            </w:r>
            <w:r>
              <w:rPr>
                <w:webHidden/>
              </w:rPr>
              <w:instrText xml:space="preserve"> PAGEREF _Toc204760986 \h </w:instrText>
            </w:r>
            <w:r>
              <w:rPr>
                <w:webHidden/>
              </w:rPr>
            </w:r>
            <w:r>
              <w:rPr>
                <w:webHidden/>
              </w:rPr>
              <w:fldChar w:fldCharType="separate"/>
            </w:r>
            <w:r>
              <w:rPr>
                <w:webHidden/>
              </w:rPr>
              <w:t>4</w:t>
            </w:r>
            <w:r>
              <w:rPr>
                <w:webHidden/>
              </w:rPr>
              <w:fldChar w:fldCharType="end"/>
            </w:r>
          </w:hyperlink>
        </w:p>
        <w:p w14:paraId="4EE7F50F" w14:textId="758EF0CB" w:rsidR="00ED0BDD" w:rsidRDefault="00ED0BDD">
          <w:pPr>
            <w:pStyle w:val="TOC2"/>
            <w:rPr>
              <w:rFonts w:asciiTheme="minorHAnsi" w:hAnsiTheme="minorHAnsi" w:cstheme="minorBidi"/>
              <w:kern w:val="2"/>
              <w:sz w:val="24"/>
              <w:lang w:eastAsia="en-AU"/>
              <w14:ligatures w14:val="standardContextual"/>
            </w:rPr>
          </w:pPr>
          <w:hyperlink w:anchor="_Toc204760987" w:history="1">
            <w:r w:rsidRPr="001D3784">
              <w:rPr>
                <w:rStyle w:val="Hyperlink"/>
              </w:rPr>
              <w:t>Question 2b. Factors for Stage 1 hormone treatment?</w:t>
            </w:r>
            <w:r>
              <w:rPr>
                <w:webHidden/>
              </w:rPr>
              <w:tab/>
            </w:r>
            <w:r>
              <w:rPr>
                <w:webHidden/>
              </w:rPr>
              <w:fldChar w:fldCharType="begin"/>
            </w:r>
            <w:r>
              <w:rPr>
                <w:webHidden/>
              </w:rPr>
              <w:instrText xml:space="preserve"> PAGEREF _Toc204760987 \h </w:instrText>
            </w:r>
            <w:r>
              <w:rPr>
                <w:webHidden/>
              </w:rPr>
            </w:r>
            <w:r>
              <w:rPr>
                <w:webHidden/>
              </w:rPr>
              <w:fldChar w:fldCharType="separate"/>
            </w:r>
            <w:r>
              <w:rPr>
                <w:webHidden/>
              </w:rPr>
              <w:t>5</w:t>
            </w:r>
            <w:r>
              <w:rPr>
                <w:webHidden/>
              </w:rPr>
              <w:fldChar w:fldCharType="end"/>
            </w:r>
          </w:hyperlink>
        </w:p>
        <w:p w14:paraId="33B132DE" w14:textId="4ECDDBD6" w:rsidR="00ED0BDD" w:rsidRDefault="00ED0BDD">
          <w:pPr>
            <w:pStyle w:val="TOC2"/>
            <w:rPr>
              <w:rFonts w:asciiTheme="minorHAnsi" w:hAnsiTheme="minorHAnsi" w:cstheme="minorBidi"/>
              <w:kern w:val="2"/>
              <w:sz w:val="24"/>
              <w:lang w:eastAsia="en-AU"/>
              <w14:ligatures w14:val="standardContextual"/>
            </w:rPr>
          </w:pPr>
          <w:hyperlink w:anchor="_Toc204760988" w:history="1">
            <w:r w:rsidRPr="001D3784">
              <w:rPr>
                <w:rStyle w:val="Hyperlink"/>
              </w:rPr>
              <w:t>Question 2c. Factors for Stage 2 hormone treatment?</w:t>
            </w:r>
            <w:r>
              <w:rPr>
                <w:webHidden/>
              </w:rPr>
              <w:tab/>
            </w:r>
            <w:r>
              <w:rPr>
                <w:webHidden/>
              </w:rPr>
              <w:fldChar w:fldCharType="begin"/>
            </w:r>
            <w:r>
              <w:rPr>
                <w:webHidden/>
              </w:rPr>
              <w:instrText xml:space="preserve"> PAGEREF _Toc204760988 \h </w:instrText>
            </w:r>
            <w:r>
              <w:rPr>
                <w:webHidden/>
              </w:rPr>
            </w:r>
            <w:r>
              <w:rPr>
                <w:webHidden/>
              </w:rPr>
              <w:fldChar w:fldCharType="separate"/>
            </w:r>
            <w:r>
              <w:rPr>
                <w:webHidden/>
              </w:rPr>
              <w:t>5</w:t>
            </w:r>
            <w:r>
              <w:rPr>
                <w:webHidden/>
              </w:rPr>
              <w:fldChar w:fldCharType="end"/>
            </w:r>
          </w:hyperlink>
        </w:p>
        <w:p w14:paraId="2FF93023" w14:textId="656CCEE0" w:rsidR="00ED0BDD" w:rsidRDefault="00ED0BDD">
          <w:pPr>
            <w:pStyle w:val="TOC2"/>
            <w:rPr>
              <w:rFonts w:asciiTheme="minorHAnsi" w:hAnsiTheme="minorHAnsi" w:cstheme="minorBidi"/>
              <w:kern w:val="2"/>
              <w:sz w:val="24"/>
              <w:lang w:eastAsia="en-AU"/>
              <w14:ligatures w14:val="standardContextual"/>
            </w:rPr>
          </w:pPr>
          <w:hyperlink w:anchor="_Toc204760989" w:history="1">
            <w:r w:rsidRPr="001D3784">
              <w:rPr>
                <w:rStyle w:val="Hyperlink"/>
              </w:rPr>
              <w:t>Question 2d. Factors for other treatment options?</w:t>
            </w:r>
            <w:r>
              <w:rPr>
                <w:webHidden/>
              </w:rPr>
              <w:tab/>
            </w:r>
            <w:r>
              <w:rPr>
                <w:webHidden/>
              </w:rPr>
              <w:fldChar w:fldCharType="begin"/>
            </w:r>
            <w:r>
              <w:rPr>
                <w:webHidden/>
              </w:rPr>
              <w:instrText xml:space="preserve"> PAGEREF _Toc204760989 \h </w:instrText>
            </w:r>
            <w:r>
              <w:rPr>
                <w:webHidden/>
              </w:rPr>
            </w:r>
            <w:r>
              <w:rPr>
                <w:webHidden/>
              </w:rPr>
              <w:fldChar w:fldCharType="separate"/>
            </w:r>
            <w:r>
              <w:rPr>
                <w:webHidden/>
              </w:rPr>
              <w:t>5</w:t>
            </w:r>
            <w:r>
              <w:rPr>
                <w:webHidden/>
              </w:rPr>
              <w:fldChar w:fldCharType="end"/>
            </w:r>
          </w:hyperlink>
        </w:p>
        <w:p w14:paraId="05B87F1E" w14:textId="0AA7A681" w:rsidR="00ED0BDD" w:rsidRDefault="00ED0BDD" w:rsidP="00ED0BDD">
          <w:pPr>
            <w:pStyle w:val="TOC1"/>
            <w:rPr>
              <w:rFonts w:asciiTheme="minorHAnsi" w:hAnsiTheme="minorHAnsi"/>
              <w:noProof/>
              <w:kern w:val="2"/>
              <w:sz w:val="24"/>
              <w:lang w:eastAsia="en-AU"/>
              <w14:ligatures w14:val="standardContextual"/>
            </w:rPr>
          </w:pPr>
          <w:hyperlink w:anchor="_Toc204760990" w:history="1">
            <w:r w:rsidRPr="001D3784">
              <w:rPr>
                <w:rStyle w:val="Hyperlink"/>
                <w:noProof/>
              </w:rPr>
              <w:t>Question 3. Concerns have been raised about reversibility or irreversibility of hormone treatment. Do you have concerns about this for:</w:t>
            </w:r>
            <w:r>
              <w:rPr>
                <w:noProof/>
                <w:webHidden/>
              </w:rPr>
              <w:tab/>
            </w:r>
            <w:r>
              <w:rPr>
                <w:noProof/>
                <w:webHidden/>
              </w:rPr>
              <w:fldChar w:fldCharType="begin"/>
            </w:r>
            <w:r>
              <w:rPr>
                <w:noProof/>
                <w:webHidden/>
              </w:rPr>
              <w:instrText xml:space="preserve"> PAGEREF _Toc204760990 \h </w:instrText>
            </w:r>
            <w:r>
              <w:rPr>
                <w:noProof/>
                <w:webHidden/>
              </w:rPr>
            </w:r>
            <w:r>
              <w:rPr>
                <w:noProof/>
                <w:webHidden/>
              </w:rPr>
              <w:fldChar w:fldCharType="separate"/>
            </w:r>
            <w:r>
              <w:rPr>
                <w:noProof/>
                <w:webHidden/>
              </w:rPr>
              <w:t>6</w:t>
            </w:r>
            <w:r>
              <w:rPr>
                <w:noProof/>
                <w:webHidden/>
              </w:rPr>
              <w:fldChar w:fldCharType="end"/>
            </w:r>
          </w:hyperlink>
        </w:p>
        <w:p w14:paraId="11F1518E" w14:textId="35D3E57E" w:rsidR="00ED0BDD" w:rsidRDefault="00ED0BDD">
          <w:pPr>
            <w:pStyle w:val="TOC2"/>
            <w:rPr>
              <w:rFonts w:asciiTheme="minorHAnsi" w:hAnsiTheme="minorHAnsi" w:cstheme="minorBidi"/>
              <w:kern w:val="2"/>
              <w:sz w:val="24"/>
              <w:lang w:eastAsia="en-AU"/>
              <w14:ligatures w14:val="standardContextual"/>
            </w:rPr>
          </w:pPr>
          <w:hyperlink w:anchor="_Toc204760991" w:history="1">
            <w:r w:rsidRPr="001D3784">
              <w:rPr>
                <w:rStyle w:val="Hyperlink"/>
              </w:rPr>
              <w:t>Question 3a. Concerns for Stage 1 hormone treatment?</w:t>
            </w:r>
            <w:r>
              <w:rPr>
                <w:webHidden/>
              </w:rPr>
              <w:tab/>
            </w:r>
            <w:r>
              <w:rPr>
                <w:webHidden/>
              </w:rPr>
              <w:fldChar w:fldCharType="begin"/>
            </w:r>
            <w:r>
              <w:rPr>
                <w:webHidden/>
              </w:rPr>
              <w:instrText xml:space="preserve"> PAGEREF _Toc204760991 \h </w:instrText>
            </w:r>
            <w:r>
              <w:rPr>
                <w:webHidden/>
              </w:rPr>
            </w:r>
            <w:r>
              <w:rPr>
                <w:webHidden/>
              </w:rPr>
              <w:fldChar w:fldCharType="separate"/>
            </w:r>
            <w:r>
              <w:rPr>
                <w:webHidden/>
              </w:rPr>
              <w:t>6</w:t>
            </w:r>
            <w:r>
              <w:rPr>
                <w:webHidden/>
              </w:rPr>
              <w:fldChar w:fldCharType="end"/>
            </w:r>
          </w:hyperlink>
        </w:p>
        <w:p w14:paraId="71D27C24" w14:textId="374AD253" w:rsidR="00ED0BDD" w:rsidRDefault="00ED0BDD">
          <w:pPr>
            <w:pStyle w:val="TOC2"/>
            <w:rPr>
              <w:rFonts w:asciiTheme="minorHAnsi" w:hAnsiTheme="minorHAnsi" w:cstheme="minorBidi"/>
              <w:kern w:val="2"/>
              <w:sz w:val="24"/>
              <w:lang w:eastAsia="en-AU"/>
              <w14:ligatures w14:val="standardContextual"/>
            </w:rPr>
          </w:pPr>
          <w:hyperlink w:anchor="_Toc204760992" w:history="1">
            <w:r w:rsidRPr="001D3784">
              <w:rPr>
                <w:rStyle w:val="Hyperlink"/>
              </w:rPr>
              <w:t>Question 3b. Concerns for Stage 2 hormone treatment?</w:t>
            </w:r>
            <w:r>
              <w:rPr>
                <w:webHidden/>
              </w:rPr>
              <w:tab/>
            </w:r>
            <w:r>
              <w:rPr>
                <w:webHidden/>
              </w:rPr>
              <w:fldChar w:fldCharType="begin"/>
            </w:r>
            <w:r>
              <w:rPr>
                <w:webHidden/>
              </w:rPr>
              <w:instrText xml:space="preserve"> PAGEREF _Toc204760992 \h </w:instrText>
            </w:r>
            <w:r>
              <w:rPr>
                <w:webHidden/>
              </w:rPr>
            </w:r>
            <w:r>
              <w:rPr>
                <w:webHidden/>
              </w:rPr>
              <w:fldChar w:fldCharType="separate"/>
            </w:r>
            <w:r>
              <w:rPr>
                <w:webHidden/>
              </w:rPr>
              <w:t>7</w:t>
            </w:r>
            <w:r>
              <w:rPr>
                <w:webHidden/>
              </w:rPr>
              <w:fldChar w:fldCharType="end"/>
            </w:r>
          </w:hyperlink>
        </w:p>
        <w:p w14:paraId="32F15CD3" w14:textId="06A2C43D" w:rsidR="00ED0BDD" w:rsidRDefault="00ED0BDD">
          <w:pPr>
            <w:pStyle w:val="TOC2"/>
            <w:rPr>
              <w:rFonts w:asciiTheme="minorHAnsi" w:hAnsiTheme="minorHAnsi" w:cstheme="minorBidi"/>
              <w:kern w:val="2"/>
              <w:sz w:val="24"/>
              <w:lang w:eastAsia="en-AU"/>
              <w14:ligatures w14:val="standardContextual"/>
            </w:rPr>
          </w:pPr>
          <w:hyperlink w:anchor="_Toc204760993" w:history="1">
            <w:r w:rsidRPr="001D3784">
              <w:rPr>
                <w:rStyle w:val="Hyperlink"/>
              </w:rPr>
              <w:t>Questions 3c. What are they?</w:t>
            </w:r>
            <w:r>
              <w:rPr>
                <w:webHidden/>
              </w:rPr>
              <w:tab/>
            </w:r>
            <w:r>
              <w:rPr>
                <w:webHidden/>
              </w:rPr>
              <w:fldChar w:fldCharType="begin"/>
            </w:r>
            <w:r>
              <w:rPr>
                <w:webHidden/>
              </w:rPr>
              <w:instrText xml:space="preserve"> PAGEREF _Toc204760993 \h </w:instrText>
            </w:r>
            <w:r>
              <w:rPr>
                <w:webHidden/>
              </w:rPr>
            </w:r>
            <w:r>
              <w:rPr>
                <w:webHidden/>
              </w:rPr>
              <w:fldChar w:fldCharType="separate"/>
            </w:r>
            <w:r>
              <w:rPr>
                <w:webHidden/>
              </w:rPr>
              <w:t>7</w:t>
            </w:r>
            <w:r>
              <w:rPr>
                <w:webHidden/>
              </w:rPr>
              <w:fldChar w:fldCharType="end"/>
            </w:r>
          </w:hyperlink>
        </w:p>
        <w:p w14:paraId="7082EC48" w14:textId="4A8174C7" w:rsidR="00ED0BDD" w:rsidRDefault="00ED0BDD" w:rsidP="00ED0BDD">
          <w:pPr>
            <w:pStyle w:val="TOC1"/>
            <w:rPr>
              <w:rFonts w:asciiTheme="minorHAnsi" w:hAnsiTheme="minorHAnsi"/>
              <w:noProof/>
              <w:kern w:val="2"/>
              <w:sz w:val="24"/>
              <w:lang w:eastAsia="en-AU"/>
              <w14:ligatures w14:val="standardContextual"/>
            </w:rPr>
          </w:pPr>
          <w:hyperlink w:anchor="_Toc204760994" w:history="1">
            <w:r w:rsidRPr="001D3784">
              <w:rPr>
                <w:rStyle w:val="Hyperlink"/>
                <w:noProof/>
              </w:rPr>
              <w:t>Question 4: Do you have any other concerns about the impacts of Stage 1 and/or Stage 2 hormone treatments for children and adolescents in the short, medium and/or long term?</w:t>
            </w:r>
            <w:r>
              <w:rPr>
                <w:noProof/>
                <w:webHidden/>
              </w:rPr>
              <w:tab/>
            </w:r>
            <w:r>
              <w:rPr>
                <w:noProof/>
                <w:webHidden/>
              </w:rPr>
              <w:fldChar w:fldCharType="begin"/>
            </w:r>
            <w:r>
              <w:rPr>
                <w:noProof/>
                <w:webHidden/>
              </w:rPr>
              <w:instrText xml:space="preserve"> PAGEREF _Toc204760994 \h </w:instrText>
            </w:r>
            <w:r>
              <w:rPr>
                <w:noProof/>
                <w:webHidden/>
              </w:rPr>
            </w:r>
            <w:r>
              <w:rPr>
                <w:noProof/>
                <w:webHidden/>
              </w:rPr>
              <w:fldChar w:fldCharType="separate"/>
            </w:r>
            <w:r>
              <w:rPr>
                <w:noProof/>
                <w:webHidden/>
              </w:rPr>
              <w:t>7</w:t>
            </w:r>
            <w:r>
              <w:rPr>
                <w:noProof/>
                <w:webHidden/>
              </w:rPr>
              <w:fldChar w:fldCharType="end"/>
            </w:r>
          </w:hyperlink>
        </w:p>
        <w:p w14:paraId="69AF79FE" w14:textId="6D6559E4" w:rsidR="00ED0BDD" w:rsidRDefault="00ED0BDD" w:rsidP="00ED0BDD">
          <w:pPr>
            <w:pStyle w:val="TOC1"/>
            <w:rPr>
              <w:rFonts w:asciiTheme="minorHAnsi" w:hAnsiTheme="minorHAnsi"/>
              <w:noProof/>
              <w:kern w:val="2"/>
              <w:sz w:val="24"/>
              <w:lang w:eastAsia="en-AU"/>
              <w14:ligatures w14:val="standardContextual"/>
            </w:rPr>
          </w:pPr>
          <w:hyperlink w:anchor="_Toc204760995" w:history="1">
            <w:r w:rsidRPr="001D3784">
              <w:rPr>
                <w:rStyle w:val="Hyperlink"/>
                <w:noProof/>
              </w:rPr>
              <w:t>Question 5: How much information about the short, medium and/or long-term risks and/or benefits of Stage 1 and Stage 2 hormone treatment do you think a treating team should provide to a child or adolescent (and/or their parent or carer) before commencing treatment?</w:t>
            </w:r>
            <w:r>
              <w:rPr>
                <w:noProof/>
                <w:webHidden/>
              </w:rPr>
              <w:tab/>
            </w:r>
            <w:r>
              <w:rPr>
                <w:noProof/>
                <w:webHidden/>
              </w:rPr>
              <w:fldChar w:fldCharType="begin"/>
            </w:r>
            <w:r>
              <w:rPr>
                <w:noProof/>
                <w:webHidden/>
              </w:rPr>
              <w:instrText xml:space="preserve"> PAGEREF _Toc204760995 \h </w:instrText>
            </w:r>
            <w:r>
              <w:rPr>
                <w:noProof/>
                <w:webHidden/>
              </w:rPr>
            </w:r>
            <w:r>
              <w:rPr>
                <w:noProof/>
                <w:webHidden/>
              </w:rPr>
              <w:fldChar w:fldCharType="separate"/>
            </w:r>
            <w:r>
              <w:rPr>
                <w:noProof/>
                <w:webHidden/>
              </w:rPr>
              <w:t>9</w:t>
            </w:r>
            <w:r>
              <w:rPr>
                <w:noProof/>
                <w:webHidden/>
              </w:rPr>
              <w:fldChar w:fldCharType="end"/>
            </w:r>
          </w:hyperlink>
        </w:p>
        <w:p w14:paraId="0BE7FE96" w14:textId="192B2C9F" w:rsidR="00ED0BDD" w:rsidRDefault="00ED0BDD" w:rsidP="00ED0BDD">
          <w:pPr>
            <w:pStyle w:val="TOC1"/>
            <w:rPr>
              <w:rFonts w:asciiTheme="minorHAnsi" w:hAnsiTheme="minorHAnsi"/>
              <w:noProof/>
              <w:kern w:val="2"/>
              <w:sz w:val="24"/>
              <w:lang w:eastAsia="en-AU"/>
              <w14:ligatures w14:val="standardContextual"/>
            </w:rPr>
          </w:pPr>
          <w:hyperlink w:anchor="_Toc204760996" w:history="1">
            <w:r w:rsidRPr="001D3784">
              <w:rPr>
                <w:rStyle w:val="Hyperlink"/>
                <w:noProof/>
              </w:rPr>
              <w:t>Question 6: How would a treating team know that a child or adolescent (and/or their parent or carer) has understood the information given to them about those risks and/or benefits?</w:t>
            </w:r>
            <w:r>
              <w:rPr>
                <w:noProof/>
                <w:webHidden/>
              </w:rPr>
              <w:tab/>
            </w:r>
            <w:r>
              <w:rPr>
                <w:noProof/>
                <w:webHidden/>
              </w:rPr>
              <w:fldChar w:fldCharType="begin"/>
            </w:r>
            <w:r>
              <w:rPr>
                <w:noProof/>
                <w:webHidden/>
              </w:rPr>
              <w:instrText xml:space="preserve"> PAGEREF _Toc204760996 \h </w:instrText>
            </w:r>
            <w:r>
              <w:rPr>
                <w:noProof/>
                <w:webHidden/>
              </w:rPr>
            </w:r>
            <w:r>
              <w:rPr>
                <w:noProof/>
                <w:webHidden/>
              </w:rPr>
              <w:fldChar w:fldCharType="separate"/>
            </w:r>
            <w:r>
              <w:rPr>
                <w:noProof/>
                <w:webHidden/>
              </w:rPr>
              <w:t>11</w:t>
            </w:r>
            <w:r>
              <w:rPr>
                <w:noProof/>
                <w:webHidden/>
              </w:rPr>
              <w:fldChar w:fldCharType="end"/>
            </w:r>
          </w:hyperlink>
        </w:p>
        <w:p w14:paraId="5E1E76E3" w14:textId="5939B32B" w:rsidR="00ED0BDD" w:rsidRDefault="00ED0BDD" w:rsidP="00ED0BDD">
          <w:pPr>
            <w:pStyle w:val="TOC1"/>
            <w:rPr>
              <w:rFonts w:asciiTheme="minorHAnsi" w:hAnsiTheme="minorHAnsi"/>
              <w:noProof/>
              <w:kern w:val="2"/>
              <w:sz w:val="24"/>
              <w:lang w:eastAsia="en-AU"/>
              <w14:ligatures w14:val="standardContextual"/>
            </w:rPr>
          </w:pPr>
          <w:hyperlink w:anchor="_Toc204760997" w:history="1">
            <w:r w:rsidRPr="001D3784">
              <w:rPr>
                <w:rStyle w:val="Hyperlink"/>
                <w:noProof/>
              </w:rPr>
              <w:t>Question 7: In your view, are there areas of current practice relating to Stage 1 and/or Stage 2 hormone treatment for children and adolescents that lack sufficient evidence?</w:t>
            </w:r>
            <w:r>
              <w:rPr>
                <w:noProof/>
                <w:webHidden/>
              </w:rPr>
              <w:tab/>
            </w:r>
            <w:r>
              <w:rPr>
                <w:noProof/>
                <w:webHidden/>
              </w:rPr>
              <w:fldChar w:fldCharType="begin"/>
            </w:r>
            <w:r>
              <w:rPr>
                <w:noProof/>
                <w:webHidden/>
              </w:rPr>
              <w:instrText xml:space="preserve"> PAGEREF _Toc204760997 \h </w:instrText>
            </w:r>
            <w:r>
              <w:rPr>
                <w:noProof/>
                <w:webHidden/>
              </w:rPr>
            </w:r>
            <w:r>
              <w:rPr>
                <w:noProof/>
                <w:webHidden/>
              </w:rPr>
              <w:fldChar w:fldCharType="separate"/>
            </w:r>
            <w:r>
              <w:rPr>
                <w:noProof/>
                <w:webHidden/>
              </w:rPr>
              <w:t>11</w:t>
            </w:r>
            <w:r>
              <w:rPr>
                <w:noProof/>
                <w:webHidden/>
              </w:rPr>
              <w:fldChar w:fldCharType="end"/>
            </w:r>
          </w:hyperlink>
        </w:p>
        <w:p w14:paraId="51C3DDB9" w14:textId="042A19DC" w:rsidR="00ED0BDD" w:rsidRDefault="00ED0BDD">
          <w:pPr>
            <w:pStyle w:val="TOC2"/>
            <w:rPr>
              <w:rFonts w:asciiTheme="minorHAnsi" w:hAnsiTheme="minorHAnsi" w:cstheme="minorBidi"/>
              <w:kern w:val="2"/>
              <w:sz w:val="24"/>
              <w:lang w:eastAsia="en-AU"/>
              <w14:ligatures w14:val="standardContextual"/>
            </w:rPr>
          </w:pPr>
          <w:hyperlink w:anchor="_Toc204760998" w:history="1">
            <w:r w:rsidRPr="001D3784">
              <w:rPr>
                <w:rStyle w:val="Hyperlink"/>
              </w:rPr>
              <w:t>Question 7a: If so, what is the impact of the evidence gap on clinical care?</w:t>
            </w:r>
            <w:r>
              <w:rPr>
                <w:webHidden/>
              </w:rPr>
              <w:tab/>
            </w:r>
            <w:r>
              <w:rPr>
                <w:webHidden/>
              </w:rPr>
              <w:fldChar w:fldCharType="begin"/>
            </w:r>
            <w:r>
              <w:rPr>
                <w:webHidden/>
              </w:rPr>
              <w:instrText xml:space="preserve"> PAGEREF _Toc204760998 \h </w:instrText>
            </w:r>
            <w:r>
              <w:rPr>
                <w:webHidden/>
              </w:rPr>
            </w:r>
            <w:r>
              <w:rPr>
                <w:webHidden/>
              </w:rPr>
              <w:fldChar w:fldCharType="separate"/>
            </w:r>
            <w:r>
              <w:rPr>
                <w:webHidden/>
              </w:rPr>
              <w:t>11</w:t>
            </w:r>
            <w:r>
              <w:rPr>
                <w:webHidden/>
              </w:rPr>
              <w:fldChar w:fldCharType="end"/>
            </w:r>
          </w:hyperlink>
        </w:p>
        <w:p w14:paraId="621DD454" w14:textId="43587210" w:rsidR="00ED0BDD" w:rsidRDefault="00ED0BDD">
          <w:pPr>
            <w:pStyle w:val="TOC2"/>
            <w:rPr>
              <w:rFonts w:asciiTheme="minorHAnsi" w:hAnsiTheme="minorHAnsi" w:cstheme="minorBidi"/>
              <w:kern w:val="2"/>
              <w:sz w:val="24"/>
              <w:lang w:eastAsia="en-AU"/>
              <w14:ligatures w14:val="standardContextual"/>
            </w:rPr>
          </w:pPr>
          <w:hyperlink w:anchor="_Toc204760999" w:history="1">
            <w:r w:rsidRPr="001D3784">
              <w:rPr>
                <w:rStyle w:val="Hyperlink"/>
              </w:rPr>
              <w:t>Question 7b: What questions do you think further research should address?</w:t>
            </w:r>
            <w:r>
              <w:rPr>
                <w:webHidden/>
              </w:rPr>
              <w:tab/>
            </w:r>
            <w:r>
              <w:rPr>
                <w:webHidden/>
              </w:rPr>
              <w:fldChar w:fldCharType="begin"/>
            </w:r>
            <w:r>
              <w:rPr>
                <w:webHidden/>
              </w:rPr>
              <w:instrText xml:space="preserve"> PAGEREF _Toc204760999 \h </w:instrText>
            </w:r>
            <w:r>
              <w:rPr>
                <w:webHidden/>
              </w:rPr>
            </w:r>
            <w:r>
              <w:rPr>
                <w:webHidden/>
              </w:rPr>
              <w:fldChar w:fldCharType="separate"/>
            </w:r>
            <w:r>
              <w:rPr>
                <w:webHidden/>
              </w:rPr>
              <w:t>13</w:t>
            </w:r>
            <w:r>
              <w:rPr>
                <w:webHidden/>
              </w:rPr>
              <w:fldChar w:fldCharType="end"/>
            </w:r>
          </w:hyperlink>
        </w:p>
        <w:p w14:paraId="2D67775A" w14:textId="6C71AB2D" w:rsidR="00ED0BDD" w:rsidRDefault="00ED0BDD" w:rsidP="00ED0BDD">
          <w:pPr>
            <w:pStyle w:val="TOC1"/>
            <w:rPr>
              <w:rFonts w:asciiTheme="minorHAnsi" w:hAnsiTheme="minorHAnsi"/>
              <w:noProof/>
              <w:kern w:val="2"/>
              <w:sz w:val="24"/>
              <w:lang w:eastAsia="en-AU"/>
              <w14:ligatures w14:val="standardContextual"/>
            </w:rPr>
          </w:pPr>
          <w:hyperlink w:anchor="_Toc204761000" w:history="1">
            <w:r w:rsidRPr="001D3784">
              <w:rPr>
                <w:rStyle w:val="Hyperlink"/>
                <w:noProof/>
              </w:rPr>
              <w:t>Question 8: Do you think this area of care has appropriate:</w:t>
            </w:r>
            <w:r>
              <w:rPr>
                <w:noProof/>
                <w:webHidden/>
              </w:rPr>
              <w:tab/>
            </w:r>
            <w:r>
              <w:rPr>
                <w:noProof/>
                <w:webHidden/>
              </w:rPr>
              <w:fldChar w:fldCharType="begin"/>
            </w:r>
            <w:r>
              <w:rPr>
                <w:noProof/>
                <w:webHidden/>
              </w:rPr>
              <w:instrText xml:space="preserve"> PAGEREF _Toc204761000 \h </w:instrText>
            </w:r>
            <w:r>
              <w:rPr>
                <w:noProof/>
                <w:webHidden/>
              </w:rPr>
            </w:r>
            <w:r>
              <w:rPr>
                <w:noProof/>
                <w:webHidden/>
              </w:rPr>
              <w:fldChar w:fldCharType="separate"/>
            </w:r>
            <w:r>
              <w:rPr>
                <w:noProof/>
                <w:webHidden/>
              </w:rPr>
              <w:t>13</w:t>
            </w:r>
            <w:r>
              <w:rPr>
                <w:noProof/>
                <w:webHidden/>
              </w:rPr>
              <w:fldChar w:fldCharType="end"/>
            </w:r>
          </w:hyperlink>
        </w:p>
        <w:p w14:paraId="755A938E" w14:textId="02067E52" w:rsidR="00ED0BDD" w:rsidRDefault="00ED0BDD">
          <w:pPr>
            <w:pStyle w:val="TOC2"/>
            <w:rPr>
              <w:rFonts w:asciiTheme="minorHAnsi" w:hAnsiTheme="minorHAnsi" w:cstheme="minorBidi"/>
              <w:kern w:val="2"/>
              <w:sz w:val="24"/>
              <w:lang w:eastAsia="en-AU"/>
              <w14:ligatures w14:val="standardContextual"/>
            </w:rPr>
          </w:pPr>
          <w:hyperlink w:anchor="_Toc204761001" w:history="1">
            <w:r w:rsidRPr="001D3784">
              <w:rPr>
                <w:rStyle w:val="Hyperlink"/>
              </w:rPr>
              <w:t>Question 8a: clinical oversight?</w:t>
            </w:r>
            <w:r>
              <w:rPr>
                <w:webHidden/>
              </w:rPr>
              <w:tab/>
            </w:r>
            <w:r>
              <w:rPr>
                <w:webHidden/>
              </w:rPr>
              <w:fldChar w:fldCharType="begin"/>
            </w:r>
            <w:r>
              <w:rPr>
                <w:webHidden/>
              </w:rPr>
              <w:instrText xml:space="preserve"> PAGEREF _Toc204761001 \h </w:instrText>
            </w:r>
            <w:r>
              <w:rPr>
                <w:webHidden/>
              </w:rPr>
            </w:r>
            <w:r>
              <w:rPr>
                <w:webHidden/>
              </w:rPr>
              <w:fldChar w:fldCharType="separate"/>
            </w:r>
            <w:r>
              <w:rPr>
                <w:webHidden/>
              </w:rPr>
              <w:t>13</w:t>
            </w:r>
            <w:r>
              <w:rPr>
                <w:webHidden/>
              </w:rPr>
              <w:fldChar w:fldCharType="end"/>
            </w:r>
          </w:hyperlink>
        </w:p>
        <w:p w14:paraId="2EDBA2F3" w14:textId="0BCC8568" w:rsidR="00ED0BDD" w:rsidRDefault="00ED0BDD">
          <w:pPr>
            <w:pStyle w:val="TOC2"/>
            <w:rPr>
              <w:rFonts w:asciiTheme="minorHAnsi" w:hAnsiTheme="minorHAnsi" w:cstheme="minorBidi"/>
              <w:kern w:val="2"/>
              <w:sz w:val="24"/>
              <w:lang w:eastAsia="en-AU"/>
              <w14:ligatures w14:val="standardContextual"/>
            </w:rPr>
          </w:pPr>
          <w:hyperlink w:anchor="_Toc204761002" w:history="1">
            <w:r w:rsidRPr="001D3784">
              <w:rPr>
                <w:rStyle w:val="Hyperlink"/>
              </w:rPr>
              <w:t>Question 8b: governance oversight?</w:t>
            </w:r>
            <w:r>
              <w:rPr>
                <w:webHidden/>
              </w:rPr>
              <w:tab/>
            </w:r>
            <w:r>
              <w:rPr>
                <w:webHidden/>
              </w:rPr>
              <w:fldChar w:fldCharType="begin"/>
            </w:r>
            <w:r>
              <w:rPr>
                <w:webHidden/>
              </w:rPr>
              <w:instrText xml:space="preserve"> PAGEREF _Toc204761002 \h </w:instrText>
            </w:r>
            <w:r>
              <w:rPr>
                <w:webHidden/>
              </w:rPr>
            </w:r>
            <w:r>
              <w:rPr>
                <w:webHidden/>
              </w:rPr>
              <w:fldChar w:fldCharType="separate"/>
            </w:r>
            <w:r>
              <w:rPr>
                <w:webHidden/>
              </w:rPr>
              <w:t>14</w:t>
            </w:r>
            <w:r>
              <w:rPr>
                <w:webHidden/>
              </w:rPr>
              <w:fldChar w:fldCharType="end"/>
            </w:r>
          </w:hyperlink>
        </w:p>
        <w:p w14:paraId="3B072190" w14:textId="274B815F" w:rsidR="00ED0BDD" w:rsidRDefault="00ED0BDD">
          <w:pPr>
            <w:pStyle w:val="TOC2"/>
            <w:rPr>
              <w:rFonts w:asciiTheme="minorHAnsi" w:hAnsiTheme="minorHAnsi" w:cstheme="minorBidi"/>
              <w:kern w:val="2"/>
              <w:sz w:val="24"/>
              <w:lang w:eastAsia="en-AU"/>
              <w14:ligatures w14:val="standardContextual"/>
            </w:rPr>
          </w:pPr>
          <w:hyperlink w:anchor="_Toc204761003" w:history="1">
            <w:r w:rsidRPr="001D3784">
              <w:rPr>
                <w:rStyle w:val="Hyperlink"/>
              </w:rPr>
              <w:t>Question 8c: regulatory oversight?</w:t>
            </w:r>
            <w:r>
              <w:rPr>
                <w:webHidden/>
              </w:rPr>
              <w:tab/>
            </w:r>
            <w:r>
              <w:rPr>
                <w:webHidden/>
              </w:rPr>
              <w:fldChar w:fldCharType="begin"/>
            </w:r>
            <w:r>
              <w:rPr>
                <w:webHidden/>
              </w:rPr>
              <w:instrText xml:space="preserve"> PAGEREF _Toc204761003 \h </w:instrText>
            </w:r>
            <w:r>
              <w:rPr>
                <w:webHidden/>
              </w:rPr>
            </w:r>
            <w:r>
              <w:rPr>
                <w:webHidden/>
              </w:rPr>
              <w:fldChar w:fldCharType="separate"/>
            </w:r>
            <w:r>
              <w:rPr>
                <w:webHidden/>
              </w:rPr>
              <w:t>14</w:t>
            </w:r>
            <w:r>
              <w:rPr>
                <w:webHidden/>
              </w:rPr>
              <w:fldChar w:fldCharType="end"/>
            </w:r>
          </w:hyperlink>
        </w:p>
        <w:p w14:paraId="1B9F70A0" w14:textId="4C148AE8" w:rsidR="00ED0BDD" w:rsidRDefault="00ED0BDD">
          <w:pPr>
            <w:pStyle w:val="TOC2"/>
            <w:rPr>
              <w:rFonts w:asciiTheme="minorHAnsi" w:hAnsiTheme="minorHAnsi" w:cstheme="minorBidi"/>
              <w:kern w:val="2"/>
              <w:sz w:val="24"/>
              <w:lang w:eastAsia="en-AU"/>
              <w14:ligatures w14:val="standardContextual"/>
            </w:rPr>
          </w:pPr>
          <w:hyperlink w:anchor="_Toc204761004" w:history="1">
            <w:r w:rsidRPr="001D3784">
              <w:rPr>
                <w:rStyle w:val="Hyperlink"/>
              </w:rPr>
              <w:t>Question 8d: Why/ why not?</w:t>
            </w:r>
            <w:r>
              <w:rPr>
                <w:webHidden/>
              </w:rPr>
              <w:tab/>
            </w:r>
            <w:r>
              <w:rPr>
                <w:webHidden/>
              </w:rPr>
              <w:fldChar w:fldCharType="begin"/>
            </w:r>
            <w:r>
              <w:rPr>
                <w:webHidden/>
              </w:rPr>
              <w:instrText xml:space="preserve"> PAGEREF _Toc204761004 \h </w:instrText>
            </w:r>
            <w:r>
              <w:rPr>
                <w:webHidden/>
              </w:rPr>
            </w:r>
            <w:r>
              <w:rPr>
                <w:webHidden/>
              </w:rPr>
              <w:fldChar w:fldCharType="separate"/>
            </w:r>
            <w:r>
              <w:rPr>
                <w:webHidden/>
              </w:rPr>
              <w:t>14</w:t>
            </w:r>
            <w:r>
              <w:rPr>
                <w:webHidden/>
              </w:rPr>
              <w:fldChar w:fldCharType="end"/>
            </w:r>
          </w:hyperlink>
        </w:p>
        <w:p w14:paraId="4EB05F66" w14:textId="6B7A9869" w:rsidR="00ED0BDD" w:rsidRDefault="00ED0BDD" w:rsidP="00ED0BDD">
          <w:pPr>
            <w:pStyle w:val="TOC1"/>
            <w:rPr>
              <w:rFonts w:asciiTheme="minorHAnsi" w:hAnsiTheme="minorHAnsi"/>
              <w:noProof/>
              <w:kern w:val="2"/>
              <w:sz w:val="24"/>
              <w:lang w:eastAsia="en-AU"/>
              <w14:ligatures w14:val="standardContextual"/>
            </w:rPr>
          </w:pPr>
          <w:hyperlink w:anchor="_Toc204761005" w:history="1">
            <w:r w:rsidRPr="001D3784">
              <w:rPr>
                <w:rStyle w:val="Hyperlink"/>
                <w:noProof/>
              </w:rPr>
              <w:t>Question 9: Should additional oversight or regulation be in place? If so, what?</w:t>
            </w:r>
            <w:r>
              <w:rPr>
                <w:noProof/>
                <w:webHidden/>
              </w:rPr>
              <w:tab/>
            </w:r>
            <w:r>
              <w:rPr>
                <w:noProof/>
                <w:webHidden/>
              </w:rPr>
              <w:fldChar w:fldCharType="begin"/>
            </w:r>
            <w:r>
              <w:rPr>
                <w:noProof/>
                <w:webHidden/>
              </w:rPr>
              <w:instrText xml:space="preserve"> PAGEREF _Toc204761005 \h </w:instrText>
            </w:r>
            <w:r>
              <w:rPr>
                <w:noProof/>
                <w:webHidden/>
              </w:rPr>
            </w:r>
            <w:r>
              <w:rPr>
                <w:noProof/>
                <w:webHidden/>
              </w:rPr>
              <w:fldChar w:fldCharType="separate"/>
            </w:r>
            <w:r>
              <w:rPr>
                <w:noProof/>
                <w:webHidden/>
              </w:rPr>
              <w:t>15</w:t>
            </w:r>
            <w:r>
              <w:rPr>
                <w:noProof/>
                <w:webHidden/>
              </w:rPr>
              <w:fldChar w:fldCharType="end"/>
            </w:r>
          </w:hyperlink>
        </w:p>
        <w:p w14:paraId="5F48AB83" w14:textId="03D52423" w:rsidR="00ED0BDD" w:rsidRDefault="00ED0BDD" w:rsidP="00ED0BDD">
          <w:pPr>
            <w:pStyle w:val="TOC1"/>
            <w:rPr>
              <w:rFonts w:asciiTheme="minorHAnsi" w:hAnsiTheme="minorHAnsi"/>
              <w:noProof/>
              <w:kern w:val="2"/>
              <w:sz w:val="24"/>
              <w:lang w:eastAsia="en-AU"/>
              <w14:ligatures w14:val="standardContextual"/>
            </w:rPr>
          </w:pPr>
          <w:hyperlink w:anchor="_Toc204761006" w:history="1">
            <w:r w:rsidRPr="001D3784">
              <w:rPr>
                <w:rStyle w:val="Hyperlink"/>
                <w:noProof/>
              </w:rPr>
              <w:t>Question 10: Is there anything else that you would like to raise about the current evidence base and ethical considerations for the use of Stage 1 and Stage 2 hormone treatments for children and adolescents?</w:t>
            </w:r>
            <w:r>
              <w:rPr>
                <w:noProof/>
                <w:webHidden/>
              </w:rPr>
              <w:tab/>
            </w:r>
            <w:r>
              <w:rPr>
                <w:noProof/>
                <w:webHidden/>
              </w:rPr>
              <w:fldChar w:fldCharType="begin"/>
            </w:r>
            <w:r>
              <w:rPr>
                <w:noProof/>
                <w:webHidden/>
              </w:rPr>
              <w:instrText xml:space="preserve"> PAGEREF _Toc204761006 \h </w:instrText>
            </w:r>
            <w:r>
              <w:rPr>
                <w:noProof/>
                <w:webHidden/>
              </w:rPr>
            </w:r>
            <w:r>
              <w:rPr>
                <w:noProof/>
                <w:webHidden/>
              </w:rPr>
              <w:fldChar w:fldCharType="separate"/>
            </w:r>
            <w:r>
              <w:rPr>
                <w:noProof/>
                <w:webHidden/>
              </w:rPr>
              <w:t>15</w:t>
            </w:r>
            <w:r>
              <w:rPr>
                <w:noProof/>
                <w:webHidden/>
              </w:rPr>
              <w:fldChar w:fldCharType="end"/>
            </w:r>
          </w:hyperlink>
        </w:p>
        <w:p w14:paraId="01E8AA2B" w14:textId="554FAD83" w:rsidR="00ED0BDD" w:rsidRDefault="00ED0BDD" w:rsidP="00ED0BDD">
          <w:pPr>
            <w:pStyle w:val="TOC1"/>
            <w:rPr>
              <w:rFonts w:asciiTheme="minorHAnsi" w:hAnsiTheme="minorHAnsi"/>
              <w:noProof/>
              <w:kern w:val="2"/>
              <w:sz w:val="24"/>
              <w:lang w:eastAsia="en-AU"/>
              <w14:ligatures w14:val="standardContextual"/>
            </w:rPr>
          </w:pPr>
          <w:hyperlink w:anchor="_Toc204761007" w:history="1">
            <w:r w:rsidRPr="001D3784">
              <w:rPr>
                <w:rStyle w:val="Hyperlink"/>
                <w:noProof/>
              </w:rPr>
              <w:t>Appendix 1: Expanded response to Question 10</w:t>
            </w:r>
            <w:r>
              <w:rPr>
                <w:noProof/>
                <w:webHidden/>
              </w:rPr>
              <w:tab/>
            </w:r>
            <w:r>
              <w:rPr>
                <w:noProof/>
                <w:webHidden/>
              </w:rPr>
              <w:fldChar w:fldCharType="begin"/>
            </w:r>
            <w:r>
              <w:rPr>
                <w:noProof/>
                <w:webHidden/>
              </w:rPr>
              <w:instrText xml:space="preserve"> PAGEREF _Toc204761007 \h </w:instrText>
            </w:r>
            <w:r>
              <w:rPr>
                <w:noProof/>
                <w:webHidden/>
              </w:rPr>
            </w:r>
            <w:r>
              <w:rPr>
                <w:noProof/>
                <w:webHidden/>
              </w:rPr>
              <w:fldChar w:fldCharType="separate"/>
            </w:r>
            <w:r>
              <w:rPr>
                <w:noProof/>
                <w:webHidden/>
              </w:rPr>
              <w:t>18</w:t>
            </w:r>
            <w:r>
              <w:rPr>
                <w:noProof/>
                <w:webHidden/>
              </w:rPr>
              <w:fldChar w:fldCharType="end"/>
            </w:r>
          </w:hyperlink>
        </w:p>
        <w:p w14:paraId="3240F248" w14:textId="55D4E479" w:rsidR="00B93675" w:rsidRDefault="00ED0BDD" w:rsidP="00B93675">
          <w:pPr>
            <w:rPr>
              <w:bCs/>
              <w:lang w:val="en-GB"/>
            </w:rPr>
          </w:pPr>
          <w:r>
            <w:rPr>
              <w:rFonts w:ascii="Arial" w:hAnsi="Arial"/>
              <w:sz w:val="22"/>
            </w:rPr>
            <w:lastRenderedPageBreak/>
            <w:fldChar w:fldCharType="end"/>
          </w:r>
        </w:p>
      </w:sdtContent>
    </w:sdt>
    <w:bookmarkStart w:id="17" w:name="_Toc204760983" w:displacedByCustomXml="prev"/>
    <w:p w14:paraId="437594CF" w14:textId="5CFEB3B4" w:rsidR="008109D2" w:rsidRDefault="00AD1A8F" w:rsidP="007C211F">
      <w:pPr>
        <w:pStyle w:val="Heading1"/>
      </w:pPr>
      <w:r>
        <w:t>Introduction</w:t>
      </w:r>
      <w:bookmarkEnd w:id="17"/>
      <w:bookmarkEnd w:id="16"/>
      <w:bookmarkEnd w:id="15"/>
    </w:p>
    <w:p w14:paraId="09C35B5F" w14:textId="40F4C1BF" w:rsidR="00F274C6" w:rsidRDefault="00245537" w:rsidP="005E58DF">
      <w:pPr>
        <w:pStyle w:val="Numberedparagraph"/>
        <w:numPr>
          <w:ilvl w:val="0"/>
          <w:numId w:val="5"/>
        </w:numPr>
      </w:pPr>
      <w:bookmarkStart w:id="18" w:name="_Toc199857027"/>
      <w:r w:rsidRPr="005F29AC">
        <w:t>The Queensland Human Rights Commission (</w:t>
      </w:r>
      <w:r w:rsidRPr="00400451">
        <w:t xml:space="preserve">the </w:t>
      </w:r>
      <w:r w:rsidR="00400451">
        <w:rPr>
          <w:b/>
          <w:bCs/>
        </w:rPr>
        <w:t>QHRC</w:t>
      </w:r>
      <w:r w:rsidRPr="005F29AC">
        <w:t xml:space="preserve">) is an independent statutory body established under the </w:t>
      </w:r>
      <w:r w:rsidRPr="005F29AC">
        <w:rPr>
          <w:i/>
          <w:iCs/>
        </w:rPr>
        <w:t>Anti-Discrimination Act 1991</w:t>
      </w:r>
      <w:r w:rsidRPr="005F29AC">
        <w:t xml:space="preserve">, with functions under that Act and the </w:t>
      </w:r>
      <w:r w:rsidRPr="005F29AC">
        <w:rPr>
          <w:i/>
          <w:iCs/>
        </w:rPr>
        <w:t>Human Rights Act 2019</w:t>
      </w:r>
      <w:r w:rsidRPr="005F29AC">
        <w:t xml:space="preserve"> (</w:t>
      </w:r>
      <w:r w:rsidRPr="005F29AC">
        <w:rPr>
          <w:b/>
          <w:bCs/>
        </w:rPr>
        <w:t>Human Rights Act</w:t>
      </w:r>
      <w:r w:rsidRPr="005F29AC">
        <w:t>) to promote an understanding, acceptance</w:t>
      </w:r>
      <w:r>
        <w:t>,</w:t>
      </w:r>
      <w:r w:rsidRPr="005F29AC">
        <w:t xml:space="preserve"> and public discussion of human rights in Queensland</w:t>
      </w:r>
      <w:bookmarkEnd w:id="18"/>
      <w:r w:rsidR="00F274C6">
        <w:t>.</w:t>
      </w:r>
    </w:p>
    <w:p w14:paraId="3EE7E589" w14:textId="7EFF541D" w:rsidR="00F274C6" w:rsidRPr="00F274C6" w:rsidRDefault="002C5B8B" w:rsidP="005E58DF">
      <w:pPr>
        <w:pStyle w:val="Numberedparagraph"/>
        <w:numPr>
          <w:ilvl w:val="0"/>
          <w:numId w:val="5"/>
        </w:numPr>
      </w:pPr>
      <w:r>
        <w:t xml:space="preserve">The </w:t>
      </w:r>
      <w:r w:rsidRPr="002C5B8B">
        <w:rPr>
          <w:i/>
          <w:iCs/>
        </w:rPr>
        <w:t>Independent review of Stage 1 and Stage 2 hormone therapies in Queensland’s public paediatrics gender services</w:t>
      </w:r>
      <w:r>
        <w:rPr>
          <w:i/>
          <w:iCs/>
        </w:rPr>
        <w:t xml:space="preserve"> </w:t>
      </w:r>
      <w:r>
        <w:t xml:space="preserve">(the </w:t>
      </w:r>
      <w:r w:rsidRPr="002C5B8B">
        <w:rPr>
          <w:b/>
          <w:bCs/>
        </w:rPr>
        <w:t>Review</w:t>
      </w:r>
      <w:r>
        <w:t>) requested submissions in response to specific questions</w:t>
      </w:r>
      <w:r w:rsidR="000D23D8">
        <w:t>,</w:t>
      </w:r>
      <w:r>
        <w:t xml:space="preserve"> via a webform. </w:t>
      </w:r>
      <w:r w:rsidR="000D23D8">
        <w:t xml:space="preserve">The QHRC’s responses to those questions are included below. </w:t>
      </w:r>
    </w:p>
    <w:p w14:paraId="32E6F63E" w14:textId="79409D85" w:rsidR="00F274C6" w:rsidRPr="00F274C6" w:rsidRDefault="00F274C6" w:rsidP="00F274C6">
      <w:pPr>
        <w:pStyle w:val="Heading1"/>
      </w:pPr>
      <w:bookmarkStart w:id="19" w:name="_Toc204760984"/>
      <w:r w:rsidRPr="00F274C6">
        <w:t>Question 1: What range of hormone treatments do you understand are available for gender dysphoria in children and adolescents?</w:t>
      </w:r>
      <w:bookmarkEnd w:id="19"/>
    </w:p>
    <w:p w14:paraId="61817E64" w14:textId="77777777" w:rsidR="00F274C6" w:rsidRPr="00F274C6" w:rsidRDefault="00F274C6" w:rsidP="00F274C6">
      <w:pPr>
        <w:pStyle w:val="Numberedparagraph"/>
      </w:pPr>
      <w:r w:rsidRPr="00F274C6">
        <w:t>The Queensland Human Rights Commission (</w:t>
      </w:r>
      <w:r w:rsidRPr="00F274C6">
        <w:rPr>
          <w:b/>
          <w:bCs/>
        </w:rPr>
        <w:t>QHRC</w:t>
      </w:r>
      <w:r w:rsidRPr="00F274C6">
        <w:t xml:space="preserve">) understands ‘stage 1 treatment’ refers to puberty suppressant hormones or ‘puberty </w:t>
      </w:r>
      <w:proofErr w:type="gramStart"/>
      <w:r w:rsidRPr="00F274C6">
        <w:t>blockers’</w:t>
      </w:r>
      <w:proofErr w:type="gramEnd"/>
      <w:r w:rsidRPr="00F274C6">
        <w:t>. Puberty blockers are medications used to suppress the production of sex hormones. This suppresses the development of secondary sex characteristics (e.g., breast and hip development, voice deepening, facial hair growth). By delaying these changes, trans young people are afforded more time to consider whether they wish to take any further steps to affirm their lived gender e.g., via stage 2 hormone treatment. These medications have been safely used for decades in children with early (precocious) puberty and are reversible.</w:t>
      </w:r>
    </w:p>
    <w:p w14:paraId="3FDAA250" w14:textId="77777777" w:rsidR="00F274C6" w:rsidRPr="00F274C6" w:rsidRDefault="00F274C6" w:rsidP="00F274C6">
      <w:pPr>
        <w:pStyle w:val="Numberedparagraph"/>
      </w:pPr>
      <w:r w:rsidRPr="00F274C6">
        <w:t>The QHRC understands ‘stage 2 treatment’ refers to the administration of medications containing sex hormones (either oestrogen or testosterone), to support the development of sex characteristics that align with a person’s gender. For example, oestrogen helps to make a person’s body more feminine, whereas testosterone helps to make a person’s body more masculine through features such as a deeper voice and facial hair growth. Some aspects of Stage 2 treatment are irreversible without surgical intervention.</w:t>
      </w:r>
    </w:p>
    <w:p w14:paraId="4191A4B0" w14:textId="57BA66B8" w:rsidR="00F274C6" w:rsidRPr="00F274C6" w:rsidRDefault="00F274C6" w:rsidP="00F274C6">
      <w:pPr>
        <w:pStyle w:val="Numberedparagraph"/>
      </w:pPr>
      <w:r w:rsidRPr="00F274C6">
        <w:t xml:space="preserve">There is a comprehensive body of high-quality evidence which documents the positive impact of gender-affirming treatments, including stage 1 and 2 hormone treatment. The use of hormone treatment is also widely supported by major medical and international organisations, both in Australia and internationally (see for example: the Australian Medical Association, the Royal Australian College of General Practitioners, the Royal Australasian College of Physicians, the Endocrine Society of Australia, and the Australian Psychological Society, American Academy of </w:t>
      </w:r>
      <w:proofErr w:type="spellStart"/>
      <w:r w:rsidRPr="00F274C6">
        <w:t>Pediatrics</w:t>
      </w:r>
      <w:proofErr w:type="spellEnd"/>
      <w:r w:rsidRPr="00F274C6">
        <w:t xml:space="preserve">, American Medical Association). </w:t>
      </w:r>
    </w:p>
    <w:p w14:paraId="29569112" w14:textId="26E0429F" w:rsidR="00F274C6" w:rsidRPr="00F274C6" w:rsidRDefault="00F274C6" w:rsidP="00F274C6">
      <w:pPr>
        <w:pStyle w:val="Heading1"/>
      </w:pPr>
      <w:bookmarkStart w:id="20" w:name="_Toc204760985"/>
      <w:r>
        <w:lastRenderedPageBreak/>
        <w:t xml:space="preserve">Question 2: </w:t>
      </w:r>
      <w:r w:rsidRPr="00F274C6">
        <w:t>As well as the views and preferences of children and adolescents and their families, what other factors do you think a practitioner should consider when deciding whether to prescribe the following:</w:t>
      </w:r>
      <w:bookmarkEnd w:id="20"/>
      <w:r w:rsidRPr="00F274C6">
        <w:t xml:space="preserve"> </w:t>
      </w:r>
    </w:p>
    <w:p w14:paraId="7908170F" w14:textId="6D048B10" w:rsidR="00F274C6" w:rsidRPr="00F274C6" w:rsidRDefault="00F274C6" w:rsidP="00F274C6">
      <w:pPr>
        <w:pStyle w:val="Heading2"/>
      </w:pPr>
      <w:bookmarkStart w:id="21" w:name="_Toc204760986"/>
      <w:r w:rsidRPr="00F274C6">
        <w:t>Question 2a.</w:t>
      </w:r>
      <w:r>
        <w:rPr>
          <w:b w:val="0"/>
        </w:rPr>
        <w:t xml:space="preserve"> </w:t>
      </w:r>
      <w:r w:rsidRPr="00F274C6">
        <w:t>Factors for no medication or hormone treatments?</w:t>
      </w:r>
      <w:bookmarkEnd w:id="21"/>
    </w:p>
    <w:p w14:paraId="46698B24" w14:textId="77777777" w:rsidR="00F274C6" w:rsidRPr="00F274C6" w:rsidRDefault="00F274C6" w:rsidP="00F274C6">
      <w:pPr>
        <w:pStyle w:val="Numberedparagraph"/>
      </w:pPr>
      <w:r w:rsidRPr="00F274C6">
        <w:t xml:space="preserve">The QHRC does not consider it is necessary to make recommendations in relation to additional factors a health practitioner should consider when prescribing hormone treatments. The factors a practitioner should consider when recommending a course of treatment are captured by the relevant guidelines.  </w:t>
      </w:r>
    </w:p>
    <w:p w14:paraId="5A0BC51C" w14:textId="77777777" w:rsidR="00F274C6" w:rsidRPr="00F274C6" w:rsidRDefault="00F274C6" w:rsidP="00F274C6">
      <w:pPr>
        <w:pStyle w:val="Numberedparagraph"/>
      </w:pPr>
      <w:r w:rsidRPr="00F274C6">
        <w:t xml:space="preserve">The Medical Board of Australia </w:t>
      </w:r>
      <w:r w:rsidRPr="00F274C6">
        <w:rPr>
          <w:i/>
          <w:iCs/>
        </w:rPr>
        <w:t>Good medical practice: a code of conduct for doctors in Australia</w:t>
      </w:r>
      <w:r w:rsidRPr="00F274C6">
        <w:t xml:space="preserve"> sets out standards of ethical and professional conduct for doctors. The code of conduct requires: an assessment of the patient; respecting patients’ rights to make their own decisions; working within the practitioner’s scope of expertise; considering the balance of benefit and harm in all decisions; communicating effectively; providing treatment options based on the best available information; only recommending treatment where there is an identified therapeutic need and a clinically recognised treatment; clinical efficacy and benefit for the patient; and ensuring personal views do not affect care of patients. These requirements are reflected and adapted for the treatment and care of children in gender dysphoria in the relevant, specific guidelines.</w:t>
      </w:r>
    </w:p>
    <w:p w14:paraId="1095A5A2" w14:textId="137D669E" w:rsidR="00F274C6" w:rsidRPr="00F274C6" w:rsidRDefault="00F274C6" w:rsidP="00F274C6">
      <w:pPr>
        <w:pStyle w:val="Numberedparagraph"/>
      </w:pPr>
      <w:r w:rsidRPr="00F274C6">
        <w:t>The Queensland Children’s Gender Service (</w:t>
      </w:r>
      <w:r w:rsidRPr="00CF63E1">
        <w:rPr>
          <w:b/>
          <w:bCs/>
        </w:rPr>
        <w:t>QCGS</w:t>
      </w:r>
      <w:r w:rsidRPr="00F274C6">
        <w:t xml:space="preserve">) provides specialist care to trans and gender diverse children and their families in the public health system Queensland. Per the QCGS website, the care provided by the QCGS is informed by the </w:t>
      </w:r>
      <w:r w:rsidRPr="00F274C6">
        <w:rPr>
          <w:i/>
          <w:iCs/>
        </w:rPr>
        <w:t>Australian Standards of Care and Treatment Guidelines for Trans and Gender Diverse Children and Adolescents</w:t>
      </w:r>
      <w:r w:rsidRPr="00F274C6">
        <w:t xml:space="preserve"> (v1.4) (</w:t>
      </w:r>
      <w:r w:rsidRPr="00F274C6">
        <w:rPr>
          <w:b/>
          <w:bCs/>
        </w:rPr>
        <w:t>ASOCTG guidelines</w:t>
      </w:r>
      <w:r w:rsidRPr="00F274C6">
        <w:t xml:space="preserve">) and the </w:t>
      </w:r>
      <w:r w:rsidRPr="00F274C6">
        <w:rPr>
          <w:i/>
          <w:iCs/>
        </w:rPr>
        <w:t>World Professional Association for Transgender Health’s Standards of Care for the Health of Transgender and Gender Diverse People</w:t>
      </w:r>
      <w:r w:rsidRPr="00F274C6">
        <w:t xml:space="preserve"> (v8) (</w:t>
      </w:r>
      <w:r w:rsidRPr="00F274C6">
        <w:rPr>
          <w:b/>
          <w:bCs/>
        </w:rPr>
        <w:t>WPATH guidelines</w:t>
      </w:r>
      <w:r w:rsidRPr="00F274C6">
        <w:t xml:space="preserve">). </w:t>
      </w:r>
    </w:p>
    <w:p w14:paraId="57FFDEE3" w14:textId="68E8F8B5" w:rsidR="00F274C6" w:rsidRPr="00F274C6" w:rsidRDefault="00F274C6" w:rsidP="00F274C6">
      <w:pPr>
        <w:pStyle w:val="Numberedparagraph"/>
      </w:pPr>
      <w:r w:rsidRPr="00F274C6">
        <w:t xml:space="preserve">The ASOCTG guidelines make recommendations based on empirical evidence, clinical consensus, and the results of non-randomised and observational studies. They were developed in consultation with professionals working with trans and gender diverse people across Australia and New Zealand from multiple disciplines, trans and gender diverse support organisations, as well as trans children and their families. The ASOCTG guidelines are peer reviewed and endorsed by </w:t>
      </w:r>
      <w:r w:rsidR="00BC22B5" w:rsidRPr="00BC22B5">
        <w:t xml:space="preserve">Australian Professional Association for Trans Health </w:t>
      </w:r>
      <w:r w:rsidR="00BC22B5">
        <w:t>(</w:t>
      </w:r>
      <w:proofErr w:type="spellStart"/>
      <w:r w:rsidRPr="00BC22B5">
        <w:rPr>
          <w:b/>
          <w:bCs/>
        </w:rPr>
        <w:t>AusPath</w:t>
      </w:r>
      <w:proofErr w:type="spellEnd"/>
      <w:r w:rsidR="00BC22B5">
        <w:t>)</w:t>
      </w:r>
      <w:r w:rsidRPr="00F274C6">
        <w:t xml:space="preserve"> and </w:t>
      </w:r>
      <w:r w:rsidR="008E7890" w:rsidRPr="008E7890">
        <w:t xml:space="preserve">Professional Association for Transgender Health Aotearoa </w:t>
      </w:r>
      <w:r w:rsidR="008E7890">
        <w:t>(</w:t>
      </w:r>
      <w:r w:rsidRPr="008E7890">
        <w:rPr>
          <w:b/>
          <w:bCs/>
        </w:rPr>
        <w:t>PATHA</w:t>
      </w:r>
      <w:r w:rsidR="008E7890">
        <w:t>)</w:t>
      </w:r>
      <w:r w:rsidRPr="00F274C6">
        <w:t xml:space="preserve">. </w:t>
      </w:r>
    </w:p>
    <w:p w14:paraId="0E169CA9" w14:textId="77777777" w:rsidR="00F274C6" w:rsidRPr="00F274C6" w:rsidRDefault="00F274C6" w:rsidP="00F274C6">
      <w:pPr>
        <w:pStyle w:val="Numberedparagraph"/>
      </w:pPr>
      <w:r w:rsidRPr="00F274C6">
        <w:t xml:space="preserve">The WPATH guidelines contain recommendations intended to optimise patient care, informed by a systematic review of evidence, and an assessment of the benefits and harms of alternative care options. The WPATH guidelines are broadly endorsed by organisations all over the world. </w:t>
      </w:r>
    </w:p>
    <w:p w14:paraId="1484ABFB" w14:textId="77777777" w:rsidR="00F274C6" w:rsidRPr="00F274C6" w:rsidRDefault="00F274C6" w:rsidP="00F274C6">
      <w:pPr>
        <w:pStyle w:val="Numberedparagraph"/>
      </w:pPr>
      <w:r w:rsidRPr="00F274C6">
        <w:t>The ASOCTG guidelines contain detailed criteria which must be met before a health practitioner may prescribe hormone treatments, including:</w:t>
      </w:r>
    </w:p>
    <w:p w14:paraId="40C67295" w14:textId="77777777" w:rsidR="00F274C6" w:rsidRPr="00F274C6" w:rsidRDefault="00F274C6" w:rsidP="005E58DF">
      <w:pPr>
        <w:pStyle w:val="Numberedparagraph"/>
        <w:numPr>
          <w:ilvl w:val="0"/>
          <w:numId w:val="6"/>
        </w:numPr>
      </w:pPr>
      <w:r w:rsidRPr="00F274C6">
        <w:lastRenderedPageBreak/>
        <w:t xml:space="preserve">diagnosis of gender dysphoria in adolescence by a mental health clinician with relevant expertise in child and adolescent development, psychopathology, and experience with children and adolescents with gender </w:t>
      </w:r>
      <w:proofErr w:type="gramStart"/>
      <w:r w:rsidRPr="00F274C6">
        <w:t>dysphoria;</w:t>
      </w:r>
      <w:proofErr w:type="gramEnd"/>
    </w:p>
    <w:p w14:paraId="18269307" w14:textId="77777777" w:rsidR="00F274C6" w:rsidRPr="00F274C6" w:rsidRDefault="00F274C6" w:rsidP="005E58DF">
      <w:pPr>
        <w:pStyle w:val="Numberedparagraph"/>
        <w:numPr>
          <w:ilvl w:val="0"/>
          <w:numId w:val="6"/>
        </w:numPr>
      </w:pPr>
      <w:r w:rsidRPr="00F274C6">
        <w:t xml:space="preserve">medical assessment including fertility counselling; and </w:t>
      </w:r>
    </w:p>
    <w:p w14:paraId="1AE31F4E" w14:textId="77777777" w:rsidR="00F274C6" w:rsidRPr="00F274C6" w:rsidRDefault="00F274C6" w:rsidP="005E58DF">
      <w:pPr>
        <w:pStyle w:val="Numberedparagraph"/>
        <w:numPr>
          <w:ilvl w:val="0"/>
          <w:numId w:val="6"/>
        </w:numPr>
      </w:pPr>
      <w:r w:rsidRPr="00F274C6">
        <w:t>the treating team agrees commencement of treatment is in the child’s best interests and informed consent has been obtained (ASOCTG guidelines, p23-24).</w:t>
      </w:r>
    </w:p>
    <w:p w14:paraId="1634A9D0" w14:textId="77777777" w:rsidR="00F274C6" w:rsidRPr="00F274C6" w:rsidRDefault="00F274C6" w:rsidP="00F274C6">
      <w:pPr>
        <w:pStyle w:val="Numberedparagraph"/>
      </w:pPr>
      <w:r w:rsidRPr="00F274C6">
        <w:t>The ASOCTG guidelines further list recommendations for medical examination and investigations which should be undertaken prior to prescription of hormone treatment. The guidelines also provide that an optimal model of care involves a coordinated multidisciplinary team which can include child and adolescent psychiatry, paediatrics, adolescent medicine, paediatric endocrinology, clinical psychology, gynaecology, andrology, fertility services, speech therapy, general practice and nursing (ASOCTG guidelines, p11).</w:t>
      </w:r>
    </w:p>
    <w:p w14:paraId="7D63460F" w14:textId="77777777" w:rsidR="00F274C6" w:rsidRPr="00F274C6" w:rsidRDefault="00F274C6" w:rsidP="00F274C6">
      <w:pPr>
        <w:pStyle w:val="Numberedparagraph"/>
      </w:pPr>
      <w:r w:rsidRPr="00F274C6">
        <w:t>One year ago, the QCGS was independently evaluated by a panel of experts (</w:t>
      </w:r>
      <w:r w:rsidRPr="00F274C6">
        <w:rPr>
          <w:i/>
          <w:iCs/>
        </w:rPr>
        <w:t>Queensland Children’s Gender Service: external clinical service evaluation</w:t>
      </w:r>
      <w:r w:rsidRPr="00F274C6">
        <w:t>) (</w:t>
      </w:r>
      <w:r w:rsidRPr="00CF63E1">
        <w:t xml:space="preserve">the </w:t>
      </w:r>
      <w:r w:rsidRPr="00F274C6">
        <w:rPr>
          <w:b/>
          <w:bCs/>
        </w:rPr>
        <w:t>Evaluation</w:t>
      </w:r>
      <w:r w:rsidRPr="00F274C6">
        <w:t xml:space="preserve">). The Evaluation found that despite stagnant funding and a high caseload, clinical practice was consistent with the current national and international guidelines (the ASOCTG and WPATH guidelines) (p7). The Evaluation found the QCGS’ clinical intake, assessment, intervention, and provision of education and information was person-centred and comprehensive (p7). </w:t>
      </w:r>
    </w:p>
    <w:p w14:paraId="6483A1D0" w14:textId="14949312" w:rsidR="00F274C6" w:rsidRPr="00F274C6" w:rsidRDefault="00F274C6" w:rsidP="00F274C6">
      <w:pPr>
        <w:pStyle w:val="Numberedparagraph"/>
      </w:pPr>
      <w:r w:rsidRPr="00F274C6">
        <w:t>In relation to considerations prior to medical treatment, the Evaluation found that before treatment is considered, ‘extensive exploration of psychological, medical, family and social issues is undertaken as part of a comprehensive assessment process’ (p56). Further, medical treatment is considered within the context of developmental age. The Evaluation states ‘mental health practitioners provide developmentally scaffolded, evidence-informed education on the risk/benefit profile of the proposed treatment and assessment of the adolescent’s ability to consent… in collaboration with doctors’ (p56). Further, the Evaluation found QCGS processes for assessing performance and incidents are appropriate</w:t>
      </w:r>
      <w:r w:rsidR="00075874">
        <w:t xml:space="preserve"> (p65)</w:t>
      </w:r>
      <w:r w:rsidRPr="00F274C6">
        <w:t>.</w:t>
      </w:r>
    </w:p>
    <w:p w14:paraId="28E385DA" w14:textId="77777777" w:rsidR="00F274C6" w:rsidRPr="00F274C6" w:rsidRDefault="00F274C6" w:rsidP="00F274C6">
      <w:pPr>
        <w:pStyle w:val="Numberedparagraph"/>
      </w:pPr>
      <w:r w:rsidRPr="00F274C6">
        <w:t xml:space="preserve">The independent Evaluation has demonstrated that the QCGS is operating appropriately according to relevant guidelines, including in relation to what factors are considered prior to deciding upon a treatment route.  </w:t>
      </w:r>
    </w:p>
    <w:p w14:paraId="3B92B524" w14:textId="6BF82159" w:rsidR="00F274C6" w:rsidRPr="00F274C6" w:rsidRDefault="00F274C6" w:rsidP="00F274C6">
      <w:pPr>
        <w:pStyle w:val="Heading2"/>
      </w:pPr>
      <w:bookmarkStart w:id="22" w:name="_Toc204760987"/>
      <w:r>
        <w:t xml:space="preserve">Question 2b. </w:t>
      </w:r>
      <w:r w:rsidRPr="00F274C6">
        <w:t>Factors for Stage 1 hormone treatment?</w:t>
      </w:r>
      <w:bookmarkEnd w:id="22"/>
    </w:p>
    <w:p w14:paraId="063C01B8" w14:textId="77777777" w:rsidR="00F274C6" w:rsidRPr="00F274C6" w:rsidRDefault="00F274C6" w:rsidP="00F274C6">
      <w:pPr>
        <w:pStyle w:val="Numberedparagraph"/>
      </w:pPr>
      <w:r w:rsidRPr="00F274C6">
        <w:t xml:space="preserve">Please refer to response to 2a ‘Factors for no medication or hormone </w:t>
      </w:r>
      <w:proofErr w:type="gramStart"/>
      <w:r w:rsidRPr="00F274C6">
        <w:t>treatments’</w:t>
      </w:r>
      <w:proofErr w:type="gramEnd"/>
      <w:r w:rsidRPr="00F274C6">
        <w:t>.</w:t>
      </w:r>
    </w:p>
    <w:p w14:paraId="471AA8F0" w14:textId="70D3B54D" w:rsidR="00F274C6" w:rsidRPr="00F274C6" w:rsidRDefault="00F274C6" w:rsidP="00F274C6">
      <w:pPr>
        <w:pStyle w:val="Heading2"/>
      </w:pPr>
      <w:bookmarkStart w:id="23" w:name="_Toc204760988"/>
      <w:r>
        <w:t xml:space="preserve">Question 2c. </w:t>
      </w:r>
      <w:r w:rsidRPr="00F274C6">
        <w:t>Factors for Stage 2 hormone treatment?</w:t>
      </w:r>
      <w:bookmarkEnd w:id="23"/>
    </w:p>
    <w:p w14:paraId="64CFE8C2" w14:textId="77777777" w:rsidR="00F274C6" w:rsidRPr="00F274C6" w:rsidRDefault="00F274C6" w:rsidP="00F274C6">
      <w:pPr>
        <w:pStyle w:val="Numberedparagraph"/>
      </w:pPr>
      <w:r w:rsidRPr="00F274C6">
        <w:t xml:space="preserve">Please refer to response to 2a ‘Factors for no medication or hormone </w:t>
      </w:r>
      <w:proofErr w:type="gramStart"/>
      <w:r w:rsidRPr="00F274C6">
        <w:t>treatments’</w:t>
      </w:r>
      <w:proofErr w:type="gramEnd"/>
      <w:r w:rsidRPr="00F274C6">
        <w:t>.</w:t>
      </w:r>
    </w:p>
    <w:p w14:paraId="1721580F" w14:textId="5DC46A91" w:rsidR="00F274C6" w:rsidRPr="00F274C6" w:rsidRDefault="00F274C6" w:rsidP="00F274C6">
      <w:pPr>
        <w:pStyle w:val="Heading2"/>
      </w:pPr>
      <w:bookmarkStart w:id="24" w:name="_Toc204760989"/>
      <w:r>
        <w:t xml:space="preserve">Question 2d. </w:t>
      </w:r>
      <w:r w:rsidRPr="00F274C6">
        <w:t>Factors for other treatment options?</w:t>
      </w:r>
      <w:bookmarkEnd w:id="24"/>
    </w:p>
    <w:p w14:paraId="753BFB68" w14:textId="77777777" w:rsidR="00F274C6" w:rsidRPr="00F274C6" w:rsidRDefault="00F274C6" w:rsidP="00F274C6">
      <w:pPr>
        <w:pStyle w:val="Numberedparagraph"/>
      </w:pPr>
      <w:r w:rsidRPr="00F274C6">
        <w:t xml:space="preserve">Please refer to response to 2a ‘Factors for no medication or hormone </w:t>
      </w:r>
      <w:proofErr w:type="gramStart"/>
      <w:r w:rsidRPr="00F274C6">
        <w:t>treatments’</w:t>
      </w:r>
      <w:proofErr w:type="gramEnd"/>
      <w:r w:rsidRPr="00F274C6">
        <w:t>.</w:t>
      </w:r>
    </w:p>
    <w:p w14:paraId="1928BB52" w14:textId="48FDA01D" w:rsidR="00F274C6" w:rsidRPr="00F274C6" w:rsidRDefault="00F274C6" w:rsidP="00F274C6">
      <w:pPr>
        <w:pStyle w:val="Numberedparagraph"/>
      </w:pPr>
      <w:r w:rsidRPr="00F274C6">
        <w:lastRenderedPageBreak/>
        <w:t xml:space="preserve">In relation to the provision of ‘alternative’ treatments to hormone treatments, the QHRC additionally notes the findings of the </w:t>
      </w:r>
      <w:r w:rsidR="00096083">
        <w:t xml:space="preserve">2024 </w:t>
      </w:r>
      <w:r w:rsidRPr="00F274C6">
        <w:t>Sax Institute review ‘</w:t>
      </w:r>
      <w:r w:rsidRPr="00F274C6">
        <w:rPr>
          <w:i/>
          <w:iCs/>
        </w:rPr>
        <w:t>Evidence for effective interventions for children and young people with gender dysphoria: an Evidence Check rapid review</w:t>
      </w:r>
      <w:r w:rsidRPr="00F274C6">
        <w:t xml:space="preserve">’ which noted ‘[t]here is a lack of evidence from which to draw any conclusions regarding the effectiveness of psychosocial interventions for treating children and young people with gender dysphoria’ (p140). </w:t>
      </w:r>
    </w:p>
    <w:p w14:paraId="4AA6FA0D" w14:textId="5E42BDE2" w:rsidR="00F274C6" w:rsidRPr="00F274C6" w:rsidRDefault="00F274C6" w:rsidP="00F274C6">
      <w:pPr>
        <w:pStyle w:val="Heading1"/>
      </w:pPr>
      <w:bookmarkStart w:id="25" w:name="_Toc204760990"/>
      <w:r>
        <w:t xml:space="preserve">Question 3. </w:t>
      </w:r>
      <w:r w:rsidRPr="00F274C6">
        <w:t>Concerns have been raised about reversibility or irreversibility of hormone treatment. Do you have concerns about this for:</w:t>
      </w:r>
      <w:bookmarkEnd w:id="25"/>
    </w:p>
    <w:p w14:paraId="02D3A695" w14:textId="585C658B" w:rsidR="00F274C6" w:rsidRPr="00F274C6" w:rsidRDefault="00F274C6" w:rsidP="00F274C6">
      <w:pPr>
        <w:pStyle w:val="Heading2"/>
      </w:pPr>
      <w:bookmarkStart w:id="26" w:name="_Toc204760991"/>
      <w:r>
        <w:t xml:space="preserve">Question 3a. </w:t>
      </w:r>
      <w:r w:rsidRPr="00F274C6">
        <w:t>Concerns for Stage 1 hormone treatment?</w:t>
      </w:r>
      <w:bookmarkEnd w:id="26"/>
    </w:p>
    <w:p w14:paraId="0CAA5E26" w14:textId="77777777" w:rsidR="00F274C6" w:rsidRPr="00F274C6" w:rsidRDefault="00F274C6" w:rsidP="00F274C6">
      <w:pPr>
        <w:pStyle w:val="Numberedparagraph"/>
      </w:pPr>
      <w:r w:rsidRPr="00F274C6">
        <w:t xml:space="preserve">As with any other form of healthcare, children and their families should be facilitated to choose treatment based on a risk to benefit analysis, which necessarily includes consideration of the reversibility or irreversibility of treatment, informed by the expertise, knowledge, and ethical responsibilities of their treating team. For the treatment of gender dysphoria, this is further guided by specialist guidelines, as discussed in the QHRC’s response to question 2 of this webform. Many medical treatments are irreversible. There is no reason hormone treatments should be given special consideration. </w:t>
      </w:r>
    </w:p>
    <w:p w14:paraId="7EEA9E3C" w14:textId="44F44DBB" w:rsidR="00F274C6" w:rsidRPr="00F274C6" w:rsidRDefault="00F274C6" w:rsidP="00F274C6">
      <w:pPr>
        <w:pStyle w:val="Numberedparagraph"/>
      </w:pPr>
      <w:r w:rsidRPr="00F274C6">
        <w:t>In Australia, a competent child (i.e., who possesses sufficient understanding and intelligence to understand the nature and implications of medical treatment) may consent to medical treatment, regardless of its reversibility or irreversibility (</w:t>
      </w:r>
      <w:r w:rsidRPr="00F274C6">
        <w:rPr>
          <w:i/>
          <w:iCs/>
        </w:rPr>
        <w:t>Gillick v West Norfolk and Wisbech</w:t>
      </w:r>
      <w:r w:rsidRPr="00F274C6">
        <w:t xml:space="preserve"> AHA AC 112 ((HL)) 1986). Where a child is not competent, their legal guardian</w:t>
      </w:r>
      <w:r w:rsidR="00096083">
        <w:t>/</w:t>
      </w:r>
      <w:r w:rsidRPr="00F274C6">
        <w:t>s may consent to medical treatment in the child’s best interests except in limited circumstances, such as where the treatment is not considered to be therapeutic</w:t>
      </w:r>
      <w:r w:rsidRPr="00F274C6">
        <w:rPr>
          <w:i/>
          <w:iCs/>
        </w:rPr>
        <w:t xml:space="preserve"> </w:t>
      </w:r>
      <w:r w:rsidRPr="00F274C6">
        <w:t>(</w:t>
      </w:r>
      <w:r w:rsidRPr="00F274C6">
        <w:rPr>
          <w:i/>
          <w:iCs/>
        </w:rPr>
        <w:t>Secretary, Department of Health and Community Services v JWB and SMB</w:t>
      </w:r>
      <w:r w:rsidRPr="00F274C6">
        <w:t> (</w:t>
      </w:r>
      <w:r w:rsidRPr="00F274C6">
        <w:rPr>
          <w:i/>
          <w:iCs/>
        </w:rPr>
        <w:t>Marion’s Case</w:t>
      </w:r>
      <w:r w:rsidRPr="00F274C6">
        <w:t xml:space="preserve">)). </w:t>
      </w:r>
    </w:p>
    <w:p w14:paraId="09C5711B" w14:textId="77777777" w:rsidR="00F274C6" w:rsidRPr="00F274C6" w:rsidRDefault="00F274C6" w:rsidP="00F274C6">
      <w:pPr>
        <w:pStyle w:val="Numberedparagraph"/>
      </w:pPr>
      <w:r w:rsidRPr="00F274C6">
        <w:t>The High Court has confirmed that competent children and/or their legal guardian/s may consent to gender affirming hormone treatment (stage 1 and 2) without court or other oversight (</w:t>
      </w:r>
      <w:r w:rsidRPr="00F274C6">
        <w:rPr>
          <w:i/>
          <w:iCs/>
        </w:rPr>
        <w:t xml:space="preserve">Re Kelvin [2017] </w:t>
      </w:r>
      <w:proofErr w:type="spellStart"/>
      <w:r w:rsidRPr="00F274C6">
        <w:rPr>
          <w:i/>
          <w:iCs/>
        </w:rPr>
        <w:t>FamCAFC</w:t>
      </w:r>
      <w:proofErr w:type="spellEnd"/>
      <w:r w:rsidRPr="00F274C6">
        <w:rPr>
          <w:i/>
          <w:iCs/>
        </w:rPr>
        <w:t xml:space="preserve"> 258</w:t>
      </w:r>
      <w:r w:rsidRPr="00F274C6">
        <w:t xml:space="preserve">). Court intervention is only needed where there is a dispute between medical advice and parental consent or a dispute over the child’s competency. Further, in </w:t>
      </w:r>
      <w:r w:rsidRPr="00F274C6">
        <w:rPr>
          <w:i/>
          <w:iCs/>
        </w:rPr>
        <w:t>Re A (2022) 11 QR 1</w:t>
      </w:r>
      <w:r w:rsidRPr="00F274C6">
        <w:t xml:space="preserve"> the Queensland Supreme Court confirmed that once it is concluded that a child is competent, they should not be denied the opportunity to consent to hormone treatment, even in the absence of the consent of both parents. The Supreme Court further clarified that to deny a child any such opportunity would be inconsistent with their human rights. </w:t>
      </w:r>
    </w:p>
    <w:p w14:paraId="7690D32D" w14:textId="77777777" w:rsidR="00F274C6" w:rsidRPr="00F274C6" w:rsidRDefault="00F274C6" w:rsidP="00F274C6">
      <w:pPr>
        <w:pStyle w:val="Numberedparagraph"/>
      </w:pPr>
      <w:r w:rsidRPr="00F274C6">
        <w:t xml:space="preserve">Preventing a child, or their guardians, from making their own decisions in relation to health care limits the child’s and guardian’s human rights to equality, privacy, protection of children and families and to access to health services which are protected in Queensland by the </w:t>
      </w:r>
      <w:r w:rsidRPr="00F274C6">
        <w:rPr>
          <w:i/>
          <w:iCs/>
        </w:rPr>
        <w:t>Human Rights Act 2019</w:t>
      </w:r>
      <w:r w:rsidRPr="00F274C6">
        <w:t xml:space="preserve"> (Qld) (</w:t>
      </w:r>
      <w:r w:rsidRPr="00F274C6">
        <w:rPr>
          <w:b/>
          <w:bCs/>
        </w:rPr>
        <w:t>HRA</w:t>
      </w:r>
      <w:r w:rsidRPr="00F274C6">
        <w:t>). Where children or their guardians are prevented from consenting to treatment which has been prescribed to address psychological distress and/or mitigate risks of self-harm and suicide, the child’s rights to life and protection from cruel, inhuman and degrading treatment (s 16 and 17) are also limited.</w:t>
      </w:r>
    </w:p>
    <w:p w14:paraId="2D02524B" w14:textId="77777777" w:rsidR="00F274C6" w:rsidRPr="00F274C6" w:rsidRDefault="00F274C6" w:rsidP="00F274C6">
      <w:pPr>
        <w:pStyle w:val="Numberedparagraph"/>
      </w:pPr>
      <w:r w:rsidRPr="00F274C6">
        <w:lastRenderedPageBreak/>
        <w:t>Under the HRA, any limits on human rights created by government actions or decisions must be justified, having regard to the limitation’s purpose, and the evidence that the limitation would help achieve the purpose, is least restrictive of rights, and on balance, is more important than preserving the human rights that have been limited (section 8/13, HRA). Proper consideration of human rights normally involves consultation with people affected by the decision, particularly decisions affecting children.</w:t>
      </w:r>
    </w:p>
    <w:p w14:paraId="4D1BE548" w14:textId="77777777" w:rsidR="00F274C6" w:rsidRPr="00F274C6" w:rsidRDefault="00F274C6" w:rsidP="00F274C6">
      <w:pPr>
        <w:pStyle w:val="Numberedparagraph"/>
      </w:pPr>
      <w:r w:rsidRPr="00F274C6">
        <w:t xml:space="preserve">A policy position or decision that generally limits or prevents a form of health treatment for a particular health condition, despite its proven safety and effectiveness, would need to identify human rights affected by the decision, and consider whether those limitations are demonstrably justified, primarily having regard to the best interests of the child. Irreversibility of treatment is not determinative of what is in the best interests of the child. </w:t>
      </w:r>
    </w:p>
    <w:p w14:paraId="4237D36C" w14:textId="77777777" w:rsidR="00F274C6" w:rsidRPr="00F274C6" w:rsidRDefault="00F274C6" w:rsidP="00F274C6">
      <w:pPr>
        <w:pStyle w:val="Numberedparagraph"/>
      </w:pPr>
      <w:r w:rsidRPr="00F274C6">
        <w:t>As discussed at 2a. above, a recent independent evaluation of the Queensland Children’s Gender Service (</w:t>
      </w:r>
      <w:r w:rsidRPr="00BC22B5">
        <w:rPr>
          <w:b/>
          <w:bCs/>
        </w:rPr>
        <w:t>QCGS</w:t>
      </w:r>
      <w:r w:rsidRPr="00F274C6">
        <w:t>) (</w:t>
      </w:r>
      <w:r w:rsidRPr="00F274C6">
        <w:rPr>
          <w:i/>
          <w:iCs/>
        </w:rPr>
        <w:t>Queensland Children’s Gender Service: external clinical service evaluation</w:t>
      </w:r>
      <w:r w:rsidRPr="00F274C6">
        <w:t>) (</w:t>
      </w:r>
      <w:r w:rsidRPr="00F274C6">
        <w:rPr>
          <w:b/>
          <w:bCs/>
        </w:rPr>
        <w:t>the Evaluation</w:t>
      </w:r>
      <w:r w:rsidRPr="00F274C6">
        <w:t xml:space="preserve">) found the QCGS was providing care, including in relation to the provision of hormone treatment, in line with peer reviewed, widely endorsed national and international guidelines. The Evaluation also found the QCGS’s procedures for obtaining informed consent prior to prescription of hormone treatment is comprehensive (p7). The Evaluation further notes QCGS has clear guidance on the steps to be followed by clinicians when obtaining informed consent, including discussing treatment benefits, risks and side effects, (p57). </w:t>
      </w:r>
    </w:p>
    <w:p w14:paraId="72B6AF06" w14:textId="2FBA281E" w:rsidR="00F274C6" w:rsidRPr="00F274C6" w:rsidRDefault="00F274C6" w:rsidP="00F274C6">
      <w:pPr>
        <w:pStyle w:val="Heading2"/>
      </w:pPr>
      <w:bookmarkStart w:id="27" w:name="_Toc204760992"/>
      <w:r>
        <w:t xml:space="preserve">Question 3b. </w:t>
      </w:r>
      <w:r w:rsidRPr="00F274C6">
        <w:t>Concerns for Stage 2 hormone treatment?</w:t>
      </w:r>
      <w:bookmarkEnd w:id="27"/>
    </w:p>
    <w:p w14:paraId="65655C62" w14:textId="77777777" w:rsidR="00F274C6" w:rsidRPr="00F274C6" w:rsidRDefault="00F274C6" w:rsidP="00F274C6">
      <w:pPr>
        <w:pStyle w:val="Numberedparagraph"/>
      </w:pPr>
      <w:r w:rsidRPr="00F274C6">
        <w:t xml:space="preserve">Please refer to response to 3a ‘Concerns for Stage 1 hormone Treatment’. The QHRC has no concerns about the reversibility or irreversibility of stage 1 or 2 hormone treatment. </w:t>
      </w:r>
    </w:p>
    <w:p w14:paraId="7C960852" w14:textId="2BA60286" w:rsidR="00F274C6" w:rsidRPr="00F274C6" w:rsidRDefault="00F274C6" w:rsidP="00F274C6">
      <w:pPr>
        <w:pStyle w:val="Heading2"/>
      </w:pPr>
      <w:bookmarkStart w:id="28" w:name="_Toc204760993"/>
      <w:r>
        <w:t xml:space="preserve">Questions 3c. </w:t>
      </w:r>
      <w:r w:rsidRPr="00F274C6">
        <w:t>What are they?</w:t>
      </w:r>
      <w:bookmarkEnd w:id="28"/>
    </w:p>
    <w:p w14:paraId="22CA2122" w14:textId="77777777" w:rsidR="00F274C6" w:rsidRPr="00F274C6" w:rsidRDefault="00F274C6" w:rsidP="00F274C6">
      <w:pPr>
        <w:pStyle w:val="Numberedparagraph"/>
      </w:pPr>
      <w:r w:rsidRPr="00F274C6">
        <w:t xml:space="preserve">Please refer to response to 3a ‘Concerns for Stage 1 hormone Treatment’. The QHRC has no concerns about the reversibility or irreversibility of stage 1 or 2 hormone treatment. </w:t>
      </w:r>
    </w:p>
    <w:p w14:paraId="3F65EC32" w14:textId="2D9FFDF7" w:rsidR="00F274C6" w:rsidRPr="00F274C6" w:rsidRDefault="00F274C6" w:rsidP="00F274C6">
      <w:pPr>
        <w:pStyle w:val="Heading1"/>
      </w:pPr>
      <w:bookmarkStart w:id="29" w:name="_Toc204760994"/>
      <w:r>
        <w:t xml:space="preserve">Question 4: </w:t>
      </w:r>
      <w:r w:rsidRPr="00F274C6">
        <w:t>Do you have any other concerns about the impacts of Stage 1 and/or Stage 2 hormone treatments for children and adolescents in the short, medium and/or long term?</w:t>
      </w:r>
      <w:bookmarkEnd w:id="29"/>
    </w:p>
    <w:p w14:paraId="442301A5" w14:textId="79384F97" w:rsidR="00F274C6" w:rsidRPr="00F274C6" w:rsidRDefault="00F274C6" w:rsidP="00F274C6">
      <w:pPr>
        <w:pStyle w:val="Numberedparagraph"/>
      </w:pPr>
      <w:r w:rsidRPr="00F274C6">
        <w:t xml:space="preserve">The QHRC has no concerns about the impacts of stage 1 or 2 hormone treatment in the short, medium or long term. Health treatments can involve negative side effects, however, will still be clinically recommended when outweighed by the positive benefits the treatment provides. There is a comprehensive body of high-quality evidence which documents the positive impact of gender-affirming treatments, including stage 1 and 2 hormone treatment. The use of hormone treatment is also widely supported by major medical and international organisations, both in Australia and internationally (see for example: the Australian Medical Association, the Royal Australian College of General Practitioners, the Royal Australasian College of Physicians, the Endocrine Society of </w:t>
      </w:r>
      <w:r w:rsidRPr="00F274C6">
        <w:lastRenderedPageBreak/>
        <w:t xml:space="preserve">Australia, and the Australian Psychological Society, the American Medical Association, the American Academy of </w:t>
      </w:r>
      <w:proofErr w:type="spellStart"/>
      <w:r w:rsidRPr="00F274C6">
        <w:t>Pediatrics</w:t>
      </w:r>
      <w:proofErr w:type="spellEnd"/>
      <w:r w:rsidRPr="00F274C6">
        <w:t xml:space="preserve">). </w:t>
      </w:r>
    </w:p>
    <w:p w14:paraId="0E02FBB9" w14:textId="77777777" w:rsidR="00F274C6" w:rsidRPr="00F274C6" w:rsidRDefault="00F274C6" w:rsidP="00F274C6">
      <w:pPr>
        <w:pStyle w:val="Numberedparagraph"/>
      </w:pPr>
      <w:r w:rsidRPr="00F274C6">
        <w:t xml:space="preserve">The most recent and comprehensive review of the evidence in relation to gender affirming hormone treatment for children was published in August 2024 by J Strohecker and M Hoffman: </w:t>
      </w:r>
      <w:r w:rsidRPr="00F274C6">
        <w:rPr>
          <w:i/>
          <w:iCs/>
        </w:rPr>
        <w:t xml:space="preserve">Gender-Affirming Medical Treatments </w:t>
      </w:r>
      <w:proofErr w:type="gramStart"/>
      <w:r w:rsidRPr="00F274C6">
        <w:rPr>
          <w:i/>
          <w:iCs/>
        </w:rPr>
        <w:t>For</w:t>
      </w:r>
      <w:proofErr w:type="gramEnd"/>
      <w:r w:rsidRPr="00F274C6">
        <w:rPr>
          <w:i/>
          <w:iCs/>
        </w:rPr>
        <w:t xml:space="preserve"> </w:t>
      </w:r>
      <w:proofErr w:type="spellStart"/>
      <w:r w:rsidRPr="00F274C6">
        <w:rPr>
          <w:i/>
          <w:iCs/>
        </w:rPr>
        <w:t>Pediatric</w:t>
      </w:r>
      <w:proofErr w:type="spellEnd"/>
      <w:r w:rsidRPr="00F274C6">
        <w:rPr>
          <w:i/>
          <w:iCs/>
        </w:rPr>
        <w:t xml:space="preserve"> Patients </w:t>
      </w:r>
      <w:proofErr w:type="gramStart"/>
      <w:r w:rsidRPr="00F274C6">
        <w:rPr>
          <w:i/>
          <w:iCs/>
        </w:rPr>
        <w:t>With</w:t>
      </w:r>
      <w:proofErr w:type="gramEnd"/>
      <w:r w:rsidRPr="00F274C6">
        <w:rPr>
          <w:i/>
          <w:iCs/>
        </w:rPr>
        <w:t xml:space="preserve"> Gender Dysphoria </w:t>
      </w:r>
      <w:r w:rsidRPr="00F274C6">
        <w:t xml:space="preserve">(the </w:t>
      </w:r>
      <w:r w:rsidRPr="00F274C6">
        <w:rPr>
          <w:b/>
          <w:bCs/>
        </w:rPr>
        <w:t>Utah review</w:t>
      </w:r>
      <w:r w:rsidRPr="00F274C6">
        <w:t>). The Utah review found the ‘consensus of the evidence supports that hormone treatments are safe and effective in terms of mental health, psychosocial outcomes, and the induction of body changes in children’ (p90).</w:t>
      </w:r>
    </w:p>
    <w:p w14:paraId="237FA773" w14:textId="77777777" w:rsidR="00F274C6" w:rsidRPr="00F274C6" w:rsidRDefault="00F274C6" w:rsidP="00F274C6">
      <w:pPr>
        <w:pStyle w:val="Numberedparagraph"/>
      </w:pPr>
      <w:r w:rsidRPr="00F274C6">
        <w:t xml:space="preserve">The Sax Institute review: </w:t>
      </w:r>
      <w:r w:rsidRPr="00F274C6">
        <w:rPr>
          <w:i/>
          <w:iCs/>
        </w:rPr>
        <w:t>Evidence for effective interventions for children and young people with gender dysphoria</w:t>
      </w:r>
      <w:r w:rsidRPr="00F274C6">
        <w:t>, published in February 2024, also found in relation to Stage 1 hormone therapy ‘[p]</w:t>
      </w:r>
      <w:proofErr w:type="spellStart"/>
      <w:r w:rsidRPr="00F274C6">
        <w:t>uberty</w:t>
      </w:r>
      <w:proofErr w:type="spellEnd"/>
      <w:r w:rsidRPr="00F274C6">
        <w:t xml:space="preserve"> suppression for [trans and gender diverse] adolescents appears to be effective, safe, well tolerated and reversible, thus allowing the adolescent to explore their gender identity before embarking on irreversible, or partially irreversible, treatment (NHMRC levels III-2–IV)’. In relation to Stage 2 hormone therapy, the review found ‘improved body image, decreased body dissatisfaction, reduced gender dysphoria and improved psychological wellbeing (NHMRC levels III-2–IV and below; includes one qualitative study).’</w:t>
      </w:r>
    </w:p>
    <w:p w14:paraId="7347A5F0" w14:textId="77777777" w:rsidR="00F274C6" w:rsidRPr="00F274C6" w:rsidRDefault="00F274C6" w:rsidP="00F274C6">
      <w:pPr>
        <w:pStyle w:val="Numberedparagraph"/>
      </w:pPr>
      <w:r w:rsidRPr="00F274C6">
        <w:t xml:space="preserve">The </w:t>
      </w:r>
      <w:r w:rsidRPr="00F274C6">
        <w:rPr>
          <w:i/>
          <w:iCs/>
        </w:rPr>
        <w:t>Evidence Brief: Puberty Blockers, 2024</w:t>
      </w:r>
      <w:r w:rsidRPr="00F274C6">
        <w:t xml:space="preserve"> and </w:t>
      </w:r>
      <w:r w:rsidRPr="00F274C6">
        <w:rPr>
          <w:i/>
          <w:iCs/>
        </w:rPr>
        <w:t>Evidence Brief: Gender Affirming Hormone Therapy, 2024</w:t>
      </w:r>
      <w:r w:rsidRPr="00F274C6">
        <w:t xml:space="preserve"> documents developed by the Australian Professional Association for Trans Health (</w:t>
      </w:r>
      <w:proofErr w:type="spellStart"/>
      <w:r w:rsidRPr="00F274C6">
        <w:rPr>
          <w:b/>
          <w:bCs/>
        </w:rPr>
        <w:t>AusPath</w:t>
      </w:r>
      <w:proofErr w:type="spellEnd"/>
      <w:r w:rsidRPr="00F274C6">
        <w:t>) and Transcend further provide multiple, peer-reviewed studies, which evidence the following statements:</w:t>
      </w:r>
    </w:p>
    <w:p w14:paraId="1EB5ED1D" w14:textId="77777777" w:rsidR="00F274C6" w:rsidRPr="00F274C6" w:rsidRDefault="00F274C6" w:rsidP="00C451FA">
      <w:pPr>
        <w:pStyle w:val="Numberedparagraph"/>
        <w:numPr>
          <w:ilvl w:val="0"/>
          <w:numId w:val="15"/>
        </w:numPr>
      </w:pPr>
      <w:r w:rsidRPr="00F274C6">
        <w:t>Hormone treatments result in improvements to mental wellbeing.</w:t>
      </w:r>
    </w:p>
    <w:p w14:paraId="44562E01" w14:textId="77777777" w:rsidR="00F274C6" w:rsidRPr="00F274C6" w:rsidRDefault="00F274C6" w:rsidP="00C451FA">
      <w:pPr>
        <w:pStyle w:val="Numberedparagraph"/>
        <w:numPr>
          <w:ilvl w:val="0"/>
          <w:numId w:val="15"/>
        </w:numPr>
      </w:pPr>
      <w:r w:rsidRPr="00F274C6">
        <w:t xml:space="preserve">Stage 2 treatment results in increased body satisfaction and gender congruence, as well as improved general wellbeing and life satisfaction. </w:t>
      </w:r>
    </w:p>
    <w:p w14:paraId="392FA63E" w14:textId="77777777" w:rsidR="00F274C6" w:rsidRPr="00F274C6" w:rsidRDefault="00F274C6" w:rsidP="00C451FA">
      <w:pPr>
        <w:pStyle w:val="Numberedparagraph"/>
        <w:numPr>
          <w:ilvl w:val="0"/>
          <w:numId w:val="15"/>
        </w:numPr>
      </w:pPr>
      <w:r w:rsidRPr="00F274C6">
        <w:t>Trans children receiving gender-affirming hormones have better mental wellbeing than trans children who have not accessed gender-affirming hormones.</w:t>
      </w:r>
    </w:p>
    <w:p w14:paraId="7409761B" w14:textId="77777777" w:rsidR="00F274C6" w:rsidRPr="00F274C6" w:rsidRDefault="00F274C6" w:rsidP="00F274C6">
      <w:pPr>
        <w:pStyle w:val="Numberedparagraph"/>
        <w:rPr>
          <w:u w:val="single"/>
        </w:rPr>
      </w:pPr>
      <w:r w:rsidRPr="00F274C6">
        <w:t>Importantly, the QHRC is not aware of any empirical evidence which demonstrates that stage 1 treatment has caused detriment. Puberty blocking medications have been used to safely treat precocious (early) puberty in young people for decades, before they were first utilised as a treatment option for trans and gender diverse children.</w:t>
      </w:r>
    </w:p>
    <w:p w14:paraId="2A04E4FE" w14:textId="77777777" w:rsidR="00F274C6" w:rsidRPr="00F274C6" w:rsidRDefault="00F274C6" w:rsidP="00F274C6">
      <w:pPr>
        <w:pStyle w:val="Numberedparagraph"/>
      </w:pPr>
      <w:r w:rsidRPr="00F274C6">
        <w:t>As raised by Equality Australia and other organisations, the Panel may receive submissions concerning retransition and regret, bone density, cognitive development, and fertility. In relation to these, the QHRC emphasises:</w:t>
      </w:r>
    </w:p>
    <w:p w14:paraId="18D1AF6E" w14:textId="4010B497" w:rsidR="00F274C6" w:rsidRPr="00F274C6" w:rsidRDefault="00F274C6" w:rsidP="0089102B">
      <w:pPr>
        <w:pStyle w:val="Numberedparagraph"/>
        <w:numPr>
          <w:ilvl w:val="0"/>
          <w:numId w:val="10"/>
        </w:numPr>
      </w:pPr>
      <w:r w:rsidRPr="00F274C6">
        <w:t xml:space="preserve">Retransition and regret: the Utah review found based on 32 studies, ‘there is virtually no regret associated with receiving the treatments, even in the very small percentages of patients who ultimately discontinued them. Reasons for discontinuing </w:t>
      </w:r>
      <w:r w:rsidR="008E7890">
        <w:t>[gender-affirming hormone treatment]</w:t>
      </w:r>
      <w:r w:rsidRPr="00F274C6">
        <w:t xml:space="preserve"> are varied, but changed minds about gender identities is only a very minor proportion overall.’ (p91) </w:t>
      </w:r>
    </w:p>
    <w:p w14:paraId="3F43C98E" w14:textId="77777777" w:rsidR="00F274C6" w:rsidRPr="00F274C6" w:rsidRDefault="00F274C6" w:rsidP="0089102B">
      <w:pPr>
        <w:pStyle w:val="Numberedparagraph"/>
        <w:numPr>
          <w:ilvl w:val="0"/>
          <w:numId w:val="10"/>
        </w:numPr>
      </w:pPr>
      <w:r w:rsidRPr="00F274C6">
        <w:lastRenderedPageBreak/>
        <w:t xml:space="preserve">Bone density: many medications cause changes in bone density. Bone density is actively monitored. There are medications that can improve bone density. </w:t>
      </w:r>
    </w:p>
    <w:p w14:paraId="26982813" w14:textId="77777777" w:rsidR="00F274C6" w:rsidRPr="00F274C6" w:rsidRDefault="00F274C6" w:rsidP="0089102B">
      <w:pPr>
        <w:pStyle w:val="Numberedparagraph"/>
        <w:numPr>
          <w:ilvl w:val="0"/>
          <w:numId w:val="10"/>
        </w:numPr>
      </w:pPr>
      <w:r w:rsidRPr="00F274C6">
        <w:t xml:space="preserve">Cognitive development: cognitive decline is not an observed concern in trans communities. </w:t>
      </w:r>
    </w:p>
    <w:p w14:paraId="3646326D" w14:textId="77777777" w:rsidR="00F274C6" w:rsidRPr="00F274C6" w:rsidRDefault="00F274C6" w:rsidP="0089102B">
      <w:pPr>
        <w:pStyle w:val="Numberedparagraph"/>
        <w:numPr>
          <w:ilvl w:val="0"/>
          <w:numId w:val="10"/>
        </w:numPr>
      </w:pPr>
      <w:r w:rsidRPr="00F274C6">
        <w:t xml:space="preserve">Fertility: hormone treatment for trans women does not lead to permanent infertility. In Queensland, fertility counselling must be provided prior to commencement of hormone treatment (see </w:t>
      </w:r>
      <w:r w:rsidRPr="008E7890">
        <w:rPr>
          <w:i/>
          <w:iCs/>
        </w:rPr>
        <w:t>Australian Standards of Care and Treatment Guidelines for Trans and Gender Diverse Children and Adolescents</w:t>
      </w:r>
      <w:r w:rsidRPr="00F274C6">
        <w:t xml:space="preserve"> (version 1.4 p23-24).</w:t>
      </w:r>
    </w:p>
    <w:p w14:paraId="05910832" w14:textId="74A06E11" w:rsidR="00F274C6" w:rsidRPr="00F274C6" w:rsidRDefault="00F274C6" w:rsidP="00F274C6">
      <w:pPr>
        <w:pStyle w:val="Heading1"/>
      </w:pPr>
      <w:bookmarkStart w:id="30" w:name="_Toc204760995"/>
      <w:r>
        <w:t xml:space="preserve">Question 5: </w:t>
      </w:r>
      <w:r w:rsidRPr="00F274C6">
        <w:t>How much information about the short, medium and/or long-term risks and/or benefits of Stage 1 and Stage 2 hormone treatment do you think a treating team should provide to a child or adolescent (and/or their parent or carer) before commencing treatment?</w:t>
      </w:r>
      <w:bookmarkEnd w:id="30"/>
    </w:p>
    <w:p w14:paraId="27F40ACE" w14:textId="77777777" w:rsidR="00F274C6" w:rsidRPr="00F274C6" w:rsidRDefault="00F274C6" w:rsidP="00F274C6">
      <w:pPr>
        <w:pStyle w:val="Numberedparagraph"/>
      </w:pPr>
      <w:r w:rsidRPr="00F274C6">
        <w:t xml:space="preserve">All medical treatments require informed consent. Informed consent means a patient has received sufficient information, in a way they can understand, including on the risks and/or benefits to enable them to make an informed decision and give voluntary permission for the treatment to proceed. </w:t>
      </w:r>
    </w:p>
    <w:p w14:paraId="584F53DB" w14:textId="77777777" w:rsidR="00F274C6" w:rsidRPr="00F274C6" w:rsidRDefault="00F274C6" w:rsidP="00F274C6">
      <w:pPr>
        <w:pStyle w:val="Numberedparagraph"/>
      </w:pPr>
      <w:r w:rsidRPr="00F274C6">
        <w:t>The Queensland Health</w:t>
      </w:r>
      <w:r w:rsidRPr="00F274C6">
        <w:rPr>
          <w:i/>
          <w:iCs/>
        </w:rPr>
        <w:t xml:space="preserve"> Guide to Informed Decision making in Healthcare</w:t>
      </w:r>
      <w:r w:rsidRPr="00F274C6">
        <w:t xml:space="preserve"> (the </w:t>
      </w:r>
      <w:r w:rsidRPr="00F274C6">
        <w:rPr>
          <w:b/>
          <w:bCs/>
        </w:rPr>
        <w:t>Guidelines</w:t>
      </w:r>
      <w:r w:rsidRPr="00F274C6">
        <w:t>) provide that for informed consent to be valid:</w:t>
      </w:r>
    </w:p>
    <w:p w14:paraId="7650DC49" w14:textId="77777777" w:rsidR="00F274C6" w:rsidRPr="00F274C6" w:rsidRDefault="00F274C6" w:rsidP="005E58DF">
      <w:pPr>
        <w:pStyle w:val="Numberedparagraph"/>
        <w:numPr>
          <w:ilvl w:val="0"/>
          <w:numId w:val="10"/>
        </w:numPr>
      </w:pPr>
      <w:r w:rsidRPr="00F274C6">
        <w:t xml:space="preserve">the patient must receive advice on the </w:t>
      </w:r>
      <w:proofErr w:type="gramStart"/>
      <w:r w:rsidRPr="00F274C6">
        <w:t>diagnosis;</w:t>
      </w:r>
      <w:proofErr w:type="gramEnd"/>
    </w:p>
    <w:p w14:paraId="171FD3A9" w14:textId="77777777" w:rsidR="00F274C6" w:rsidRPr="00F274C6" w:rsidRDefault="00F274C6" w:rsidP="005E58DF">
      <w:pPr>
        <w:pStyle w:val="Numberedparagraph"/>
        <w:numPr>
          <w:ilvl w:val="0"/>
          <w:numId w:val="10"/>
        </w:numPr>
      </w:pPr>
      <w:r w:rsidRPr="00F274C6">
        <w:t xml:space="preserve">the recommended healthcare, inc. expected benefits, common adverse effects, and alternative health care </w:t>
      </w:r>
      <w:proofErr w:type="gramStart"/>
      <w:r w:rsidRPr="00F274C6">
        <w:t>options;</w:t>
      </w:r>
      <w:proofErr w:type="gramEnd"/>
    </w:p>
    <w:p w14:paraId="3B07A6AE" w14:textId="77777777" w:rsidR="00F274C6" w:rsidRPr="00F274C6" w:rsidRDefault="00F274C6" w:rsidP="005E58DF">
      <w:pPr>
        <w:pStyle w:val="Numberedparagraph"/>
        <w:numPr>
          <w:ilvl w:val="0"/>
          <w:numId w:val="10"/>
        </w:numPr>
      </w:pPr>
      <w:r w:rsidRPr="00F274C6">
        <w:t xml:space="preserve">the material </w:t>
      </w:r>
      <w:proofErr w:type="gramStart"/>
      <w:r w:rsidRPr="00F274C6">
        <w:t>risks;</w:t>
      </w:r>
      <w:proofErr w:type="gramEnd"/>
      <w:r w:rsidRPr="00F274C6">
        <w:t xml:space="preserve"> </w:t>
      </w:r>
    </w:p>
    <w:p w14:paraId="2F92221A" w14:textId="77777777" w:rsidR="00F274C6" w:rsidRPr="00F274C6" w:rsidRDefault="00F274C6" w:rsidP="005E58DF">
      <w:pPr>
        <w:pStyle w:val="Numberedparagraph"/>
        <w:numPr>
          <w:ilvl w:val="0"/>
          <w:numId w:val="10"/>
        </w:numPr>
      </w:pPr>
      <w:r w:rsidRPr="00F274C6">
        <w:t xml:space="preserve">any significant long-term physical, emotional, mental, social, sexual, or other expected </w:t>
      </w:r>
      <w:proofErr w:type="gramStart"/>
      <w:r w:rsidRPr="00F274C6">
        <w:t>outcomes;</w:t>
      </w:r>
      <w:proofErr w:type="gramEnd"/>
      <w:r w:rsidRPr="00F274C6">
        <w:t xml:space="preserve"> </w:t>
      </w:r>
    </w:p>
    <w:p w14:paraId="1432FE77" w14:textId="77777777" w:rsidR="00F274C6" w:rsidRPr="00F274C6" w:rsidRDefault="00F274C6" w:rsidP="005E58DF">
      <w:pPr>
        <w:pStyle w:val="Numberedparagraph"/>
        <w:numPr>
          <w:ilvl w:val="0"/>
          <w:numId w:val="10"/>
        </w:numPr>
      </w:pPr>
      <w:r w:rsidRPr="00F274C6">
        <w:t xml:space="preserve">the degree of certainty of any </w:t>
      </w:r>
      <w:proofErr w:type="gramStart"/>
      <w:r w:rsidRPr="00F274C6">
        <w:t>diagnosis;</w:t>
      </w:r>
      <w:proofErr w:type="gramEnd"/>
    </w:p>
    <w:p w14:paraId="0358C57E" w14:textId="77777777" w:rsidR="00F274C6" w:rsidRPr="00F274C6" w:rsidRDefault="00F274C6" w:rsidP="005E58DF">
      <w:pPr>
        <w:pStyle w:val="Numberedparagraph"/>
        <w:numPr>
          <w:ilvl w:val="0"/>
          <w:numId w:val="10"/>
        </w:numPr>
      </w:pPr>
      <w:r w:rsidRPr="00F274C6">
        <w:t xml:space="preserve">the degree of certainty about therapeutic </w:t>
      </w:r>
      <w:proofErr w:type="gramStart"/>
      <w:r w:rsidRPr="00F274C6">
        <w:t>outcome;</w:t>
      </w:r>
      <w:proofErr w:type="gramEnd"/>
      <w:r w:rsidRPr="00F274C6">
        <w:t xml:space="preserve"> </w:t>
      </w:r>
    </w:p>
    <w:p w14:paraId="7F9D3754" w14:textId="77777777" w:rsidR="00F274C6" w:rsidRPr="00F274C6" w:rsidRDefault="00F274C6" w:rsidP="005E58DF">
      <w:pPr>
        <w:pStyle w:val="Numberedparagraph"/>
        <w:numPr>
          <w:ilvl w:val="0"/>
          <w:numId w:val="10"/>
        </w:numPr>
      </w:pPr>
      <w:r w:rsidRPr="00F274C6">
        <w:t xml:space="preserve">whether the health care is conventional or experimental; and </w:t>
      </w:r>
    </w:p>
    <w:p w14:paraId="4D60996F" w14:textId="77777777" w:rsidR="00F274C6" w:rsidRPr="00F274C6" w:rsidRDefault="00F274C6" w:rsidP="005E58DF">
      <w:pPr>
        <w:pStyle w:val="Numberedparagraph"/>
        <w:numPr>
          <w:ilvl w:val="0"/>
          <w:numId w:val="10"/>
        </w:numPr>
      </w:pPr>
      <w:r w:rsidRPr="00F274C6">
        <w:t xml:space="preserve">the anticipated recovery implications (p8). </w:t>
      </w:r>
    </w:p>
    <w:p w14:paraId="0DEB2459" w14:textId="77777777" w:rsidR="00F274C6" w:rsidRPr="00F274C6" w:rsidRDefault="00F274C6" w:rsidP="00F274C6">
      <w:pPr>
        <w:pStyle w:val="Numberedparagraph"/>
      </w:pPr>
      <w:r w:rsidRPr="00F274C6">
        <w:t xml:space="preserve">The patient must also have capacity to make a decision; the consent must be voluntarily given, free from manipulation or influence; the discussion between the patient and health practitioner must be transparent, balanced and involves two-way communication; and the patient must be able to clearly understand the information and have sufficient time to consider and clarify information in order to make an informed decision (p8).  </w:t>
      </w:r>
    </w:p>
    <w:p w14:paraId="10DE28D3" w14:textId="77777777" w:rsidR="00F274C6" w:rsidRPr="00F274C6" w:rsidRDefault="00F274C6" w:rsidP="00F274C6">
      <w:pPr>
        <w:pStyle w:val="Numberedparagraph"/>
      </w:pPr>
      <w:r w:rsidRPr="00F274C6">
        <w:lastRenderedPageBreak/>
        <w:t xml:space="preserve">The Queensland Children’s Gender Service (QCGS) employ the Guidelines to obtain informed consent. The </w:t>
      </w:r>
      <w:r w:rsidRPr="00F274C6">
        <w:rPr>
          <w:i/>
          <w:iCs/>
        </w:rPr>
        <w:t>Queensland Children’s Gender Service: external clinical service evaluation</w:t>
      </w:r>
      <w:r w:rsidRPr="00F274C6">
        <w:t xml:space="preserve"> (</w:t>
      </w:r>
      <w:r w:rsidRPr="00F274C6">
        <w:rPr>
          <w:b/>
          <w:bCs/>
        </w:rPr>
        <w:t>the Evaluation</w:t>
      </w:r>
      <w:r w:rsidRPr="00F274C6">
        <w:t xml:space="preserve">) found the informed consent process for commencement of hormone treatment is comprehensive (p7). Specifically, the Evaluation notes QCGS has clear guidance on the steps to be followed by all clinicians when obtaining informed consent, including discussing treatment benefits, risks and side effects, as well as presenting all information in a developmentally appropriate way (p57). </w:t>
      </w:r>
    </w:p>
    <w:p w14:paraId="35D0ECDC" w14:textId="77777777" w:rsidR="00F274C6" w:rsidRPr="00F274C6" w:rsidRDefault="00F274C6" w:rsidP="00F274C6">
      <w:pPr>
        <w:pStyle w:val="Numberedparagraph"/>
      </w:pPr>
      <w:r w:rsidRPr="00F274C6">
        <w:t>The Evaluation also notes there was no evidence of children, or their families being hurried or coerced into making decisions about medical intervention. Moreover, following comprehensive assessment, only 12% of children had been prescribed puberty blockers, and 17% had been prescribed gender affirming hormone treatment. (p58) Out of the total cohort of children who attended an initial session between February 2023 and April 2023, the majority (71%) had not been prescribed medical treatment in the 12 months following intake (p58).</w:t>
      </w:r>
    </w:p>
    <w:p w14:paraId="2B1B9555" w14:textId="2F33149A" w:rsidR="00F274C6" w:rsidRPr="00F274C6" w:rsidRDefault="00F274C6" w:rsidP="00F274C6">
      <w:pPr>
        <w:pStyle w:val="Numberedparagraph"/>
      </w:pPr>
      <w:r w:rsidRPr="00F274C6">
        <w:t>In relation to the below question</w:t>
      </w:r>
      <w:r w:rsidR="0013708C">
        <w:t xml:space="preserve"> (Question 6)</w:t>
      </w:r>
      <w:r w:rsidRPr="00F274C6">
        <w:t xml:space="preserve"> about how a treating team would know a child or adolescent has understood the information given to them:</w:t>
      </w:r>
    </w:p>
    <w:p w14:paraId="5C3C9673" w14:textId="61223D8D" w:rsidR="00F274C6" w:rsidRPr="00F274C6" w:rsidRDefault="00F274C6" w:rsidP="00F274C6">
      <w:pPr>
        <w:pStyle w:val="Numberedparagraph"/>
      </w:pPr>
      <w:r w:rsidRPr="00F274C6">
        <w:t>The</w:t>
      </w:r>
      <w:r w:rsidR="00FB07E4">
        <w:t xml:space="preserve"> Queensland Health</w:t>
      </w:r>
      <w:r w:rsidRPr="00F274C6">
        <w:t xml:space="preserve"> </w:t>
      </w:r>
      <w:r w:rsidRPr="00FB07E4">
        <w:rPr>
          <w:i/>
          <w:iCs/>
        </w:rPr>
        <w:t>Guide to Informed Decision making in Healthcare</w:t>
      </w:r>
      <w:r w:rsidRPr="00F274C6">
        <w:t xml:space="preserve"> (</w:t>
      </w:r>
      <w:r w:rsidRPr="00F274C6">
        <w:rPr>
          <w:b/>
          <w:bCs/>
        </w:rPr>
        <w:t>Guidelines</w:t>
      </w:r>
      <w:r w:rsidRPr="00F274C6">
        <w:t>) indicate what should be considered when obtaining informed consent. Regarding children, the Guidelines elaborate on how health practitioners should assess a child is competent to give informed consent. This involves considering whether the child has sufficient understanding.</w:t>
      </w:r>
    </w:p>
    <w:p w14:paraId="1B6498F0" w14:textId="77777777" w:rsidR="00F274C6" w:rsidRPr="00F274C6" w:rsidRDefault="00F274C6" w:rsidP="00F274C6">
      <w:pPr>
        <w:pStyle w:val="Numberedparagraph"/>
      </w:pPr>
      <w:r w:rsidRPr="00F274C6">
        <w:t>The Guidelines align with well-established law on the circumstances in which children are permitted to consent to medical care (</w:t>
      </w:r>
      <w:r w:rsidRPr="00F274C6">
        <w:rPr>
          <w:i/>
          <w:iCs/>
        </w:rPr>
        <w:t>Gillick v West Norfolk and Wisbech</w:t>
      </w:r>
      <w:r w:rsidRPr="00F274C6">
        <w:t xml:space="preserve"> AHA AC 112 ((HL)) 1986).  Specifically, and in line with the relevant law on the circumstances in which children are permitted to consent to medical care (</w:t>
      </w:r>
      <w:r w:rsidRPr="00F274C6">
        <w:rPr>
          <w:i/>
          <w:iCs/>
        </w:rPr>
        <w:t>Gillick</w:t>
      </w:r>
      <w:r w:rsidRPr="00F274C6">
        <w:t>), the Guidelines provide that a child is competent to give informed consent where they have sufficient understanding, intelligence and maturity to appreciate the nature, consequences, and risks of the proposed health care, and the alternatives including the consequences of not receiving care. This is referred to as ‘Gillick competency’. When assessing a child’s competency, the guidelines indicate the following matters must be considered:</w:t>
      </w:r>
    </w:p>
    <w:p w14:paraId="7D4BFCE2" w14:textId="77777777" w:rsidR="00F274C6" w:rsidRPr="00F274C6" w:rsidRDefault="00F274C6" w:rsidP="005E58DF">
      <w:pPr>
        <w:pStyle w:val="Numberedparagraph"/>
        <w:numPr>
          <w:ilvl w:val="0"/>
          <w:numId w:val="11"/>
        </w:numPr>
      </w:pPr>
      <w:r w:rsidRPr="00F274C6">
        <w:t>the age, attitude, and maturity of the child,</w:t>
      </w:r>
    </w:p>
    <w:p w14:paraId="6731782A" w14:textId="77777777" w:rsidR="00F274C6" w:rsidRPr="00F274C6" w:rsidRDefault="00F274C6" w:rsidP="005E58DF">
      <w:pPr>
        <w:pStyle w:val="Numberedparagraph"/>
        <w:numPr>
          <w:ilvl w:val="0"/>
          <w:numId w:val="11"/>
        </w:numPr>
      </w:pPr>
      <w:r w:rsidRPr="00F274C6">
        <w:t>the child’s intelligence and education,</w:t>
      </w:r>
    </w:p>
    <w:p w14:paraId="6FDBCC14" w14:textId="77777777" w:rsidR="00F274C6" w:rsidRPr="00F274C6" w:rsidRDefault="00F274C6" w:rsidP="005E58DF">
      <w:pPr>
        <w:pStyle w:val="Numberedparagraph"/>
        <w:numPr>
          <w:ilvl w:val="0"/>
          <w:numId w:val="11"/>
        </w:numPr>
      </w:pPr>
      <w:r w:rsidRPr="00F274C6">
        <w:t>the child’s social circumstances and history,</w:t>
      </w:r>
    </w:p>
    <w:p w14:paraId="5E311FE3" w14:textId="77777777" w:rsidR="00F274C6" w:rsidRPr="00F274C6" w:rsidRDefault="00F274C6" w:rsidP="005E58DF">
      <w:pPr>
        <w:pStyle w:val="Numberedparagraph"/>
        <w:numPr>
          <w:ilvl w:val="0"/>
          <w:numId w:val="11"/>
        </w:numPr>
      </w:pPr>
      <w:r w:rsidRPr="00F274C6">
        <w:t>the nature of the child’s condition,</w:t>
      </w:r>
    </w:p>
    <w:p w14:paraId="1DA134CA" w14:textId="77777777" w:rsidR="00F274C6" w:rsidRPr="00F274C6" w:rsidRDefault="00F274C6" w:rsidP="005E58DF">
      <w:pPr>
        <w:pStyle w:val="Numberedparagraph"/>
        <w:numPr>
          <w:ilvl w:val="0"/>
          <w:numId w:val="11"/>
        </w:numPr>
      </w:pPr>
      <w:r w:rsidRPr="00F274C6">
        <w:t>the complexity of the proposed care, including the need for follow up or supervision,</w:t>
      </w:r>
    </w:p>
    <w:p w14:paraId="4C72DD62" w14:textId="77777777" w:rsidR="00F274C6" w:rsidRPr="00F274C6" w:rsidRDefault="00F274C6" w:rsidP="005E58DF">
      <w:pPr>
        <w:pStyle w:val="Numberedparagraph"/>
        <w:numPr>
          <w:ilvl w:val="0"/>
          <w:numId w:val="11"/>
        </w:numPr>
      </w:pPr>
      <w:r w:rsidRPr="00F274C6">
        <w:t>the seriousness of the risks,</w:t>
      </w:r>
    </w:p>
    <w:p w14:paraId="6DA3D4B0" w14:textId="77777777" w:rsidR="00F274C6" w:rsidRPr="00F274C6" w:rsidRDefault="00F274C6" w:rsidP="005E58DF">
      <w:pPr>
        <w:pStyle w:val="Numberedparagraph"/>
        <w:numPr>
          <w:ilvl w:val="0"/>
          <w:numId w:val="11"/>
        </w:numPr>
      </w:pPr>
      <w:r w:rsidRPr="00F274C6">
        <w:t>the consequences if the child does not have the treatment, and</w:t>
      </w:r>
    </w:p>
    <w:p w14:paraId="412346D8" w14:textId="77777777" w:rsidR="00F274C6" w:rsidRPr="00F274C6" w:rsidRDefault="00F274C6" w:rsidP="005E58DF">
      <w:pPr>
        <w:pStyle w:val="Numberedparagraph"/>
        <w:numPr>
          <w:ilvl w:val="0"/>
          <w:numId w:val="11"/>
        </w:numPr>
      </w:pPr>
      <w:r w:rsidRPr="00F274C6">
        <w:lastRenderedPageBreak/>
        <w:t xml:space="preserve">where the consequences, include death or permanent disability, that the child understands permanence of death or disability and the profound nature of the decision (p48). </w:t>
      </w:r>
    </w:p>
    <w:p w14:paraId="01619D52" w14:textId="52A570E4" w:rsidR="00F274C6" w:rsidRPr="00F274C6" w:rsidRDefault="00F274C6" w:rsidP="00F274C6">
      <w:pPr>
        <w:pStyle w:val="Numberedparagraph"/>
      </w:pPr>
      <w:r w:rsidRPr="00F274C6">
        <w:t>Where a child is not competent to consent, their legal guardians may consent to medical treatment on their behalf. However, a parent can only consent to procedures that are in the child’s best interest (</w:t>
      </w:r>
      <w:r w:rsidRPr="00F274C6">
        <w:rPr>
          <w:i/>
          <w:iCs/>
        </w:rPr>
        <w:t>Secretary, Department of Health and Community Services v JWB and SMB</w:t>
      </w:r>
      <w:r w:rsidRPr="00F274C6">
        <w:t> (</w:t>
      </w:r>
      <w:r w:rsidRPr="00F274C6">
        <w:rPr>
          <w:i/>
          <w:iCs/>
        </w:rPr>
        <w:t>Marion’s Case</w:t>
      </w:r>
      <w:r w:rsidRPr="00F274C6">
        <w:t xml:space="preserve">)). Where the competency of the child to give consent is in dispute, or there is a dispute between medical advice and parental consent, the court can be asked to intervene and, if appropriate, provide its consent to the treatment. The QCGS has </w:t>
      </w:r>
      <w:r w:rsidR="00601185">
        <w:t xml:space="preserve">also </w:t>
      </w:r>
      <w:r w:rsidRPr="00F274C6">
        <w:t>developed guidance on obtaining consent in circumstances where there is parental dispute, no capacity, and for children in care of the State.</w:t>
      </w:r>
    </w:p>
    <w:p w14:paraId="18DD05E5" w14:textId="72846AE7" w:rsidR="00F274C6" w:rsidRPr="00F274C6" w:rsidRDefault="00F274C6" w:rsidP="00F274C6">
      <w:pPr>
        <w:pStyle w:val="Heading1"/>
      </w:pPr>
      <w:bookmarkStart w:id="31" w:name="_Toc204760996"/>
      <w:r>
        <w:t xml:space="preserve">Question 6: </w:t>
      </w:r>
      <w:r w:rsidRPr="00F274C6">
        <w:t>How would a treating team know that a child or adolescent (and/or their parent or carer) has understood the information given to them about those risks and/or benefits?</w:t>
      </w:r>
      <w:bookmarkEnd w:id="31"/>
    </w:p>
    <w:p w14:paraId="7237D105" w14:textId="77777777" w:rsidR="00F274C6" w:rsidRPr="00F274C6" w:rsidRDefault="00F274C6" w:rsidP="00F274C6">
      <w:pPr>
        <w:pStyle w:val="Numberedparagraph"/>
      </w:pPr>
      <w:r w:rsidRPr="00F274C6">
        <w:t xml:space="preserve">All medical treatments require informed consent. Clinicians must obtain informed consent from children and adults for serious and non-serious treatments every day. </w:t>
      </w:r>
    </w:p>
    <w:p w14:paraId="625AA650" w14:textId="77777777" w:rsidR="00F274C6" w:rsidRPr="00F274C6" w:rsidRDefault="00F274C6" w:rsidP="00F274C6">
      <w:pPr>
        <w:pStyle w:val="Numberedparagraph"/>
      </w:pPr>
      <w:r w:rsidRPr="00F274C6">
        <w:t xml:space="preserve">The </w:t>
      </w:r>
      <w:r w:rsidRPr="00F274C6">
        <w:rPr>
          <w:i/>
          <w:iCs/>
        </w:rPr>
        <w:t>Guide to Informed Decision making in Healthcare</w:t>
      </w:r>
      <w:r w:rsidRPr="00F274C6">
        <w:t xml:space="preserve"> (</w:t>
      </w:r>
      <w:r w:rsidRPr="00F274C6">
        <w:rPr>
          <w:b/>
          <w:bCs/>
        </w:rPr>
        <w:t>Guidelines</w:t>
      </w:r>
      <w:r w:rsidRPr="00F274C6">
        <w:t>) indicate what should be considered when obtaining informed consent. Regarding children, the Guidelines elaborate on how health practitioners should assess a child is competent to give informed consent. This involves considering whether the child has sufficient understanding. The Guidelines align with well-established law on the circumstances in which children are permitted to consent to medical care (</w:t>
      </w:r>
      <w:r w:rsidRPr="00F274C6">
        <w:rPr>
          <w:i/>
          <w:iCs/>
        </w:rPr>
        <w:t>Gillick</w:t>
      </w:r>
      <w:r w:rsidRPr="00F274C6">
        <w:t xml:space="preserve">). </w:t>
      </w:r>
    </w:p>
    <w:p w14:paraId="4AAB261A" w14:textId="77777777" w:rsidR="00F274C6" w:rsidRPr="00F274C6" w:rsidRDefault="00F274C6" w:rsidP="00F274C6">
      <w:pPr>
        <w:pStyle w:val="Numberedparagraph"/>
      </w:pPr>
      <w:r w:rsidRPr="00F274C6">
        <w:t>The Queensland Children’s Gender Service (</w:t>
      </w:r>
      <w:r w:rsidRPr="00F274C6">
        <w:rPr>
          <w:b/>
          <w:bCs/>
        </w:rPr>
        <w:t>QCGS</w:t>
      </w:r>
      <w:r w:rsidRPr="00F274C6">
        <w:t xml:space="preserve">) use the Guidelines. The External clinical service evaluation (the </w:t>
      </w:r>
      <w:r w:rsidRPr="00F274C6">
        <w:rPr>
          <w:b/>
          <w:bCs/>
        </w:rPr>
        <w:t>Evaluation</w:t>
      </w:r>
      <w:r w:rsidRPr="00F274C6">
        <w:t>) found the QCGS informed consent process for commencement of hormone treatment is comprehensive (p7). The Evaluation notes QCGS has clear information on obtaining consent, including discussing benefits, risks, and side effects.</w:t>
      </w:r>
      <w:r w:rsidRPr="00F274C6" w:rsidDel="00027256">
        <w:t xml:space="preserve"> </w:t>
      </w:r>
    </w:p>
    <w:p w14:paraId="22E18186" w14:textId="19FBA7EB" w:rsidR="00F274C6" w:rsidRPr="004E3821" w:rsidRDefault="00F274C6" w:rsidP="004E3821">
      <w:pPr>
        <w:pStyle w:val="Heading1"/>
      </w:pPr>
      <w:bookmarkStart w:id="32" w:name="_Toc204760997"/>
      <w:r w:rsidRPr="004E3821">
        <w:t>Question 7: In your view, are there areas of current practice relating to Stage 1 and/or Stage 2 hormone treatment for children and adolescents that lack sufficient evidence?</w:t>
      </w:r>
      <w:bookmarkEnd w:id="32"/>
    </w:p>
    <w:p w14:paraId="4032AF7F" w14:textId="5340FDD1" w:rsidR="00F274C6" w:rsidRPr="004E3821" w:rsidRDefault="00F274C6" w:rsidP="004E3821">
      <w:pPr>
        <w:pStyle w:val="Heading2"/>
      </w:pPr>
      <w:bookmarkStart w:id="33" w:name="_Toc204760998"/>
      <w:r w:rsidRPr="004E3821">
        <w:t xml:space="preserve">Question 7a: If so, what </w:t>
      </w:r>
      <w:proofErr w:type="gramStart"/>
      <w:r w:rsidRPr="004E3821">
        <w:t>is</w:t>
      </w:r>
      <w:proofErr w:type="gramEnd"/>
      <w:r w:rsidRPr="004E3821">
        <w:t xml:space="preserve"> the impact of the evidence gap on clinical care?</w:t>
      </w:r>
      <w:bookmarkEnd w:id="33"/>
    </w:p>
    <w:p w14:paraId="73836F5A" w14:textId="77777777" w:rsidR="00F274C6" w:rsidRPr="00F274C6" w:rsidRDefault="00F274C6" w:rsidP="00F274C6">
      <w:pPr>
        <w:pStyle w:val="Numberedparagraph"/>
      </w:pPr>
      <w:r w:rsidRPr="00F274C6">
        <w:t xml:space="preserve">An assessment of human rights compatibility must be based on the evidence. While there is a perception among non-experts that there is limited data on the use of gender affirming hormone treatments in paediatric patients with gender dysphoria, this is untrue. There is a comprehensive body of high-quality evidence which documents the positive impact of gender-affirming treatments, including stage 1 and 2. The use of hormone treatments is also widely supported by medical and international organisations, in Australia and internationally. For references, refer to answer to Question 4. </w:t>
      </w:r>
    </w:p>
    <w:p w14:paraId="1453D632" w14:textId="2C698813" w:rsidR="00F274C6" w:rsidRPr="00F274C6" w:rsidRDefault="00F274C6" w:rsidP="00F274C6">
      <w:pPr>
        <w:pStyle w:val="Numberedparagraph"/>
      </w:pPr>
      <w:r w:rsidRPr="00F274C6">
        <w:lastRenderedPageBreak/>
        <w:t>Further research to inform clinical care, including of gender diverse children, is welcome. However, there is no evidence gap which justifies obstruction or cessation of care. Gaps in clinical evidence in paediatric care are common because it is often difficult to secure approvals to study children and/or it is unlikely to be profitable. It is not typical to ‘pause’ or refuse medical care due to an evidence gap without evidence of harm, particularly where there is no suitable available alternative treatment. For example, recent studies suggest there is no clinically significant difference between SSRI (anti-depressant) medications and placebos. However, these medications continue to be prescribed. ‘A rule that requires an intervention to be absolutely free of risk would rule out much of current medical practice’ (</w:t>
      </w:r>
      <w:proofErr w:type="spellStart"/>
      <w:r w:rsidRPr="00F274C6">
        <w:t>Kraschel</w:t>
      </w:r>
      <w:proofErr w:type="spellEnd"/>
      <w:r w:rsidRPr="00F274C6">
        <w:t xml:space="preserve"> KL, et al.</w:t>
      </w:r>
      <w:r w:rsidR="002C41C9">
        <w:t xml:space="preserve"> 2022,</w:t>
      </w:r>
      <w:r w:rsidRPr="00F274C6">
        <w:t xml:space="preserve"> </w:t>
      </w:r>
      <w:r w:rsidRPr="00F274C6">
        <w:rPr>
          <w:i/>
          <w:iCs/>
        </w:rPr>
        <w:t>Legislation restricting gender-affirming care for transgender youth: Politics eclipse healthcare</w:t>
      </w:r>
      <w:r w:rsidR="002C41C9">
        <w:t>,</w:t>
      </w:r>
      <w:r w:rsidRPr="00F274C6">
        <w:t xml:space="preserve"> p4). </w:t>
      </w:r>
    </w:p>
    <w:p w14:paraId="6F4CF16F" w14:textId="3C249CFB" w:rsidR="00F274C6" w:rsidRPr="00F274C6" w:rsidRDefault="00F274C6" w:rsidP="00F274C6">
      <w:pPr>
        <w:pStyle w:val="Numberedparagraph"/>
      </w:pPr>
      <w:r w:rsidRPr="00F274C6">
        <w:t>The Terms of Reference for this review direct the Panel to consider the</w:t>
      </w:r>
      <w:r w:rsidRPr="00F274C6">
        <w:rPr>
          <w:i/>
          <w:iCs/>
        </w:rPr>
        <w:t xml:space="preserve"> Independent Review of Gender Identity Services for Children and Young People: Final Report</w:t>
      </w:r>
      <w:r w:rsidRPr="00F274C6">
        <w:t xml:space="preserve">, 2024 (the </w:t>
      </w:r>
      <w:r w:rsidRPr="00F274C6">
        <w:rPr>
          <w:b/>
          <w:bCs/>
        </w:rPr>
        <w:t>Cass Review</w:t>
      </w:r>
      <w:r w:rsidRPr="00F274C6">
        <w:t xml:space="preserve">). A key finding of the Cass Review was ‘[the provision of hormone treatment] is an area of remarkably weak evidence’ (p13). The Cass Review is not peer-reviewed research and has been widely discredited and condemned worldwide (see for example: McNamara M et al. 2024 </w:t>
      </w:r>
      <w:r w:rsidRPr="00F274C6">
        <w:rPr>
          <w:i/>
          <w:iCs/>
        </w:rPr>
        <w:t>An Evidence Based Critique of “The Cas Review” on gender affirming care for adolescent gender dysphoria</w:t>
      </w:r>
      <w:r w:rsidRPr="00F274C6">
        <w:t>; Kennedy N, 2025</w:t>
      </w:r>
      <w:r w:rsidRPr="00F274C6">
        <w:rPr>
          <w:i/>
          <w:iCs/>
        </w:rPr>
        <w:t xml:space="preserve"> Harming children: the Effects of the UK puberty blocker ban</w:t>
      </w:r>
      <w:r w:rsidRPr="00F274C6">
        <w:t xml:space="preserve">; Aaron, D et al. 2025 </w:t>
      </w:r>
      <w:r w:rsidRPr="00F274C6">
        <w:rPr>
          <w:i/>
          <w:iCs/>
        </w:rPr>
        <w:t>The future of gender-affirming care - a law policy perspective on the Cass Review</w:t>
      </w:r>
      <w:r w:rsidRPr="00F274C6">
        <w:t xml:space="preserve">; </w:t>
      </w:r>
      <w:r w:rsidR="002C41C9">
        <w:t xml:space="preserve">and </w:t>
      </w:r>
      <w:r w:rsidRPr="00F274C6">
        <w:t xml:space="preserve">Noone, C. 2025 </w:t>
      </w:r>
      <w:r w:rsidRPr="00F274C6">
        <w:rPr>
          <w:i/>
          <w:iCs/>
        </w:rPr>
        <w:t>Critically appraising the Cass report: Methodological flaws and unsupported claims</w:t>
      </w:r>
      <w:r w:rsidRPr="00F274C6">
        <w:t xml:space="preserve">). </w:t>
      </w:r>
    </w:p>
    <w:p w14:paraId="75D73525" w14:textId="77777777" w:rsidR="00F274C6" w:rsidRPr="00F274C6" w:rsidRDefault="00F274C6" w:rsidP="00F274C6">
      <w:pPr>
        <w:pStyle w:val="Numberedparagraph"/>
      </w:pPr>
      <w:r w:rsidRPr="00F274C6">
        <w:t xml:space="preserve">The use and evaluation of research by the Cass Review has been widely criticised for failing to follow established standards for evaluating evidence and evidence quality and for discussing evidence quality in a manner that is not scientifically sound (McNamara M, p3). Further, the Review misinterprets and misrepresents its own data (McNamara M, p4). Conclusions drawn by the review do not follow from the results of the research identified. For example, the Cass Review identifies literature deemed ‘high quality’ which shows a reduction in suicidality following gender affirming hormones, but concludes there is no clear effect of hormone therapy reducing suicidality (p76 and 195). </w:t>
      </w:r>
    </w:p>
    <w:p w14:paraId="5C1EB62A" w14:textId="77777777" w:rsidR="00F274C6" w:rsidRPr="00F274C6" w:rsidRDefault="00F274C6" w:rsidP="00F274C6">
      <w:pPr>
        <w:pStyle w:val="Numberedparagraph"/>
      </w:pPr>
      <w:r w:rsidRPr="00F274C6">
        <w:t>Another criticism of the Cass Review is that it downplays the importance of the voices of children, their families, and clinical practitioners (Kennedy, p3). As noted by the German guidelines on treatment of gender incongruence in children: ‘</w:t>
      </w:r>
      <w:r w:rsidRPr="00F274C6">
        <w:rPr>
          <w:i/>
          <w:iCs/>
        </w:rPr>
        <w:t>The subjective experience of a person is an essential component of our understanding of human life and, therefore, of illness. In medicine, it is routinely a sufficient reason for treatment.</w:t>
      </w:r>
      <w:r w:rsidRPr="00F274C6">
        <w:t>’ (p. 125) (Kennedy, p3).</w:t>
      </w:r>
    </w:p>
    <w:p w14:paraId="213F4E7D" w14:textId="51D990C1" w:rsidR="00F274C6" w:rsidRPr="00F274C6" w:rsidRDefault="00F274C6" w:rsidP="00F274C6">
      <w:pPr>
        <w:pStyle w:val="Numberedparagraph"/>
      </w:pPr>
      <w:r w:rsidRPr="00F274C6">
        <w:t xml:space="preserve">Finally, the premise of the Cass Review was that a lack of clinical experience </w:t>
      </w:r>
      <w:proofErr w:type="gramStart"/>
      <w:r w:rsidRPr="00F274C6">
        <w:t>in a given</w:t>
      </w:r>
      <w:proofErr w:type="gramEnd"/>
      <w:r w:rsidRPr="00F274C6">
        <w:t xml:space="preserve"> field connotes reliability. In no other field of science or medicine is expertise considered bias (McNamara</w:t>
      </w:r>
      <w:r w:rsidR="00263386">
        <w:t xml:space="preserve"> M</w:t>
      </w:r>
      <w:r w:rsidRPr="00F274C6">
        <w:t xml:space="preserve">, p3). To the contrary, expertise in the relevant field is broadly considered necessary for the legitimacy of any research, particularly where that research makes clinical recommendations. Of the known authors of the Cass Review, none appear to have research nor clinical experience in trans health care. </w:t>
      </w:r>
      <w:r w:rsidRPr="00F274C6">
        <w:lastRenderedPageBreak/>
        <w:t>Many authors also remain unnamed, removing any opportunity to assess conflicts of interest (McNamara</w:t>
      </w:r>
      <w:r w:rsidR="00263386">
        <w:t xml:space="preserve"> M</w:t>
      </w:r>
      <w:r w:rsidRPr="00F274C6">
        <w:t xml:space="preserve">, p3). </w:t>
      </w:r>
    </w:p>
    <w:p w14:paraId="194DA3A7" w14:textId="77777777" w:rsidR="00CF220E" w:rsidRPr="00CF220E" w:rsidRDefault="00F274C6" w:rsidP="00F274C6">
      <w:pPr>
        <w:pStyle w:val="Numberedparagraph"/>
        <w:rPr>
          <w:bCs/>
          <w:iCs/>
        </w:rPr>
      </w:pPr>
      <w:r w:rsidRPr="00F274C6" w:rsidDel="00B16FC1">
        <w:t>The National Health and Medical Research Council (</w:t>
      </w:r>
      <w:r w:rsidRPr="00F274C6" w:rsidDel="00B16FC1">
        <w:rPr>
          <w:b/>
          <w:bCs/>
        </w:rPr>
        <w:t>NHMRC</w:t>
      </w:r>
      <w:r w:rsidRPr="00F274C6" w:rsidDel="00B16FC1">
        <w:t xml:space="preserve">) is the pre-eminent authority for the development of clinical guidelines in Australia. </w:t>
      </w:r>
      <w:r w:rsidRPr="00F274C6">
        <w:t>T</w:t>
      </w:r>
      <w:r w:rsidRPr="00F274C6" w:rsidDel="00B16FC1">
        <w:t>he NHMRC publishes standards for the creation of guidelines (</w:t>
      </w:r>
      <w:r w:rsidRPr="00F274C6" w:rsidDel="00B16FC1">
        <w:rPr>
          <w:i/>
          <w:iCs/>
        </w:rPr>
        <w:t>NHMRC Standards for Guidelines</w:t>
      </w:r>
      <w:r w:rsidRPr="00F274C6" w:rsidDel="00B16FC1">
        <w:t xml:space="preserve">). </w:t>
      </w:r>
      <w:r w:rsidRPr="00F274C6" w:rsidDel="00B16FC1">
        <w:rPr>
          <w:i/>
          <w:iCs/>
        </w:rPr>
        <w:t xml:space="preserve">Standard 3 </w:t>
      </w:r>
      <w:r w:rsidRPr="00F274C6" w:rsidDel="00B16FC1">
        <w:t xml:space="preserve">instructs that </w:t>
      </w:r>
      <w:r w:rsidRPr="00F274C6">
        <w:t xml:space="preserve">guidelines should be guided by </w:t>
      </w:r>
      <w:r w:rsidRPr="00F274C6" w:rsidDel="00B16FC1">
        <w:t>a development group composed of an ‘appropriate mix of expertise and experience, including relevant end users</w:t>
      </w:r>
      <w:r w:rsidRPr="00F274C6">
        <w:t xml:space="preserve">… </w:t>
      </w:r>
      <w:r w:rsidRPr="00F274C6" w:rsidDel="00B16FC1">
        <w:t>representative of those most likely to be affected’. The Standard continues it is important to get membershi</w:t>
      </w:r>
      <w:r w:rsidRPr="00F274C6">
        <w:t xml:space="preserve">p </w:t>
      </w:r>
      <w:r w:rsidRPr="00F274C6" w:rsidDel="00B16FC1">
        <w:t xml:space="preserve">right, </w:t>
      </w:r>
      <w:r w:rsidRPr="00F274C6">
        <w:t>as their</w:t>
      </w:r>
      <w:r w:rsidRPr="00F274C6" w:rsidDel="00B16FC1">
        <w:t xml:space="preserve"> judgement influences interpretation of evidence and recommendations. </w:t>
      </w:r>
    </w:p>
    <w:p w14:paraId="14B2D419" w14:textId="2A5BA820" w:rsidR="00F274C6" w:rsidRPr="00F274C6" w:rsidDel="00B16FC1" w:rsidRDefault="00F274C6" w:rsidP="00F274C6">
      <w:pPr>
        <w:pStyle w:val="Numberedparagraph"/>
        <w:rPr>
          <w:bCs/>
          <w:iCs/>
        </w:rPr>
      </w:pPr>
      <w:r w:rsidRPr="00F274C6" w:rsidDel="00B16FC1">
        <w:t>As the Panel does not include</w:t>
      </w:r>
      <w:r w:rsidRPr="00F274C6">
        <w:t xml:space="preserve"> </w:t>
      </w:r>
      <w:r w:rsidRPr="00F274C6" w:rsidDel="00B16FC1">
        <w:t>specialists in trans and gender diverse health care</w:t>
      </w:r>
      <w:r w:rsidRPr="00F274C6">
        <w:t xml:space="preserve"> or persons with lived experience</w:t>
      </w:r>
      <w:r w:rsidRPr="00F274C6" w:rsidDel="00B16FC1">
        <w:t xml:space="preserve">, the QHRC firmly encourages the panel to seek out the input of clinicians </w:t>
      </w:r>
      <w:r w:rsidRPr="00F274C6">
        <w:t xml:space="preserve">with direct experience as well as </w:t>
      </w:r>
      <w:r w:rsidRPr="00F274C6" w:rsidDel="00B16FC1">
        <w:t xml:space="preserve">persons with lived experience. </w:t>
      </w:r>
    </w:p>
    <w:p w14:paraId="2B7F8FE3" w14:textId="37362423" w:rsidR="00F274C6" w:rsidRPr="00F274C6" w:rsidRDefault="00F274C6" w:rsidP="00F274C6">
      <w:pPr>
        <w:pStyle w:val="Heading2"/>
      </w:pPr>
      <w:bookmarkStart w:id="34" w:name="_Toc204760999"/>
      <w:r>
        <w:t xml:space="preserve">Question 7b: </w:t>
      </w:r>
      <w:r w:rsidRPr="00F274C6">
        <w:t>What questions do you think further research should address?</w:t>
      </w:r>
      <w:bookmarkEnd w:id="34"/>
    </w:p>
    <w:p w14:paraId="70190531" w14:textId="3E0907B1" w:rsidR="00F274C6" w:rsidRPr="00F274C6" w:rsidRDefault="00F274C6" w:rsidP="00F274C6">
      <w:pPr>
        <w:pStyle w:val="Numberedparagraph"/>
        <w:rPr>
          <w:bCs/>
          <w:iCs/>
        </w:rPr>
      </w:pPr>
      <w:r w:rsidRPr="00F274C6">
        <w:t>In relation to the above Question</w:t>
      </w:r>
      <w:r w:rsidR="00512216">
        <w:t xml:space="preserve"> 7a ‘</w:t>
      </w:r>
      <w:r w:rsidR="00512216" w:rsidRPr="00512216">
        <w:t>If so, what is the impact of the evidence gap on clinical care?</w:t>
      </w:r>
      <w:r w:rsidR="00512216">
        <w:t>’</w:t>
      </w:r>
      <w:r w:rsidRPr="00F274C6">
        <w:t xml:space="preserve"> the QHRC additionally submits: </w:t>
      </w:r>
      <w:r w:rsidR="00512216">
        <w:rPr>
          <w:lang w:val="en-US"/>
        </w:rPr>
        <w:t>S</w:t>
      </w:r>
      <w:r w:rsidRPr="00F274C6">
        <w:rPr>
          <w:lang w:val="en-US"/>
        </w:rPr>
        <w:t xml:space="preserve">ection 26 of the </w:t>
      </w:r>
      <w:r w:rsidRPr="00F274C6">
        <w:rPr>
          <w:i/>
          <w:iCs/>
          <w:lang w:val="en-US"/>
        </w:rPr>
        <w:t>Human Rights Act 2019</w:t>
      </w:r>
      <w:r w:rsidRPr="00F274C6">
        <w:rPr>
          <w:lang w:val="en-US"/>
        </w:rPr>
        <w:t xml:space="preserve"> </w:t>
      </w:r>
      <w:r w:rsidRPr="00F274C6">
        <w:rPr>
          <w:i/>
          <w:iCs/>
          <w:lang w:val="en-US"/>
        </w:rPr>
        <w:t>(Qld)</w:t>
      </w:r>
      <w:r w:rsidRPr="00F274C6">
        <w:rPr>
          <w:lang w:val="en-US"/>
        </w:rPr>
        <w:t xml:space="preserve"> (HRA) provides that (2) every child has the right, without discrimination, to the protection that is needed by the child, and is in the child’s best interests, because of being a child. </w:t>
      </w:r>
      <w:r w:rsidRPr="00F274C6">
        <w:t xml:space="preserve">The protection that is needed by the child is informed by the </w:t>
      </w:r>
      <w:r w:rsidRPr="00263386">
        <w:rPr>
          <w:i/>
          <w:iCs/>
        </w:rPr>
        <w:t>Convention on the Rights of the Child</w:t>
      </w:r>
      <w:r w:rsidRPr="00F274C6">
        <w:t xml:space="preserve"> (</w:t>
      </w:r>
      <w:r w:rsidRPr="00263386">
        <w:rPr>
          <w:b/>
          <w:bCs/>
        </w:rPr>
        <w:t>CRC</w:t>
      </w:r>
      <w:r w:rsidRPr="00F274C6">
        <w:t xml:space="preserve">) which requires that </w:t>
      </w:r>
      <w:r w:rsidRPr="00F274C6">
        <w:rPr>
          <w:bCs/>
          <w:iCs/>
        </w:rPr>
        <w:t>in all matters affecting the child, the views of the child be given due weight in accordance with their age and maturity (Article 12). Section 15 of the HR</w:t>
      </w:r>
      <w:r w:rsidR="00231FE8">
        <w:rPr>
          <w:bCs/>
          <w:iCs/>
        </w:rPr>
        <w:t>A</w:t>
      </w:r>
      <w:r w:rsidRPr="00F274C6">
        <w:rPr>
          <w:bCs/>
          <w:iCs/>
        </w:rPr>
        <w:t xml:space="preserve"> </w:t>
      </w:r>
      <w:r w:rsidRPr="00F274C6">
        <w:rPr>
          <w:lang w:val="en-US"/>
        </w:rPr>
        <w:t xml:space="preserve">protects the right to recognition and equality before the law, the right to equal enjoyment of human rights and to equal and effective protection against discrimination. </w:t>
      </w:r>
      <w:r w:rsidRPr="00F274C6">
        <w:rPr>
          <w:bCs/>
          <w:iCs/>
        </w:rPr>
        <w:t xml:space="preserve">Section 15 is informed by the Convention on the Convention on the Rights of Persons with Disabilities which requires that people with a condition such as gender dysphoria be actively involved in decision-making processes relating to them (Article 4(3), 12). </w:t>
      </w:r>
    </w:p>
    <w:p w14:paraId="0AE928EF" w14:textId="0E23C8CC" w:rsidR="00F274C6" w:rsidRPr="00F274C6" w:rsidRDefault="00F274C6" w:rsidP="00F274C6">
      <w:pPr>
        <w:pStyle w:val="Numberedparagraph"/>
      </w:pPr>
      <w:r w:rsidRPr="00F274C6">
        <w:t>In relation to this question</w:t>
      </w:r>
      <w:r w:rsidR="00821071">
        <w:t xml:space="preserve"> (Question 7b’</w:t>
      </w:r>
      <w:r w:rsidR="00821071" w:rsidRPr="00821071">
        <w:t xml:space="preserve"> What questions do you think further research should address?</w:t>
      </w:r>
      <w:r w:rsidR="00821071">
        <w:t>’)</w:t>
      </w:r>
      <w:r w:rsidRPr="00F274C6">
        <w:t>, the QHRC welcomes further research to inform clinical care, including clinical care of gender diverse children. However, the QHRC reiterates the consensus that there is no evidence gap which could justify the cessation of care.</w:t>
      </w:r>
    </w:p>
    <w:p w14:paraId="2DD3FD51" w14:textId="15357EE9" w:rsidR="00F274C6" w:rsidRPr="00F274C6" w:rsidRDefault="00F274C6" w:rsidP="00F274C6">
      <w:pPr>
        <w:pStyle w:val="Heading1"/>
      </w:pPr>
      <w:bookmarkStart w:id="35" w:name="_Toc204761000"/>
      <w:r>
        <w:t xml:space="preserve">Question 8: </w:t>
      </w:r>
      <w:r w:rsidRPr="00F274C6">
        <w:t>Do you think this area of care has appropriate:</w:t>
      </w:r>
      <w:bookmarkEnd w:id="35"/>
    </w:p>
    <w:p w14:paraId="38A9D183" w14:textId="65646BC3" w:rsidR="00F274C6" w:rsidRPr="00F274C6" w:rsidRDefault="00F274C6" w:rsidP="00F274C6">
      <w:pPr>
        <w:pStyle w:val="Heading2"/>
      </w:pPr>
      <w:bookmarkStart w:id="36" w:name="_Toc204761001"/>
      <w:r>
        <w:t xml:space="preserve">Question 8a: </w:t>
      </w:r>
      <w:r w:rsidRPr="00F274C6">
        <w:t>clinical oversight?</w:t>
      </w:r>
      <w:bookmarkEnd w:id="36"/>
    </w:p>
    <w:p w14:paraId="65D75432" w14:textId="77777777" w:rsidR="00F274C6" w:rsidRPr="00F274C6" w:rsidRDefault="00F274C6" w:rsidP="00F274C6">
      <w:pPr>
        <w:pStyle w:val="Numberedparagraph"/>
      </w:pPr>
      <w:r w:rsidRPr="00F274C6">
        <w:t>Adequate accountability and oversight mechanisms support compatibility with human rights. The QHRC has confidence in the clinical oversight of the Queensland Children’s Gender Service (</w:t>
      </w:r>
      <w:r w:rsidRPr="00F274C6">
        <w:rPr>
          <w:b/>
          <w:bCs/>
        </w:rPr>
        <w:t>QCGS</w:t>
      </w:r>
      <w:r w:rsidRPr="00F274C6">
        <w:t>) service as evidenced by the recent evaluation. Just one year ago, the QCGS was independently evaluated (</w:t>
      </w:r>
      <w:r w:rsidRPr="00F274C6">
        <w:rPr>
          <w:i/>
          <w:iCs/>
        </w:rPr>
        <w:t>Queensland Children’s Gender Service: external clinical service evaluation</w:t>
      </w:r>
      <w:r w:rsidRPr="00F274C6">
        <w:t xml:space="preserve">) (the </w:t>
      </w:r>
      <w:r w:rsidRPr="00F274C6">
        <w:rPr>
          <w:b/>
          <w:bCs/>
        </w:rPr>
        <w:t>Evaluation</w:t>
      </w:r>
      <w:r w:rsidRPr="00F274C6">
        <w:t xml:space="preserve">) by a panel of experts. The Evaluation found that despite stagnant funding and a high caseload, clinical practice was consistent with the current national and international guidelines (the ASOCTG and WPATH guidelines). The Evaluation identifies the QCGS routinely collects comprehensive data pertaining to patient safety and quality indicators, activity, </w:t>
      </w:r>
      <w:r w:rsidRPr="00F274C6">
        <w:lastRenderedPageBreak/>
        <w:t xml:space="preserve">financial variance, and workforce with relevant indicators reported and escalated as appropriate to service leads and divisional leads. The Evaluation further finds clinical incidents, serious complaints, monitoring of the waitlist, and clinical audits were all captured, reported and managed appropriately (p65). The quality improvement portfolio was also found to be focussed on provision of education including to clinicians and improving the measurement and understanding of the long-term outcomes of treatment of gender dysphoria in children and adolescents (p57). </w:t>
      </w:r>
    </w:p>
    <w:p w14:paraId="10C5F88E" w14:textId="4B4EF9A1" w:rsidR="00F274C6" w:rsidRPr="00F274C6" w:rsidRDefault="00F274C6" w:rsidP="00F274C6">
      <w:pPr>
        <w:pStyle w:val="Heading2"/>
      </w:pPr>
      <w:bookmarkStart w:id="37" w:name="_Toc204761002"/>
      <w:r>
        <w:t xml:space="preserve">Question 8b: </w:t>
      </w:r>
      <w:r w:rsidRPr="00F274C6">
        <w:t>governance oversight?</w:t>
      </w:r>
      <w:bookmarkEnd w:id="37"/>
    </w:p>
    <w:p w14:paraId="15DD12C4" w14:textId="77777777" w:rsidR="00F274C6" w:rsidRPr="00F274C6" w:rsidRDefault="00F274C6" w:rsidP="00F274C6">
      <w:pPr>
        <w:pStyle w:val="Numberedparagraph"/>
      </w:pPr>
      <w:r w:rsidRPr="00F274C6">
        <w:t xml:space="preserve">Effective clinical governance systems support the maintenance and continuous improvement of the safety and quality of health services, and ensuring that they are person centred, safe and effective. (Australian Commission on Safety and Quality in Health Care, </w:t>
      </w:r>
      <w:r w:rsidRPr="00F274C6">
        <w:rPr>
          <w:i/>
          <w:iCs/>
        </w:rPr>
        <w:t>National Safety and Quality Health Service Standards</w:t>
      </w:r>
      <w:r w:rsidRPr="00F274C6">
        <w:t xml:space="preserve">, </w:t>
      </w:r>
      <w:proofErr w:type="gramStart"/>
      <w:r w:rsidRPr="00607A28">
        <w:rPr>
          <w:i/>
          <w:iCs/>
        </w:rPr>
        <w:t>Second</w:t>
      </w:r>
      <w:proofErr w:type="gramEnd"/>
      <w:r w:rsidRPr="00607A28">
        <w:rPr>
          <w:i/>
          <w:iCs/>
        </w:rPr>
        <w:t xml:space="preserve"> edition - 2021</w:t>
      </w:r>
      <w:r w:rsidRPr="00F274C6">
        <w:t xml:space="preserve">) Ineffective clinical governance systems are likely to lead to decisions and actions that are incompatible with human rights. </w:t>
      </w:r>
    </w:p>
    <w:p w14:paraId="5D259F00" w14:textId="77777777" w:rsidR="00F274C6" w:rsidRPr="00F274C6" w:rsidRDefault="00F274C6" w:rsidP="00F274C6">
      <w:pPr>
        <w:pStyle w:val="Numberedparagraph"/>
      </w:pPr>
      <w:r w:rsidRPr="00F274C6">
        <w:t>The independent evaluation of the Queensland Children’s Gender Service (</w:t>
      </w:r>
      <w:r w:rsidRPr="00F274C6">
        <w:rPr>
          <w:b/>
          <w:bCs/>
        </w:rPr>
        <w:t>QCGS</w:t>
      </w:r>
      <w:r w:rsidRPr="00F274C6">
        <w:t>) (</w:t>
      </w:r>
      <w:r w:rsidRPr="00F274C6">
        <w:rPr>
          <w:i/>
          <w:iCs/>
        </w:rPr>
        <w:t>Queensland Children’s Gender Service: external clinical service evaluation</w:t>
      </w:r>
      <w:r w:rsidRPr="00F274C6">
        <w:t xml:space="preserve">) (the </w:t>
      </w:r>
      <w:r w:rsidRPr="00F274C6">
        <w:rPr>
          <w:b/>
          <w:bCs/>
        </w:rPr>
        <w:t>Evaluation</w:t>
      </w:r>
      <w:r w:rsidRPr="00F274C6">
        <w:t xml:space="preserve">) found the current positioning of the QCGS within the Division of Child and Youth Mental Health Services seems to appropriately accommodate the service’s overall functions and objectives and provides effective governance for the service (p29). </w:t>
      </w:r>
    </w:p>
    <w:p w14:paraId="0751ACE1" w14:textId="77777777" w:rsidR="00F274C6" w:rsidRPr="00F274C6" w:rsidRDefault="00F274C6" w:rsidP="00F274C6">
      <w:pPr>
        <w:pStyle w:val="Numberedparagraph"/>
      </w:pPr>
      <w:r w:rsidRPr="00F274C6">
        <w:t>The Evaluation also found that while the care provided by QCGS at regional sites is comprehensive, the QCGS is limited in its clinical outreach which creates barriers for children across the state. The Evaluation recommended Queensland Health should consider creating a statewide network with formal partnerships between Hospital and Health Services to deliver clinical services for children and adolescents with diverse gender experiences with the QCGS to function as the tertiary centre for complex clinical cases, education and training, research and coordination, and ensuring care around the state is consistent with national and international guidelines. The QHRC supports this recommendation.</w:t>
      </w:r>
    </w:p>
    <w:p w14:paraId="6361DA1A" w14:textId="70CC9609" w:rsidR="00F274C6" w:rsidRPr="00F274C6" w:rsidRDefault="00F274C6" w:rsidP="00F274C6">
      <w:pPr>
        <w:pStyle w:val="Heading2"/>
      </w:pPr>
      <w:bookmarkStart w:id="38" w:name="_Toc204761003"/>
      <w:r>
        <w:t xml:space="preserve">Question 8c: </w:t>
      </w:r>
      <w:r w:rsidRPr="00F274C6">
        <w:t>regulatory oversight?</w:t>
      </w:r>
      <w:bookmarkEnd w:id="38"/>
    </w:p>
    <w:p w14:paraId="3BF8F149" w14:textId="77777777" w:rsidR="00F274C6" w:rsidRPr="00F274C6" w:rsidRDefault="00F274C6" w:rsidP="00F274C6">
      <w:pPr>
        <w:pStyle w:val="Numberedparagraph"/>
      </w:pPr>
      <w:r w:rsidRPr="00F274C6">
        <w:t xml:space="preserve">In Queensland, the provision of medical care is carefully regulated. The QHRC finds no justification for regulating the provision of hormone treatment in a manner that is different to the regulation of other forms of clinical care. </w:t>
      </w:r>
    </w:p>
    <w:p w14:paraId="584D4F31" w14:textId="5E93B220" w:rsidR="00F274C6" w:rsidRPr="00F274C6" w:rsidRDefault="00F274C6" w:rsidP="00F274C6">
      <w:pPr>
        <w:pStyle w:val="Numberedparagraph"/>
      </w:pPr>
      <w:r w:rsidRPr="00F274C6">
        <w:t>In relation to registered health practitioners, the Australian Health Practitioner Regulation Agency (</w:t>
      </w:r>
      <w:r w:rsidRPr="005E58DF">
        <w:rPr>
          <w:b/>
          <w:bCs/>
        </w:rPr>
        <w:t>APHRA</w:t>
      </w:r>
      <w:r w:rsidRPr="00F274C6">
        <w:t xml:space="preserve">), the Office of the Health Ombudsman, and approximately 15 health practitioner registration boards work together to oversee the performance in line with relevant guidelines and codes of conduct. In relation to health services, a range of Health Service Directives support the delivery of safe and high-quality health care by requiring Hospital and Health Services to ensure health professionals are credentialed and have a defined scope of clinical practice, and require monitoring, reporting and response, and maintenance of accreditation of services against the National Safety and Quality Health Service Standards. </w:t>
      </w:r>
    </w:p>
    <w:p w14:paraId="28E3E431" w14:textId="06188EF8" w:rsidR="00F274C6" w:rsidRPr="00F274C6" w:rsidRDefault="00F274C6" w:rsidP="00F274C6">
      <w:pPr>
        <w:pStyle w:val="Heading2"/>
        <w:rPr>
          <w:rFonts w:cs="Arial"/>
          <w:sz w:val="22"/>
        </w:rPr>
      </w:pPr>
      <w:bookmarkStart w:id="39" w:name="_Toc204761004"/>
      <w:r>
        <w:lastRenderedPageBreak/>
        <w:t xml:space="preserve">Question 8d: </w:t>
      </w:r>
      <w:r w:rsidRPr="00F274C6">
        <w:rPr>
          <w:rFonts w:cs="Arial"/>
          <w:sz w:val="22"/>
        </w:rPr>
        <w:t>Why/ why not?</w:t>
      </w:r>
      <w:bookmarkEnd w:id="39"/>
    </w:p>
    <w:p w14:paraId="49B5FA07" w14:textId="77777777" w:rsidR="00F274C6" w:rsidRPr="00F274C6" w:rsidRDefault="00F274C6" w:rsidP="00F274C6">
      <w:pPr>
        <w:pStyle w:val="Numberedparagraph"/>
      </w:pPr>
      <w:r w:rsidRPr="00F274C6">
        <w:t>Please refer to answers to questions 8a, b, and c ‘Do you think this area of care has appropriate clinical oversight; governance oversight; and regulatory oversight’.</w:t>
      </w:r>
    </w:p>
    <w:p w14:paraId="6545AA4B" w14:textId="237C33F8" w:rsidR="00F274C6" w:rsidRPr="00F274C6" w:rsidRDefault="00F274C6" w:rsidP="00F274C6">
      <w:pPr>
        <w:pStyle w:val="Heading1"/>
      </w:pPr>
      <w:bookmarkStart w:id="40" w:name="_Toc204761005"/>
      <w:r>
        <w:t xml:space="preserve">Question 9: </w:t>
      </w:r>
      <w:r w:rsidRPr="00F274C6">
        <w:t>Should additional oversight or regulation be in place? If so, what?</w:t>
      </w:r>
      <w:bookmarkEnd w:id="40"/>
    </w:p>
    <w:p w14:paraId="35F47D26" w14:textId="77777777" w:rsidR="002871EE" w:rsidRDefault="00F274C6" w:rsidP="00F274C6">
      <w:pPr>
        <w:pStyle w:val="Numberedparagraph"/>
      </w:pPr>
      <w:r w:rsidRPr="00F274C6">
        <w:t>The QHRC finds no justification for requiring additional clinical oversight, nor regulating the provision of hormone treatments in a manner that is different to the regulation of other forms of clinical care. As noted in response to question 8a and c. above, just one year ago, the Queensland Children’s Gender Service (</w:t>
      </w:r>
      <w:r w:rsidRPr="00F274C6">
        <w:rPr>
          <w:b/>
          <w:bCs/>
        </w:rPr>
        <w:t>QCGS</w:t>
      </w:r>
      <w:r w:rsidRPr="00F274C6">
        <w:t>) was independently evaluated (</w:t>
      </w:r>
      <w:r w:rsidRPr="00F274C6">
        <w:rPr>
          <w:i/>
          <w:iCs/>
        </w:rPr>
        <w:t>Queensland Children’s Gender Service: external clinical service evaluation</w:t>
      </w:r>
      <w:r w:rsidRPr="00F274C6">
        <w:t xml:space="preserve">) (the </w:t>
      </w:r>
      <w:r w:rsidRPr="00F274C6">
        <w:rPr>
          <w:b/>
          <w:bCs/>
        </w:rPr>
        <w:t>Evaluation</w:t>
      </w:r>
      <w:r w:rsidRPr="00F274C6">
        <w:t xml:space="preserve">) by a panel of experts. </w:t>
      </w:r>
    </w:p>
    <w:p w14:paraId="3CA2F196" w14:textId="7256B320" w:rsidR="00F274C6" w:rsidRPr="00F274C6" w:rsidRDefault="00F274C6" w:rsidP="00F274C6">
      <w:pPr>
        <w:pStyle w:val="Numberedparagraph"/>
      </w:pPr>
      <w:r w:rsidRPr="00F274C6">
        <w:t xml:space="preserve">The Evaluation found that despite stagnant funding and a high caseload, clinical practice was consistent with the current national and international guidelines (the ASOCTG and WPATH guidelines). The Evaluation identifies the QCGS routinely collects comprehensive data pertaining to patient safety and quality indicators, activity, financial variance, and workforce with relevant indicators reported and escalated as appropriate to service leads and divisional leads. Clinical incidents, serious complaints, monitoring of the waitlist, and clinical audits </w:t>
      </w:r>
      <w:r w:rsidR="00BE3E91">
        <w:t>were</w:t>
      </w:r>
      <w:r w:rsidRPr="00F274C6">
        <w:t xml:space="preserve"> all captured, reported and managed appropriately (p65). </w:t>
      </w:r>
    </w:p>
    <w:p w14:paraId="521AE860" w14:textId="77777777" w:rsidR="00F274C6" w:rsidRPr="00F274C6" w:rsidRDefault="00F274C6" w:rsidP="00F274C6">
      <w:pPr>
        <w:pStyle w:val="Numberedparagraph"/>
      </w:pPr>
      <w:r w:rsidRPr="00F274C6">
        <w:t>Additionally, the provision of medical care in Queensland is carefully regulated. In relation to registered health practitioners, the Australian Health Practitioner Regulation Agency (</w:t>
      </w:r>
      <w:r w:rsidRPr="005E58DF">
        <w:rPr>
          <w:b/>
          <w:bCs/>
        </w:rPr>
        <w:t>AHPRA</w:t>
      </w:r>
      <w:r w:rsidRPr="00F274C6">
        <w:t xml:space="preserve">), the Office of the Health Ombudsman, and approximately 15 health practitioner registration boards work together to oversee the performance in line with relevant guidelines and codes of conduct. In relation to health services, a range of Health Service Directives support the delivery of safe and high-quality health care by requiring Hospital and Health Services to ensure health professionals are credentialed and have a defined scope of clinical practice, and require monitoring, reporting and response, and maintenance of accreditation of services against the National Safety and Quality Health Service Standards. </w:t>
      </w:r>
    </w:p>
    <w:p w14:paraId="6D517F64" w14:textId="77777777" w:rsidR="00F274C6" w:rsidRPr="00F274C6" w:rsidRDefault="00F274C6" w:rsidP="00F274C6">
      <w:pPr>
        <w:pStyle w:val="Numberedparagraph"/>
      </w:pPr>
      <w:r w:rsidRPr="00F274C6">
        <w:t>Additionally, as the Panel will be aware, the ASOCTG guidelines are currently under review by the National Health and Medical Research Council (</w:t>
      </w:r>
      <w:r w:rsidRPr="00F274C6">
        <w:rPr>
          <w:b/>
          <w:bCs/>
        </w:rPr>
        <w:t>NHMRC</w:t>
      </w:r>
      <w:r w:rsidRPr="00F274C6">
        <w:t xml:space="preserve">). The NHMRC is the pre-eminent authority for the development of clinical guidelines in Australia. To support national consistency, this review should take care not to make recommendations which could conflict with the guidelines under development by the NHMRC. </w:t>
      </w:r>
    </w:p>
    <w:p w14:paraId="6A911B55" w14:textId="657327E1" w:rsidR="00F274C6" w:rsidRPr="00F274C6" w:rsidRDefault="00F274C6" w:rsidP="00F274C6">
      <w:pPr>
        <w:pStyle w:val="Heading1"/>
      </w:pPr>
      <w:bookmarkStart w:id="41" w:name="_Toc204761006"/>
      <w:r>
        <w:t xml:space="preserve">Question 10: </w:t>
      </w:r>
      <w:r w:rsidRPr="00F274C6">
        <w:t>Is there anything else that you would like to raise about the current evidence base and ethical considerations for the use of Stage 1 and Stage 2 hormone treatments for children and adolescents?</w:t>
      </w:r>
      <w:bookmarkEnd w:id="41"/>
    </w:p>
    <w:p w14:paraId="5BD27D65" w14:textId="77777777" w:rsidR="00F274C6" w:rsidRPr="00F274C6" w:rsidRDefault="00F274C6" w:rsidP="00F274C6">
      <w:pPr>
        <w:pStyle w:val="Numberedparagraph"/>
      </w:pPr>
      <w:r w:rsidRPr="00F274C6">
        <w:t xml:space="preserve">The obstruction of access to hormone treatments disrupts not only the role of providers in offering evidence-based care but also limits children’s and parent’s rights. </w:t>
      </w:r>
    </w:p>
    <w:p w14:paraId="35216CA6" w14:textId="77777777" w:rsidR="00F274C6" w:rsidRPr="00F274C6" w:rsidRDefault="00F274C6" w:rsidP="00F274C6">
      <w:pPr>
        <w:pStyle w:val="Numberedparagraph"/>
        <w:rPr>
          <w:bCs/>
          <w:iCs/>
        </w:rPr>
      </w:pPr>
      <w:r w:rsidRPr="00F274C6">
        <w:lastRenderedPageBreak/>
        <w:t>T</w:t>
      </w:r>
      <w:r w:rsidRPr="00F274C6">
        <w:rPr>
          <w:iCs/>
        </w:rPr>
        <w:t>he</w:t>
      </w:r>
      <w:r w:rsidRPr="00F274C6">
        <w:rPr>
          <w:bCs/>
          <w:iCs/>
        </w:rPr>
        <w:t xml:space="preserve"> following rights, protected by the </w:t>
      </w:r>
      <w:r w:rsidRPr="00F274C6">
        <w:rPr>
          <w:bCs/>
          <w:i/>
        </w:rPr>
        <w:t>Human Rights Act 2019 (Qld)</w:t>
      </w:r>
      <w:r w:rsidRPr="00F274C6">
        <w:rPr>
          <w:bCs/>
          <w:iCs/>
        </w:rPr>
        <w:t xml:space="preserve"> (</w:t>
      </w:r>
      <w:r w:rsidRPr="00F274C6">
        <w:rPr>
          <w:b/>
          <w:iCs/>
        </w:rPr>
        <w:t>HRA</w:t>
      </w:r>
      <w:r w:rsidRPr="00F274C6">
        <w:rPr>
          <w:bCs/>
          <w:iCs/>
        </w:rPr>
        <w:t>), may be limited by a decision to obstruct access to hormone treatments:</w:t>
      </w:r>
    </w:p>
    <w:p w14:paraId="5E51F7CA" w14:textId="77777777" w:rsidR="00F274C6" w:rsidRPr="00F274C6" w:rsidRDefault="00F274C6" w:rsidP="005E58DF">
      <w:pPr>
        <w:pStyle w:val="Numberedparagraph"/>
        <w:numPr>
          <w:ilvl w:val="0"/>
          <w:numId w:val="12"/>
        </w:numPr>
      </w:pPr>
      <w:r w:rsidRPr="00F274C6">
        <w:rPr>
          <w:bCs/>
          <w:iCs/>
        </w:rPr>
        <w:t>life and to freedom from cruel treatment (s 16, 17, HRA)</w:t>
      </w:r>
    </w:p>
    <w:p w14:paraId="099BF846" w14:textId="77777777" w:rsidR="00F274C6" w:rsidRPr="00F274C6" w:rsidRDefault="00F274C6" w:rsidP="002C5B8B">
      <w:pPr>
        <w:pStyle w:val="Numberedparagraph"/>
        <w:numPr>
          <w:ilvl w:val="0"/>
          <w:numId w:val="0"/>
        </w:numPr>
        <w:ind w:left="567"/>
      </w:pPr>
      <w:r w:rsidRPr="00F274C6">
        <w:t xml:space="preserve">Given the evidence in relation to risk of self-harm and suicide amongst children who are diagnosed with gender dysphoria and are denied gender affirming care (Clark, et al. 2021, </w:t>
      </w:r>
      <w:r w:rsidRPr="00F274C6">
        <w:rPr>
          <w:i/>
        </w:rPr>
        <w:t>This Wasn't a Split-Second Decision": An Empirical Ethical Analysis of Transgender Youth Capacity, Rights, and Authority to Consent to Hormone Therapy</w:t>
      </w:r>
      <w:r w:rsidRPr="00F274C6">
        <w:t xml:space="preserve">, p153) the obstruction of access to hormone treatments may limit children’s rights to life and freedom from cruel treatment. </w:t>
      </w:r>
    </w:p>
    <w:p w14:paraId="3F903A85" w14:textId="77777777" w:rsidR="00F274C6" w:rsidRPr="00F274C6" w:rsidRDefault="00F274C6" w:rsidP="005E58DF">
      <w:pPr>
        <w:pStyle w:val="Numberedparagraph"/>
        <w:numPr>
          <w:ilvl w:val="0"/>
          <w:numId w:val="12"/>
        </w:numPr>
      </w:pPr>
      <w:r w:rsidRPr="00F274C6">
        <w:t>protection in child’s best interests (s 26(2), HRA)</w:t>
      </w:r>
    </w:p>
    <w:p w14:paraId="1B21D6C9" w14:textId="77777777" w:rsidR="00F274C6" w:rsidRPr="00F274C6" w:rsidRDefault="00F274C6" w:rsidP="002C5B8B">
      <w:pPr>
        <w:pStyle w:val="Numberedparagraph"/>
        <w:numPr>
          <w:ilvl w:val="0"/>
          <w:numId w:val="0"/>
        </w:numPr>
        <w:ind w:left="567"/>
      </w:pPr>
      <w:r w:rsidRPr="00F274C6">
        <w:t>This right is informed by the Convention on the Rights of the Child (</w:t>
      </w:r>
      <w:r w:rsidRPr="00F274C6">
        <w:rPr>
          <w:i/>
          <w:iCs/>
        </w:rPr>
        <w:t>Certain Children v Minister for Families and Children (No 2)</w:t>
      </w:r>
      <w:r w:rsidRPr="00F274C6">
        <w:t xml:space="preserve">), which </w:t>
      </w:r>
      <w:r w:rsidRPr="00F274C6">
        <w:rPr>
          <w:bCs/>
          <w:iCs/>
        </w:rPr>
        <w:t xml:space="preserve">recognises: the best interests of the child are the primary consideration; a child’s right to preserve their identity, and to have their views given due weight. </w:t>
      </w:r>
      <w:r w:rsidRPr="00F274C6">
        <w:t xml:space="preserve">Given the evidence on the positive effects of hormone treatments and the risks of denying access, obstruction of access is unlikely to be in a child’s best interests and may limit children’s rights to protection. Any blanket restrictions which do not permit consideration of individual best interests, and their views, will similarly limit this right. </w:t>
      </w:r>
    </w:p>
    <w:p w14:paraId="7C39A805" w14:textId="77777777" w:rsidR="00F274C6" w:rsidRPr="00F274C6" w:rsidRDefault="00F274C6" w:rsidP="005E58DF">
      <w:pPr>
        <w:pStyle w:val="Numberedparagraph"/>
        <w:numPr>
          <w:ilvl w:val="0"/>
          <w:numId w:val="12"/>
        </w:numPr>
      </w:pPr>
      <w:r w:rsidRPr="00F274C6">
        <w:t>protection of families</w:t>
      </w:r>
      <w:r w:rsidRPr="00F274C6">
        <w:rPr>
          <w:lang w:val="en-US"/>
        </w:rPr>
        <w:t xml:space="preserve"> (s 26(1), HRA)</w:t>
      </w:r>
    </w:p>
    <w:p w14:paraId="4AEFC133" w14:textId="77777777" w:rsidR="00F274C6" w:rsidRPr="00F274C6" w:rsidRDefault="00F274C6" w:rsidP="002C5B8B">
      <w:pPr>
        <w:pStyle w:val="Numberedparagraph"/>
        <w:numPr>
          <w:ilvl w:val="0"/>
          <w:numId w:val="0"/>
        </w:numPr>
        <w:ind w:left="567"/>
      </w:pPr>
      <w:r w:rsidRPr="00F274C6">
        <w:rPr>
          <w:lang w:val="en-US"/>
        </w:rPr>
        <w:t xml:space="preserve">This right </w:t>
      </w:r>
      <w:r w:rsidRPr="00F274C6">
        <w:t xml:space="preserve">recognises the importance of the family unit and obliges the state to protect families against unwarranted interference with family decision-making. Blanket obstruction of access to hormone treatments cannot be justified </w:t>
      </w:r>
      <w:proofErr w:type="gramStart"/>
      <w:r w:rsidRPr="00F274C6">
        <w:t>on the basis of</w:t>
      </w:r>
      <w:proofErr w:type="gramEnd"/>
      <w:r w:rsidRPr="00F274C6">
        <w:t xml:space="preserve"> evidence and therefore may amount to unwarranted interference with family decision-making, limiting the right of families to protection. </w:t>
      </w:r>
    </w:p>
    <w:p w14:paraId="6AD3A541" w14:textId="77777777" w:rsidR="00F274C6" w:rsidRPr="00F274C6" w:rsidRDefault="00F274C6" w:rsidP="005E58DF">
      <w:pPr>
        <w:pStyle w:val="Numberedparagraph"/>
        <w:numPr>
          <w:ilvl w:val="0"/>
          <w:numId w:val="12"/>
        </w:numPr>
      </w:pPr>
      <w:r w:rsidRPr="00F274C6">
        <w:t>privacy (s 25(1), HRA)</w:t>
      </w:r>
    </w:p>
    <w:p w14:paraId="5477A5C0" w14:textId="77777777" w:rsidR="00F274C6" w:rsidRPr="00F274C6" w:rsidRDefault="00F274C6" w:rsidP="002C5B8B">
      <w:pPr>
        <w:pStyle w:val="Numberedparagraph"/>
        <w:numPr>
          <w:ilvl w:val="0"/>
          <w:numId w:val="0"/>
        </w:numPr>
        <w:ind w:left="567"/>
        <w:rPr>
          <w:b/>
          <w:bCs/>
        </w:rPr>
      </w:pPr>
      <w:r w:rsidRPr="00F274C6">
        <w:t xml:space="preserve">The right ‘protects the individual’s interest in the freedom of their personal and social sphere... This encompasses their right to individual identity (including sexual </w:t>
      </w:r>
      <w:proofErr w:type="gramStart"/>
      <w:r w:rsidRPr="00F274C6">
        <w:t>identity)…</w:t>
      </w:r>
      <w:proofErr w:type="gramEnd"/>
      <w:r w:rsidRPr="00F274C6">
        <w:t>and to physical and psychological integrity’ (</w:t>
      </w:r>
      <w:r w:rsidRPr="00F274C6">
        <w:rPr>
          <w:i/>
          <w:iCs/>
        </w:rPr>
        <w:t xml:space="preserve">Kracke v Mental Health Review Board (General)). </w:t>
      </w:r>
      <w:r w:rsidRPr="00F274C6">
        <w:t>Only lawful, non-arbitrary intrusions may occur. ‘Arbitrary’ interferences are those which are not proportionate to a legitimate aim’ (</w:t>
      </w:r>
      <w:proofErr w:type="spellStart"/>
      <w:r w:rsidRPr="00F274C6">
        <w:rPr>
          <w:i/>
          <w:iCs/>
        </w:rPr>
        <w:t>Jurecek</w:t>
      </w:r>
      <w:proofErr w:type="spellEnd"/>
      <w:r w:rsidRPr="00F274C6">
        <w:rPr>
          <w:i/>
          <w:iCs/>
        </w:rPr>
        <w:t xml:space="preserve"> v Director, Transport Safety Victoria</w:t>
      </w:r>
      <w:r w:rsidRPr="00F274C6">
        <w:t xml:space="preserve">). Given the evidence hormone treatments are safe and effective, obstruction of access could be considered arbitrary as it is not proportionate to any ostensible aim of protecting children, thereby limiting the right to privacy. </w:t>
      </w:r>
    </w:p>
    <w:p w14:paraId="0D1E8966" w14:textId="77777777" w:rsidR="00F274C6" w:rsidRPr="00F274C6" w:rsidRDefault="00F274C6" w:rsidP="005E58DF">
      <w:pPr>
        <w:pStyle w:val="Numberedparagraph"/>
        <w:numPr>
          <w:ilvl w:val="0"/>
          <w:numId w:val="12"/>
        </w:numPr>
        <w:rPr>
          <w:lang w:val="en-US"/>
        </w:rPr>
      </w:pPr>
      <w:r w:rsidRPr="00F274C6">
        <w:rPr>
          <w:lang w:val="en-US"/>
        </w:rPr>
        <w:t>equality (s15, HRA)</w:t>
      </w:r>
    </w:p>
    <w:p w14:paraId="6789CEF1" w14:textId="77777777" w:rsidR="00F274C6" w:rsidRPr="00F274C6" w:rsidRDefault="00F274C6" w:rsidP="002C5B8B">
      <w:pPr>
        <w:pStyle w:val="Numberedparagraph"/>
        <w:numPr>
          <w:ilvl w:val="0"/>
          <w:numId w:val="0"/>
        </w:numPr>
        <w:ind w:left="567"/>
      </w:pPr>
      <w:r w:rsidRPr="00F274C6">
        <w:t xml:space="preserve">This right protects the right to equal enjoyment of human rights, and effective protection against discrimination. A person faced with barriers to treatment because they are a child, because of the illness being treated, or because of their gender identity, may be the victim of discrimination </w:t>
      </w:r>
      <w:proofErr w:type="gramStart"/>
      <w:r w:rsidRPr="00F274C6">
        <w:t>on the basis of</w:t>
      </w:r>
      <w:proofErr w:type="gramEnd"/>
      <w:r w:rsidRPr="00F274C6">
        <w:t xml:space="preserve"> age or gender identity, limiting their right to equality.</w:t>
      </w:r>
    </w:p>
    <w:p w14:paraId="2CD4D8EE" w14:textId="77777777" w:rsidR="00F274C6" w:rsidRPr="00F274C6" w:rsidRDefault="00F274C6" w:rsidP="005E58DF">
      <w:pPr>
        <w:pStyle w:val="Numberedparagraph"/>
        <w:numPr>
          <w:ilvl w:val="0"/>
          <w:numId w:val="12"/>
        </w:numPr>
      </w:pPr>
      <w:r w:rsidRPr="00F274C6">
        <w:lastRenderedPageBreak/>
        <w:t>access health services (s37(1), HRA)</w:t>
      </w:r>
    </w:p>
    <w:p w14:paraId="7C92F315" w14:textId="77777777" w:rsidR="00F274C6" w:rsidRPr="00F274C6" w:rsidDel="00B63532" w:rsidRDefault="00F274C6" w:rsidP="002C5B8B">
      <w:pPr>
        <w:pStyle w:val="Numberedparagraph"/>
        <w:numPr>
          <w:ilvl w:val="0"/>
          <w:numId w:val="0"/>
        </w:numPr>
        <w:ind w:left="567"/>
      </w:pPr>
      <w:r w:rsidRPr="00F274C6">
        <w:t xml:space="preserve">Any blanket restriction would only apply to public care. A restriction of this nature would result in children who cannot afford private care being unable to access care. This would result in limits on children’s right to access to health services.  </w:t>
      </w:r>
    </w:p>
    <w:p w14:paraId="2C84578E" w14:textId="77777777" w:rsidR="00F274C6" w:rsidRPr="00F274C6" w:rsidRDefault="00F274C6" w:rsidP="00F274C6">
      <w:pPr>
        <w:pStyle w:val="Numberedparagraph"/>
        <w:rPr>
          <w:b/>
          <w:bCs/>
        </w:rPr>
      </w:pPr>
      <w:r w:rsidRPr="00F274C6">
        <w:rPr>
          <w:b/>
          <w:bCs/>
        </w:rPr>
        <w:t>Requirements under the HRA</w:t>
      </w:r>
    </w:p>
    <w:p w14:paraId="6C1F9DDA" w14:textId="77777777" w:rsidR="00F274C6" w:rsidRPr="00F274C6" w:rsidRDefault="00F274C6" w:rsidP="00F274C6">
      <w:pPr>
        <w:pStyle w:val="Numberedparagraph"/>
      </w:pPr>
      <w:r w:rsidRPr="00F274C6">
        <w:t xml:space="preserve">Section 58, HRA requires public entities to properly consider human rights and to make decisions compatibility with human rights. While the Panel is not a public entity, the Panel should be conscious of the need to protect human rights. The Panel should also be aware that Queensland Health is a public entity which must make decisions compatibly with human rights, including when making any directive regarding hormone treatments. </w:t>
      </w:r>
    </w:p>
    <w:p w14:paraId="13F7A80A" w14:textId="77777777" w:rsidR="00F274C6" w:rsidRPr="00F274C6" w:rsidRDefault="00F274C6" w:rsidP="00F274C6">
      <w:pPr>
        <w:pStyle w:val="Numberedparagraph"/>
      </w:pPr>
      <w:r w:rsidRPr="00F274C6">
        <w:t>A decision will be compatible with human rights where it does not limit rights or where any limits are justifiable (s13, HRA). A limit will be justifiable where the limit is for a legitimate purpose and there is a rational connection between the limit and the purpose. Additionally, where there is no less restrictive alternative and the limit on rights is proportionate.</w:t>
      </w:r>
    </w:p>
    <w:p w14:paraId="1F013289" w14:textId="53F7DB2F" w:rsidR="00F274C6" w:rsidRDefault="00F274C6" w:rsidP="002C5B8B">
      <w:pPr>
        <w:pStyle w:val="Numberedparagraph"/>
      </w:pPr>
      <w:r w:rsidRPr="00F274C6">
        <w:t xml:space="preserve">Across the world, access to hormone treatments have been obstructed for the ostensible purpose of protecting children. Given the wealth of supportive evidence for hormone treatments and the risks associated with refusing treatment, the QHRC does not believe obstruction of access to hormone treatments </w:t>
      </w:r>
      <w:proofErr w:type="gramStart"/>
      <w:r w:rsidRPr="00F274C6">
        <w:t>is capable of achieving</w:t>
      </w:r>
      <w:proofErr w:type="gramEnd"/>
      <w:r w:rsidRPr="00F274C6">
        <w:t xml:space="preserve"> any ostensible purpose of protecting children. To the contrary, obstructing access is likely to cause harm to children. Additionally, any directive which blanketly obstructs access to hormone treatments would not permit consideration of the impacts on an individual child’s rights, including of their best interests. This approach cannot be considered least restrictive and therefore would amount to an unjustified limit on children’s human rights. </w:t>
      </w:r>
    </w:p>
    <w:p w14:paraId="3315FA7E" w14:textId="6D378BD0" w:rsidR="002C5B8B" w:rsidRDefault="002C5B8B">
      <w:pPr>
        <w:rPr>
          <w:rFonts w:ascii="Arial" w:hAnsi="Arial" w:cs="Arial"/>
          <w:sz w:val="22"/>
        </w:rPr>
      </w:pPr>
      <w:r>
        <w:br w:type="page"/>
      </w:r>
    </w:p>
    <w:p w14:paraId="06FB94D1" w14:textId="32240995" w:rsidR="002C5B8B" w:rsidRDefault="002C5B8B" w:rsidP="002C5B8B">
      <w:pPr>
        <w:pStyle w:val="Heading1"/>
        <w:jc w:val="right"/>
      </w:pPr>
      <w:bookmarkStart w:id="42" w:name="_Toc204761007"/>
      <w:r>
        <w:lastRenderedPageBreak/>
        <w:t>Appendix 1: Expanded response to Question 10</w:t>
      </w:r>
      <w:bookmarkEnd w:id="42"/>
    </w:p>
    <w:p w14:paraId="7706D1DE" w14:textId="343B65DF" w:rsidR="002C5B8B" w:rsidRDefault="002C5B8B" w:rsidP="002C5B8B">
      <w:pPr>
        <w:pStyle w:val="Numberedparagraph"/>
        <w:numPr>
          <w:ilvl w:val="0"/>
          <w:numId w:val="0"/>
        </w:numPr>
      </w:pPr>
      <w:r>
        <w:t xml:space="preserve">Due to the character limit on submissions to the Panel, the Commission was unable to provide a fulsome submission in response to Question 10. The below is an expanded response to Question 10. </w:t>
      </w:r>
    </w:p>
    <w:p w14:paraId="667F2E7E" w14:textId="77777777" w:rsidR="002C5B8B" w:rsidRDefault="002C5B8B" w:rsidP="002C5B8B">
      <w:pPr>
        <w:spacing w:before="120" w:after="240" w:line="276" w:lineRule="auto"/>
        <w:rPr>
          <w:rFonts w:ascii="Arial" w:eastAsia="MS Mincho" w:hAnsi="Arial" w:cs="Arial"/>
          <w:sz w:val="22"/>
          <w:szCs w:val="22"/>
        </w:rPr>
      </w:pPr>
    </w:p>
    <w:p w14:paraId="1448F718" w14:textId="6D36B308" w:rsidR="002C5B8B" w:rsidRDefault="002C5B8B" w:rsidP="002C5B8B">
      <w:pPr>
        <w:spacing w:before="120" w:after="240" w:line="276" w:lineRule="auto"/>
        <w:rPr>
          <w:rFonts w:ascii="Arial" w:eastAsia="MS Mincho" w:hAnsi="Arial" w:cs="Arial"/>
          <w:sz w:val="22"/>
          <w:szCs w:val="22"/>
        </w:rPr>
      </w:pPr>
      <w:r w:rsidRPr="002C5B8B">
        <w:rPr>
          <w:rFonts w:ascii="Arial" w:eastAsia="MS Mincho" w:hAnsi="Arial" w:cs="Arial"/>
          <w:sz w:val="22"/>
          <w:szCs w:val="22"/>
        </w:rPr>
        <w:t xml:space="preserve">State bans or directives which obstruct access to gender-affirming care disrupt not only the role of providers in offering evidence-based care but also limit children’s and parent’s rights. </w:t>
      </w:r>
    </w:p>
    <w:p w14:paraId="2CE3E796" w14:textId="323268EE" w:rsidR="000430B9" w:rsidRPr="000430B9" w:rsidRDefault="000430B9" w:rsidP="000430B9">
      <w:pPr>
        <w:pStyle w:val="Numberedparagraph"/>
        <w:numPr>
          <w:ilvl w:val="0"/>
          <w:numId w:val="0"/>
        </w:numPr>
      </w:pPr>
      <w:r w:rsidRPr="00F274C6">
        <w:t xml:space="preserve">The following rights, protected by the </w:t>
      </w:r>
      <w:r w:rsidRPr="00F274C6">
        <w:rPr>
          <w:i/>
        </w:rPr>
        <w:t>Human Rights Act 2019 (Qld)</w:t>
      </w:r>
      <w:r w:rsidRPr="00F274C6">
        <w:t xml:space="preserve"> (</w:t>
      </w:r>
      <w:r w:rsidRPr="00F274C6">
        <w:rPr>
          <w:b/>
        </w:rPr>
        <w:t>H</w:t>
      </w:r>
      <w:r>
        <w:rPr>
          <w:b/>
        </w:rPr>
        <w:t>uman Rights Act</w:t>
      </w:r>
      <w:r w:rsidRPr="00F274C6">
        <w:t>), may be limited by a decision to obstruct access to hormone treatments:</w:t>
      </w:r>
    </w:p>
    <w:p w14:paraId="4E3BFF67" w14:textId="77777777" w:rsidR="002C5B8B" w:rsidRPr="002C5B8B" w:rsidRDefault="002C5B8B" w:rsidP="002C5B8B">
      <w:pPr>
        <w:spacing w:before="120" w:after="240" w:line="276" w:lineRule="auto"/>
        <w:rPr>
          <w:rFonts w:ascii="Arial" w:eastAsia="MS Mincho" w:hAnsi="Arial" w:cs="Arial"/>
          <w:b/>
          <w:bCs/>
          <w:sz w:val="22"/>
          <w:szCs w:val="22"/>
        </w:rPr>
      </w:pPr>
      <w:r w:rsidRPr="002C5B8B">
        <w:rPr>
          <w:rFonts w:ascii="Arial" w:eastAsia="MS Mincho" w:hAnsi="Arial" w:cs="Arial"/>
          <w:b/>
          <w:bCs/>
          <w:sz w:val="22"/>
          <w:szCs w:val="22"/>
        </w:rPr>
        <w:t>Right to life and right to be free from cruel inhuman or degrading treatment</w:t>
      </w:r>
    </w:p>
    <w:p w14:paraId="6EC1E849" w14:textId="77777777" w:rsidR="002C5B8B" w:rsidRPr="002C5B8B" w:rsidRDefault="002C5B8B" w:rsidP="002C5B8B">
      <w:pPr>
        <w:spacing w:before="120" w:after="240" w:line="276" w:lineRule="auto"/>
        <w:rPr>
          <w:rFonts w:ascii="Arial" w:eastAsia="MS Mincho" w:hAnsi="Arial" w:cs="Arial"/>
          <w:b/>
          <w:bCs/>
          <w:sz w:val="22"/>
          <w:szCs w:val="22"/>
        </w:rPr>
      </w:pPr>
      <w:r w:rsidRPr="002C5B8B">
        <w:rPr>
          <w:rFonts w:ascii="Arial" w:eastAsia="MS Mincho" w:hAnsi="Arial" w:cs="Arial"/>
          <w:bCs/>
          <w:iCs/>
          <w:sz w:val="22"/>
          <w:szCs w:val="22"/>
        </w:rPr>
        <w:t>Section 16 of the Human Rights Act provides that every person has the right to life and the right not to be arbitrarily deprived of life. The right to life under confers both positive and negative duties on public entities to take positive steps to protect life, and to investigate deaths caused by a violation of the right to life (</w:t>
      </w:r>
      <w:r w:rsidRPr="002C5B8B">
        <w:rPr>
          <w:rFonts w:ascii="Arial" w:eastAsia="Aptos" w:hAnsi="Arial" w:cs="Arial"/>
          <w:i/>
          <w:iCs/>
          <w:kern w:val="2"/>
          <w:sz w:val="22"/>
          <w:szCs w:val="22"/>
          <w:lang w:val="en-GB"/>
          <w14:ligatures w14:val="standardContextual"/>
        </w:rPr>
        <w:t>Waratah Coal v Youth Verdict (No 6)</w:t>
      </w:r>
      <w:r w:rsidRPr="002C5B8B">
        <w:rPr>
          <w:rFonts w:ascii="Arial" w:eastAsia="Aptos" w:hAnsi="Arial" w:cs="Arial"/>
          <w:kern w:val="2"/>
          <w:sz w:val="22"/>
          <w:szCs w:val="22"/>
          <w:lang w:val="en-GB"/>
          <w14:ligatures w14:val="standardContextual"/>
        </w:rPr>
        <w:t xml:space="preserve"> [2022] QLC 21 [1452]</w:t>
      </w:r>
      <w:r w:rsidRPr="002C5B8B">
        <w:rPr>
          <w:rFonts w:ascii="Arial" w:eastAsia="Aptos" w:hAnsi="Arial" w:cs="Arial"/>
          <w:kern w:val="2"/>
          <w:lang w:val="en-GB"/>
          <w14:ligatures w14:val="standardContextual"/>
        </w:rPr>
        <w:t>)</w:t>
      </w:r>
      <w:r w:rsidRPr="002C5B8B">
        <w:rPr>
          <w:rFonts w:ascii="Arial" w:eastAsia="MS Mincho" w:hAnsi="Arial" w:cs="Arial"/>
          <w:bCs/>
          <w:iCs/>
          <w:sz w:val="22"/>
          <w:szCs w:val="22"/>
        </w:rPr>
        <w:t>.</w:t>
      </w:r>
      <w:r w:rsidRPr="002C5B8B">
        <w:rPr>
          <w:rFonts w:ascii="Arial" w:eastAsia="MS Mincho" w:hAnsi="Arial" w:cs="Arial"/>
          <w:b/>
          <w:bCs/>
          <w:sz w:val="22"/>
          <w:szCs w:val="22"/>
        </w:rPr>
        <w:t xml:space="preserve"> </w:t>
      </w:r>
    </w:p>
    <w:p w14:paraId="1FF91881" w14:textId="77777777" w:rsidR="002C5B8B" w:rsidRPr="002C5B8B" w:rsidRDefault="002C5B8B" w:rsidP="002C5B8B">
      <w:pPr>
        <w:spacing w:before="120" w:after="240" w:line="276" w:lineRule="auto"/>
        <w:rPr>
          <w:rFonts w:ascii="Arial" w:eastAsia="MS Mincho" w:hAnsi="Arial" w:cs="Arial"/>
          <w:b/>
          <w:bCs/>
          <w:sz w:val="22"/>
          <w:szCs w:val="22"/>
        </w:rPr>
      </w:pPr>
      <w:r w:rsidRPr="002C5B8B">
        <w:rPr>
          <w:rFonts w:ascii="Arial" w:eastAsia="MS Mincho" w:hAnsi="Arial" w:cs="Arial"/>
          <w:bCs/>
          <w:iCs/>
          <w:sz w:val="22"/>
          <w:szCs w:val="22"/>
        </w:rPr>
        <w:t>Section 17 of the Human Rights Act provides that a person must not be subjected to torture or treatment in a cruel, inhuman or degrading way or subject to medical or scientific experimentation or treatment without their full, free an informed consent.</w:t>
      </w:r>
      <w:r w:rsidRPr="002C5B8B">
        <w:rPr>
          <w:rFonts w:ascii="Arial" w:eastAsia="MS Mincho" w:hAnsi="Arial" w:cs="Arial"/>
          <w:b/>
          <w:bCs/>
          <w:sz w:val="22"/>
          <w:szCs w:val="22"/>
        </w:rPr>
        <w:t xml:space="preserve"> </w:t>
      </w:r>
    </w:p>
    <w:p w14:paraId="322DDA91" w14:textId="61E8BDDD" w:rsidR="002C5B8B" w:rsidRPr="002C5B8B" w:rsidRDefault="002C5B8B" w:rsidP="002C5B8B">
      <w:pPr>
        <w:spacing w:before="120" w:after="240" w:line="276" w:lineRule="auto"/>
        <w:rPr>
          <w:rFonts w:ascii="Arial" w:eastAsia="MS Mincho" w:hAnsi="Arial" w:cs="Arial"/>
          <w:b/>
          <w:bCs/>
          <w:sz w:val="22"/>
          <w:szCs w:val="22"/>
        </w:rPr>
      </w:pPr>
      <w:r w:rsidRPr="002C5B8B">
        <w:rPr>
          <w:rFonts w:ascii="Arial" w:eastAsia="MS Mincho" w:hAnsi="Arial" w:cs="Arial"/>
          <w:sz w:val="22"/>
        </w:rPr>
        <w:t>The European Court of Human Rights ha</w:t>
      </w:r>
      <w:r w:rsidR="00904232">
        <w:rPr>
          <w:rFonts w:ascii="Arial" w:eastAsia="MS Mincho" w:hAnsi="Arial" w:cs="Arial"/>
          <w:sz w:val="22"/>
        </w:rPr>
        <w:t>s</w:t>
      </w:r>
      <w:r w:rsidRPr="002C5B8B">
        <w:rPr>
          <w:rFonts w:ascii="Arial" w:eastAsia="MS Mincho" w:hAnsi="Arial" w:cs="Arial"/>
          <w:sz w:val="22"/>
        </w:rPr>
        <w:t xml:space="preserve"> held that a public authority with statutory powers to protect children has a positive duty to act where it knows or should have known that a particular child is at risk of harm (</w:t>
      </w:r>
      <w:r w:rsidRPr="002C5B8B">
        <w:rPr>
          <w:rFonts w:ascii="Arial" w:eastAsia="MS Mincho" w:hAnsi="Arial" w:cs="Arial"/>
          <w:i/>
          <w:iCs/>
          <w:sz w:val="22"/>
        </w:rPr>
        <w:t>Z v United Kingdom</w:t>
      </w:r>
      <w:r w:rsidRPr="002C5B8B">
        <w:rPr>
          <w:rFonts w:ascii="Arial" w:eastAsia="MS Mincho" w:hAnsi="Arial" w:cs="Arial"/>
          <w:sz w:val="22"/>
        </w:rPr>
        <w:t xml:space="preserve"> (2001) EHCR [73]</w:t>
      </w:r>
      <w:proofErr w:type="gramStart"/>
      <w:r w:rsidRPr="002C5B8B">
        <w:rPr>
          <w:rFonts w:ascii="Arial" w:eastAsia="MS Mincho" w:hAnsi="Arial" w:cs="Arial"/>
          <w:sz w:val="22"/>
        </w:rPr>
        <w:t>–[</w:t>
      </w:r>
      <w:proofErr w:type="gramEnd"/>
      <w:r w:rsidRPr="002C5B8B">
        <w:rPr>
          <w:rFonts w:ascii="Arial" w:eastAsia="MS Mincho" w:hAnsi="Arial" w:cs="Arial"/>
          <w:sz w:val="22"/>
        </w:rPr>
        <w:t xml:space="preserve">74]). </w:t>
      </w:r>
      <w:r w:rsidR="000742F2">
        <w:rPr>
          <w:rFonts w:ascii="Arial" w:eastAsia="MS Mincho" w:hAnsi="Arial" w:cs="Arial"/>
          <w:sz w:val="22"/>
        </w:rPr>
        <w:t>The United Kingdom Supreme Court has also found that p</w:t>
      </w:r>
      <w:r w:rsidRPr="002C5B8B">
        <w:rPr>
          <w:rFonts w:ascii="Arial" w:eastAsia="MS Mincho" w:hAnsi="Arial" w:cs="Arial"/>
          <w:sz w:val="22"/>
        </w:rPr>
        <w:t>ublic authorities hold a positive duty to protect children from the real and immediate risk of self-harm where they are or ought to be aware and it is within their power to prevent (</w:t>
      </w:r>
      <w:r w:rsidRPr="002C5B8B">
        <w:rPr>
          <w:rFonts w:ascii="Arial" w:eastAsia="MS Mincho" w:hAnsi="Arial" w:cs="Arial"/>
          <w:i/>
          <w:iCs/>
          <w:sz w:val="22"/>
        </w:rPr>
        <w:t>Rabone v Pennine Care NHS Trust</w:t>
      </w:r>
      <w:r w:rsidRPr="002C5B8B">
        <w:rPr>
          <w:rFonts w:ascii="Arial" w:eastAsia="MS Mincho" w:hAnsi="Arial" w:cs="Arial"/>
          <w:sz w:val="22"/>
        </w:rPr>
        <w:t xml:space="preserve"> [2012] UKSC 2 [23], [104]). </w:t>
      </w:r>
    </w:p>
    <w:p w14:paraId="2426AE04" w14:textId="276A1337" w:rsidR="002C5B8B" w:rsidRPr="002C5B8B" w:rsidRDefault="002C5B8B" w:rsidP="002C5B8B">
      <w:pPr>
        <w:spacing w:before="120" w:after="240" w:line="276" w:lineRule="auto"/>
        <w:rPr>
          <w:rFonts w:ascii="Arial" w:eastAsia="MS Mincho" w:hAnsi="Arial" w:cs="Arial"/>
          <w:sz w:val="22"/>
        </w:rPr>
      </w:pPr>
      <w:r w:rsidRPr="002C5B8B">
        <w:rPr>
          <w:rFonts w:ascii="Arial" w:eastAsia="MS Mincho" w:hAnsi="Arial" w:cs="Arial"/>
          <w:sz w:val="22"/>
        </w:rPr>
        <w:t xml:space="preserve">Given the evidence in relation to risk of self-harm and suicide amongst children who are diagnosed with gender dysphoria and who are denied gender affirming care (see for example: Clark DBA, 2021, Virani A. </w:t>
      </w:r>
      <w:r w:rsidRPr="002C5B8B">
        <w:rPr>
          <w:rFonts w:ascii="Arial" w:eastAsia="MS Mincho" w:hAnsi="Arial" w:cs="Arial"/>
          <w:i/>
          <w:iCs/>
          <w:sz w:val="22"/>
        </w:rPr>
        <w:t>This Wasn't a Split-Second Decision": An Empirical Ethical Analysis of Transgender Youth Capacity, Rights, and Authority to Consent to Hormone Therapy</w:t>
      </w:r>
      <w:r w:rsidRPr="002C5B8B">
        <w:rPr>
          <w:rFonts w:ascii="Arial" w:eastAsia="MS Mincho" w:hAnsi="Arial" w:cs="Arial"/>
          <w:sz w:val="22"/>
        </w:rPr>
        <w:t xml:space="preserve">, p153) </w:t>
      </w:r>
      <w:r w:rsidR="006B37DB">
        <w:rPr>
          <w:rFonts w:ascii="Arial" w:eastAsia="MS Mincho" w:hAnsi="Arial" w:cs="Arial"/>
          <w:sz w:val="22"/>
        </w:rPr>
        <w:t>and the evidence that</w:t>
      </w:r>
      <w:r w:rsidR="004E0B79" w:rsidRPr="004E0B79">
        <w:rPr>
          <w:rFonts w:ascii="Arial" w:eastAsia="MS Mincho" w:hAnsi="Arial" w:cs="Arial"/>
          <w:sz w:val="22"/>
        </w:rPr>
        <w:t xml:space="preserve"> children receiving gender-affirming hormones have better mental wellbeing than trans children who have not accessed gender-affirming hormones</w:t>
      </w:r>
      <w:r w:rsidR="00620269">
        <w:rPr>
          <w:rFonts w:ascii="Arial" w:eastAsia="MS Mincho" w:hAnsi="Arial" w:cs="Arial"/>
          <w:sz w:val="22"/>
        </w:rPr>
        <w:t xml:space="preserve"> (</w:t>
      </w:r>
      <w:proofErr w:type="spellStart"/>
      <w:r w:rsidR="00620269">
        <w:rPr>
          <w:rFonts w:ascii="Arial" w:eastAsia="MS Mincho" w:hAnsi="Arial" w:cs="Arial"/>
          <w:sz w:val="22"/>
        </w:rPr>
        <w:t>AusPath</w:t>
      </w:r>
      <w:proofErr w:type="spellEnd"/>
      <w:r w:rsidR="00620269">
        <w:rPr>
          <w:rFonts w:ascii="Arial" w:eastAsia="MS Mincho" w:hAnsi="Arial" w:cs="Arial"/>
          <w:sz w:val="22"/>
        </w:rPr>
        <w:t xml:space="preserve"> and Transcend, </w:t>
      </w:r>
      <w:r w:rsidR="00895532">
        <w:rPr>
          <w:rFonts w:ascii="Arial" w:eastAsia="MS Mincho" w:hAnsi="Arial" w:cs="Arial"/>
          <w:sz w:val="22"/>
        </w:rPr>
        <w:t xml:space="preserve">2024, </w:t>
      </w:r>
      <w:r w:rsidR="000C1A97" w:rsidRPr="000C1A97">
        <w:rPr>
          <w:rFonts w:ascii="Arial" w:eastAsia="MS Mincho" w:hAnsi="Arial" w:cs="Arial"/>
          <w:i/>
          <w:iCs/>
          <w:sz w:val="22"/>
        </w:rPr>
        <w:t>Evidence brief: Gender-affirming hormone therapy</w:t>
      </w:r>
      <w:r w:rsidR="000C1A97">
        <w:rPr>
          <w:rFonts w:ascii="Arial" w:eastAsia="MS Mincho" w:hAnsi="Arial" w:cs="Arial"/>
          <w:sz w:val="22"/>
        </w:rPr>
        <w:t xml:space="preserve">) </w:t>
      </w:r>
      <w:r w:rsidR="00895532">
        <w:rPr>
          <w:rFonts w:ascii="Arial" w:eastAsia="MS Mincho" w:hAnsi="Arial" w:cs="Arial"/>
          <w:sz w:val="22"/>
        </w:rPr>
        <w:t xml:space="preserve">blanketly obstructing </w:t>
      </w:r>
      <w:r w:rsidRPr="002C5B8B">
        <w:rPr>
          <w:rFonts w:ascii="Arial" w:eastAsia="MS Mincho" w:hAnsi="Arial" w:cs="Arial"/>
          <w:sz w:val="22"/>
        </w:rPr>
        <w:t>access to hormone treatment</w:t>
      </w:r>
      <w:r w:rsidR="00134E84">
        <w:rPr>
          <w:rFonts w:ascii="Arial" w:eastAsia="MS Mincho" w:hAnsi="Arial" w:cs="Arial"/>
          <w:sz w:val="22"/>
        </w:rPr>
        <w:t xml:space="preserve"> </w:t>
      </w:r>
      <w:r w:rsidR="00E20DE3">
        <w:rPr>
          <w:rFonts w:ascii="Arial" w:eastAsia="MS Mincho" w:hAnsi="Arial" w:cs="Arial"/>
          <w:sz w:val="22"/>
        </w:rPr>
        <w:t>could</w:t>
      </w:r>
      <w:r w:rsidRPr="002C5B8B">
        <w:rPr>
          <w:rFonts w:ascii="Arial" w:eastAsia="MS Mincho" w:hAnsi="Arial" w:cs="Arial"/>
          <w:sz w:val="22"/>
        </w:rPr>
        <w:t xml:space="preserve"> limit children’s rights to freedom from cruel, inhuman and degrading treatment, and to life. </w:t>
      </w:r>
    </w:p>
    <w:p w14:paraId="7AEE91E9" w14:textId="77777777" w:rsidR="002C5B8B" w:rsidRPr="002C5B8B" w:rsidRDefault="002C5B8B" w:rsidP="002C5B8B">
      <w:pPr>
        <w:spacing w:before="120" w:after="240" w:line="276" w:lineRule="auto"/>
        <w:rPr>
          <w:rFonts w:ascii="Arial" w:eastAsia="MS Mincho" w:hAnsi="Arial" w:cs="Arial"/>
          <w:b/>
          <w:bCs/>
          <w:sz w:val="22"/>
          <w:szCs w:val="22"/>
        </w:rPr>
      </w:pPr>
      <w:r w:rsidRPr="002C5B8B">
        <w:rPr>
          <w:rFonts w:ascii="Arial" w:eastAsia="MS Mincho" w:hAnsi="Arial" w:cs="Arial"/>
          <w:b/>
          <w:bCs/>
          <w:sz w:val="22"/>
          <w:szCs w:val="22"/>
        </w:rPr>
        <w:t xml:space="preserve">Rights of the child </w:t>
      </w:r>
    </w:p>
    <w:p w14:paraId="2D609C45" w14:textId="5BD2A104" w:rsidR="002C5B8B" w:rsidRPr="002C5B8B" w:rsidRDefault="002C5B8B" w:rsidP="002C5B8B">
      <w:pPr>
        <w:spacing w:before="120" w:after="240" w:line="276" w:lineRule="auto"/>
        <w:rPr>
          <w:rFonts w:ascii="Arial" w:eastAsia="MS Mincho" w:hAnsi="Arial" w:cs="Arial"/>
          <w:sz w:val="22"/>
          <w:szCs w:val="22"/>
          <w:lang w:val="en-US"/>
        </w:rPr>
      </w:pPr>
      <w:r w:rsidRPr="002C5B8B">
        <w:rPr>
          <w:rFonts w:ascii="Arial" w:eastAsia="MS Mincho" w:hAnsi="Arial" w:cs="Arial"/>
          <w:sz w:val="22"/>
          <w:szCs w:val="22"/>
          <w:lang w:val="en-US"/>
        </w:rPr>
        <w:t xml:space="preserve">Section 26 of the </w:t>
      </w:r>
      <w:r w:rsidR="009309E8">
        <w:rPr>
          <w:rFonts w:ascii="Arial" w:eastAsia="MS Mincho" w:hAnsi="Arial" w:cs="Arial"/>
          <w:sz w:val="22"/>
          <w:szCs w:val="22"/>
          <w:lang w:val="en-US"/>
        </w:rPr>
        <w:t>Human Rights Act</w:t>
      </w:r>
      <w:r w:rsidRPr="002C5B8B">
        <w:rPr>
          <w:rFonts w:ascii="Arial" w:eastAsia="MS Mincho" w:hAnsi="Arial" w:cs="Arial"/>
          <w:sz w:val="22"/>
          <w:szCs w:val="22"/>
          <w:lang w:val="en-US"/>
        </w:rPr>
        <w:t xml:space="preserve"> provides that (2) every child has the right, without discrimination, to the protection that is needed by the child, and is in the child’s best interests, because of being a child. </w:t>
      </w:r>
      <w:r w:rsidRPr="002C5B8B">
        <w:rPr>
          <w:rFonts w:ascii="Arial" w:eastAsia="MS Mincho" w:hAnsi="Arial" w:cs="Arial"/>
          <w:sz w:val="22"/>
          <w:szCs w:val="22"/>
        </w:rPr>
        <w:t xml:space="preserve">The right is stronger than non-interference and extends to positive measures for protection of children. The protection that is needed by the child is </w:t>
      </w:r>
      <w:r w:rsidRPr="002C5B8B">
        <w:rPr>
          <w:rFonts w:ascii="Arial" w:eastAsia="MS Mincho" w:hAnsi="Arial" w:cs="Arial"/>
          <w:sz w:val="22"/>
          <w:szCs w:val="22"/>
        </w:rPr>
        <w:lastRenderedPageBreak/>
        <w:t xml:space="preserve">informed by the </w:t>
      </w:r>
      <w:r w:rsidRPr="00E20DE3">
        <w:rPr>
          <w:rFonts w:ascii="Arial" w:eastAsia="MS Mincho" w:hAnsi="Arial" w:cs="Arial"/>
          <w:i/>
          <w:iCs/>
          <w:sz w:val="22"/>
          <w:szCs w:val="22"/>
        </w:rPr>
        <w:t>Convention on the Rights of the Child</w:t>
      </w:r>
      <w:r w:rsidRPr="002C5B8B">
        <w:rPr>
          <w:rFonts w:ascii="Arial" w:eastAsia="MS Mincho" w:hAnsi="Arial" w:cs="Arial"/>
          <w:sz w:val="22"/>
          <w:szCs w:val="22"/>
        </w:rPr>
        <w:t xml:space="preserve"> (CRC). (</w:t>
      </w:r>
      <w:r w:rsidRPr="002C5B8B">
        <w:rPr>
          <w:rFonts w:ascii="Arial" w:eastAsia="MS Mincho" w:hAnsi="Arial" w:cs="Arial"/>
          <w:i/>
          <w:iCs/>
          <w:sz w:val="22"/>
          <w:szCs w:val="22"/>
        </w:rPr>
        <w:t>Certain Children v Minister for Families and Children (No 2) </w:t>
      </w:r>
      <w:hyperlink r:id="rId14" w:tooltip="Victorian Reports" w:history="1">
        <w:r w:rsidRPr="002C5B8B">
          <w:rPr>
            <w:rFonts w:ascii="Arial" w:eastAsia="MS Mincho" w:hAnsi="Arial" w:cs="Arial"/>
            <w:sz w:val="22"/>
          </w:rPr>
          <w:t>(2017) 52 VR 441</w:t>
        </w:r>
      </w:hyperlink>
      <w:r w:rsidRPr="002C5B8B">
        <w:rPr>
          <w:rFonts w:ascii="Arial" w:eastAsia="MS Mincho" w:hAnsi="Arial" w:cs="Arial"/>
          <w:sz w:val="22"/>
          <w:szCs w:val="22"/>
        </w:rPr>
        <w:t xml:space="preserve">) </w:t>
      </w:r>
    </w:p>
    <w:p w14:paraId="6E57CA05" w14:textId="77777777" w:rsidR="002C5B8B" w:rsidRPr="002C5B8B" w:rsidRDefault="002C5B8B" w:rsidP="002C5B8B">
      <w:pPr>
        <w:spacing w:before="120" w:after="240" w:line="276" w:lineRule="auto"/>
        <w:rPr>
          <w:rFonts w:ascii="Arial" w:eastAsia="MS Mincho" w:hAnsi="Arial" w:cs="Arial"/>
          <w:bCs/>
          <w:iCs/>
          <w:sz w:val="22"/>
          <w:szCs w:val="22"/>
        </w:rPr>
      </w:pPr>
      <w:r w:rsidRPr="002C5B8B">
        <w:rPr>
          <w:rFonts w:ascii="Arial" w:eastAsia="MS Mincho" w:hAnsi="Arial" w:cs="Arial"/>
          <w:bCs/>
          <w:iCs/>
          <w:sz w:val="22"/>
          <w:szCs w:val="22"/>
        </w:rPr>
        <w:t>The CRC recognises:</w:t>
      </w:r>
    </w:p>
    <w:p w14:paraId="38EE228B" w14:textId="77777777" w:rsidR="002C5B8B" w:rsidRPr="002C5B8B" w:rsidRDefault="002C5B8B" w:rsidP="005E58DF">
      <w:pPr>
        <w:numPr>
          <w:ilvl w:val="0"/>
          <w:numId w:val="8"/>
        </w:numPr>
        <w:spacing w:before="120" w:after="240" w:line="276" w:lineRule="auto"/>
        <w:rPr>
          <w:rFonts w:ascii="Arial" w:eastAsia="MS Mincho" w:hAnsi="Arial" w:cs="Arial"/>
          <w:bCs/>
          <w:iCs/>
          <w:sz w:val="22"/>
          <w:szCs w:val="22"/>
        </w:rPr>
      </w:pPr>
      <w:r w:rsidRPr="002C5B8B">
        <w:rPr>
          <w:rFonts w:ascii="Arial" w:eastAsia="MS Mincho" w:hAnsi="Arial" w:cs="Arial"/>
          <w:bCs/>
          <w:iCs/>
          <w:sz w:val="22"/>
          <w:szCs w:val="22"/>
        </w:rPr>
        <w:t>the best interests of the child shall be a primary consideration (Article 3)</w:t>
      </w:r>
    </w:p>
    <w:p w14:paraId="22B00ABC" w14:textId="77777777" w:rsidR="002C5B8B" w:rsidRPr="002C5B8B" w:rsidRDefault="002C5B8B" w:rsidP="005E58DF">
      <w:pPr>
        <w:numPr>
          <w:ilvl w:val="0"/>
          <w:numId w:val="8"/>
        </w:numPr>
        <w:spacing w:before="120" w:after="240" w:line="276" w:lineRule="auto"/>
        <w:rPr>
          <w:rFonts w:ascii="Arial" w:eastAsia="MS Mincho" w:hAnsi="Arial" w:cs="Arial"/>
          <w:bCs/>
          <w:iCs/>
          <w:sz w:val="22"/>
          <w:szCs w:val="22"/>
        </w:rPr>
      </w:pPr>
      <w:r w:rsidRPr="002C5B8B">
        <w:rPr>
          <w:rFonts w:ascii="Arial" w:eastAsia="MS Mincho" w:hAnsi="Arial" w:cs="Arial"/>
          <w:bCs/>
          <w:iCs/>
          <w:sz w:val="22"/>
          <w:szCs w:val="22"/>
        </w:rPr>
        <w:t>a child has a right to preserve their identity (Article 8)</w:t>
      </w:r>
    </w:p>
    <w:p w14:paraId="569898C6" w14:textId="77777777" w:rsidR="002C5B8B" w:rsidRPr="002C5B8B" w:rsidRDefault="002C5B8B" w:rsidP="005E58DF">
      <w:pPr>
        <w:numPr>
          <w:ilvl w:val="0"/>
          <w:numId w:val="8"/>
        </w:numPr>
        <w:spacing w:before="120" w:after="240" w:line="276" w:lineRule="auto"/>
        <w:rPr>
          <w:rFonts w:ascii="Arial" w:eastAsia="MS Mincho" w:hAnsi="Arial" w:cs="Arial"/>
          <w:bCs/>
          <w:iCs/>
          <w:sz w:val="22"/>
          <w:szCs w:val="22"/>
        </w:rPr>
      </w:pPr>
      <w:r w:rsidRPr="002C5B8B">
        <w:rPr>
          <w:rFonts w:ascii="Arial" w:eastAsia="MS Mincho" w:hAnsi="Arial" w:cs="Arial"/>
          <w:bCs/>
          <w:iCs/>
          <w:sz w:val="22"/>
          <w:szCs w:val="22"/>
        </w:rPr>
        <w:t>in all matters affecting the child, the views of the child be given due weight in accordance with the age and maturity of the child (Article 12)</w:t>
      </w:r>
    </w:p>
    <w:p w14:paraId="3729D2E6" w14:textId="77777777" w:rsidR="002C5B8B" w:rsidRPr="002C5B8B" w:rsidRDefault="002C5B8B" w:rsidP="002C5B8B">
      <w:pPr>
        <w:spacing w:before="120" w:after="240" w:line="276" w:lineRule="auto"/>
        <w:rPr>
          <w:rFonts w:ascii="Arial" w:eastAsia="MS Mincho" w:hAnsi="Arial" w:cs="Arial"/>
          <w:bCs/>
          <w:iCs/>
          <w:sz w:val="22"/>
          <w:szCs w:val="22"/>
        </w:rPr>
      </w:pPr>
      <w:r w:rsidRPr="002C5B8B">
        <w:rPr>
          <w:rFonts w:ascii="Arial" w:eastAsia="MS Mincho" w:hAnsi="Arial" w:cs="Arial"/>
          <w:bCs/>
          <w:iCs/>
          <w:sz w:val="22"/>
          <w:szCs w:val="22"/>
        </w:rPr>
        <w:t>A child’s best interests are dynamic and should be adjusted and defined on an individual basis.</w:t>
      </w:r>
    </w:p>
    <w:p w14:paraId="5A8C9BC4" w14:textId="27BAA7AB" w:rsidR="002C5B8B" w:rsidRPr="002C5B8B" w:rsidRDefault="002C5B8B" w:rsidP="002C5B8B">
      <w:pPr>
        <w:spacing w:before="120" w:after="240" w:line="276" w:lineRule="auto"/>
        <w:rPr>
          <w:rFonts w:ascii="Arial" w:eastAsia="MS Mincho" w:hAnsi="Arial" w:cs="Arial"/>
          <w:sz w:val="22"/>
          <w:szCs w:val="22"/>
        </w:rPr>
      </w:pPr>
      <w:r w:rsidRPr="002C5B8B">
        <w:rPr>
          <w:rFonts w:ascii="Arial" w:eastAsia="MS Mincho" w:hAnsi="Arial" w:cs="Arial"/>
          <w:sz w:val="22"/>
          <w:szCs w:val="22"/>
        </w:rPr>
        <w:t>Given the evidence on the positive impacts of hormone treatment and the risks of denying access where hormone treatment</w:t>
      </w:r>
      <w:r w:rsidR="003D36F2">
        <w:rPr>
          <w:rFonts w:ascii="Arial" w:eastAsia="MS Mincho" w:hAnsi="Arial" w:cs="Arial"/>
          <w:sz w:val="22"/>
          <w:szCs w:val="22"/>
        </w:rPr>
        <w:t>s</w:t>
      </w:r>
      <w:r w:rsidRPr="002C5B8B">
        <w:rPr>
          <w:rFonts w:ascii="Arial" w:eastAsia="MS Mincho" w:hAnsi="Arial" w:cs="Arial"/>
          <w:sz w:val="22"/>
          <w:szCs w:val="22"/>
        </w:rPr>
        <w:t xml:space="preserve"> are clinically indicated, the obstruction of access to hormone treatment is unlikely to be in a child’s best interests thereby limiting children’s rights to protection in their best interests. Any blanket restrictions on access which do not permit consideration of an individual child’s best interests, and their views on the matter will similarly limit a child’s rights to protection. </w:t>
      </w:r>
    </w:p>
    <w:p w14:paraId="5F40A2B7" w14:textId="77777777" w:rsidR="002C5B8B" w:rsidRPr="002C5B8B" w:rsidRDefault="002C5B8B" w:rsidP="002C5B8B">
      <w:pPr>
        <w:spacing w:before="120" w:after="240" w:line="276" w:lineRule="auto"/>
        <w:rPr>
          <w:rFonts w:ascii="Arial" w:eastAsia="MS Mincho" w:hAnsi="Arial" w:cs="Arial"/>
          <w:b/>
          <w:bCs/>
          <w:sz w:val="22"/>
          <w:szCs w:val="22"/>
        </w:rPr>
      </w:pPr>
      <w:r w:rsidRPr="002C5B8B">
        <w:rPr>
          <w:rFonts w:ascii="Arial" w:eastAsia="MS Mincho" w:hAnsi="Arial" w:cs="Arial"/>
          <w:b/>
          <w:bCs/>
          <w:sz w:val="22"/>
          <w:szCs w:val="22"/>
        </w:rPr>
        <w:t>Right to protection of family</w:t>
      </w:r>
    </w:p>
    <w:p w14:paraId="4DAF31A1" w14:textId="7520E7F4" w:rsidR="002C5B8B" w:rsidRPr="002C5B8B" w:rsidRDefault="002C5B8B" w:rsidP="002C5B8B">
      <w:pPr>
        <w:spacing w:before="120" w:after="240" w:line="276" w:lineRule="auto"/>
        <w:rPr>
          <w:rFonts w:ascii="Arial" w:eastAsia="MS Mincho" w:hAnsi="Arial" w:cs="Arial"/>
          <w:sz w:val="22"/>
          <w:szCs w:val="22"/>
        </w:rPr>
      </w:pPr>
      <w:r w:rsidRPr="002C5B8B">
        <w:rPr>
          <w:rFonts w:ascii="Arial" w:eastAsia="MS Mincho" w:hAnsi="Arial" w:cs="Arial"/>
          <w:sz w:val="22"/>
          <w:szCs w:val="22"/>
        </w:rPr>
        <w:t xml:space="preserve">Section 26(1) </w:t>
      </w:r>
      <w:r w:rsidR="00391A2C">
        <w:rPr>
          <w:rFonts w:ascii="Arial" w:eastAsia="MS Mincho" w:hAnsi="Arial" w:cs="Arial"/>
          <w:sz w:val="22"/>
          <w:szCs w:val="22"/>
        </w:rPr>
        <w:t xml:space="preserve">of the Human Rights Act </w:t>
      </w:r>
      <w:r w:rsidRPr="002C5B8B">
        <w:rPr>
          <w:rFonts w:ascii="Arial" w:eastAsia="MS Mincho" w:hAnsi="Arial" w:cs="Arial"/>
          <w:sz w:val="22"/>
          <w:szCs w:val="22"/>
        </w:rPr>
        <w:t>provides that</w:t>
      </w:r>
      <w:r w:rsidRPr="002C5B8B">
        <w:rPr>
          <w:rFonts w:ascii="Arial" w:eastAsia="MS Mincho" w:hAnsi="Arial" w:cs="Arial"/>
          <w:sz w:val="22"/>
          <w:szCs w:val="22"/>
          <w:lang w:val="en-US"/>
        </w:rPr>
        <w:t xml:space="preserve"> families are entitled to be protected by society and the state. This right </w:t>
      </w:r>
      <w:r w:rsidRPr="002C5B8B">
        <w:rPr>
          <w:rFonts w:ascii="Arial" w:eastAsia="MS Mincho" w:hAnsi="Arial" w:cs="Arial"/>
          <w:sz w:val="22"/>
          <w:szCs w:val="22"/>
        </w:rPr>
        <w:t>recognises the importance of the family unit and the ability for parents to direct the care of their children</w:t>
      </w:r>
      <w:r w:rsidR="00391A2C">
        <w:rPr>
          <w:rFonts w:ascii="Arial" w:eastAsia="MS Mincho" w:hAnsi="Arial" w:cs="Arial"/>
          <w:sz w:val="22"/>
          <w:szCs w:val="22"/>
        </w:rPr>
        <w:t>. It also</w:t>
      </w:r>
      <w:r w:rsidRPr="002C5B8B">
        <w:rPr>
          <w:rFonts w:ascii="Arial" w:eastAsia="MS Mincho" w:hAnsi="Arial" w:cs="Arial"/>
          <w:sz w:val="22"/>
          <w:szCs w:val="22"/>
        </w:rPr>
        <w:t xml:space="preserve"> obliges the state to protect families against unwarranted interference with family decision-making. Blanket obstruction of access to hormone treatment cannot be justified </w:t>
      </w:r>
      <w:proofErr w:type="gramStart"/>
      <w:r w:rsidRPr="002C5B8B">
        <w:rPr>
          <w:rFonts w:ascii="Arial" w:eastAsia="MS Mincho" w:hAnsi="Arial" w:cs="Arial"/>
          <w:sz w:val="22"/>
          <w:szCs w:val="22"/>
        </w:rPr>
        <w:t>on the basis of</w:t>
      </w:r>
      <w:proofErr w:type="gramEnd"/>
      <w:r w:rsidRPr="002C5B8B">
        <w:rPr>
          <w:rFonts w:ascii="Arial" w:eastAsia="MS Mincho" w:hAnsi="Arial" w:cs="Arial"/>
          <w:sz w:val="22"/>
          <w:szCs w:val="22"/>
        </w:rPr>
        <w:t xml:space="preserve"> evidence and therefore amounts to unwarranted interference with family decision-making limiting the right to protection of the family. </w:t>
      </w:r>
    </w:p>
    <w:p w14:paraId="550FBD96" w14:textId="77777777" w:rsidR="002C5B8B" w:rsidRPr="002C5B8B" w:rsidRDefault="002C5B8B" w:rsidP="002C5B8B">
      <w:pPr>
        <w:spacing w:line="276" w:lineRule="auto"/>
        <w:rPr>
          <w:rFonts w:ascii="Arial" w:eastAsia="MS Mincho" w:hAnsi="Arial" w:cs="Arial"/>
          <w:b/>
          <w:bCs/>
          <w:sz w:val="22"/>
          <w:szCs w:val="22"/>
        </w:rPr>
      </w:pPr>
      <w:r w:rsidRPr="002C5B8B">
        <w:rPr>
          <w:rFonts w:ascii="Arial" w:eastAsia="MS Mincho" w:hAnsi="Arial" w:cs="Arial"/>
          <w:b/>
          <w:bCs/>
          <w:sz w:val="22"/>
          <w:szCs w:val="22"/>
        </w:rPr>
        <w:t xml:space="preserve">Right to freedom of expression </w:t>
      </w:r>
    </w:p>
    <w:p w14:paraId="57E90400" w14:textId="77777777" w:rsidR="002C5B8B" w:rsidRPr="002C5B8B" w:rsidRDefault="002C5B8B" w:rsidP="002C5B8B">
      <w:pPr>
        <w:spacing w:line="276" w:lineRule="auto"/>
        <w:rPr>
          <w:rFonts w:ascii="Arial" w:eastAsia="MS Mincho" w:hAnsi="Arial" w:cs="Arial"/>
          <w:b/>
          <w:bCs/>
          <w:sz w:val="22"/>
          <w:szCs w:val="22"/>
        </w:rPr>
      </w:pPr>
    </w:p>
    <w:p w14:paraId="214B4C0B" w14:textId="6FD99D5B" w:rsidR="002C5B8B" w:rsidRPr="002C5B8B" w:rsidRDefault="002C5B8B" w:rsidP="002C5B8B">
      <w:pPr>
        <w:spacing w:line="276" w:lineRule="auto"/>
        <w:rPr>
          <w:rFonts w:ascii="Arial" w:eastAsia="MS Mincho" w:hAnsi="Arial" w:cs="Arial"/>
          <w:i/>
          <w:iCs/>
          <w:sz w:val="22"/>
          <w:szCs w:val="22"/>
        </w:rPr>
      </w:pPr>
      <w:r w:rsidRPr="002C5B8B">
        <w:rPr>
          <w:rFonts w:ascii="Arial" w:eastAsia="MS Mincho" w:hAnsi="Arial" w:cs="Arial"/>
          <w:sz w:val="22"/>
          <w:szCs w:val="22"/>
        </w:rPr>
        <w:t>Section 21</w:t>
      </w:r>
      <w:r w:rsidR="00391A2C">
        <w:rPr>
          <w:rFonts w:ascii="Arial" w:eastAsia="MS Mincho" w:hAnsi="Arial" w:cs="Arial"/>
          <w:sz w:val="22"/>
          <w:szCs w:val="22"/>
        </w:rPr>
        <w:t xml:space="preserve"> of the</w:t>
      </w:r>
      <w:r w:rsidRPr="002C5B8B">
        <w:rPr>
          <w:rFonts w:ascii="Arial" w:eastAsia="MS Mincho" w:hAnsi="Arial" w:cs="Arial"/>
          <w:sz w:val="22"/>
          <w:szCs w:val="22"/>
        </w:rPr>
        <w:t xml:space="preserve"> </w:t>
      </w:r>
      <w:r w:rsidR="00391A2C">
        <w:rPr>
          <w:rFonts w:ascii="Arial" w:eastAsia="MS Mincho" w:hAnsi="Arial" w:cs="Arial"/>
          <w:sz w:val="22"/>
          <w:szCs w:val="22"/>
        </w:rPr>
        <w:t xml:space="preserve">Human Rights Act </w:t>
      </w:r>
      <w:r w:rsidRPr="002C5B8B">
        <w:rPr>
          <w:rFonts w:ascii="Arial" w:eastAsia="MS Mincho" w:hAnsi="Arial" w:cs="Arial"/>
          <w:sz w:val="22"/>
          <w:szCs w:val="22"/>
        </w:rPr>
        <w:t>provides that every person has the right to freedom of expression which include</w:t>
      </w:r>
      <w:r w:rsidR="00391A2C">
        <w:rPr>
          <w:rFonts w:ascii="Arial" w:eastAsia="MS Mincho" w:hAnsi="Arial" w:cs="Arial"/>
          <w:sz w:val="22"/>
          <w:szCs w:val="22"/>
        </w:rPr>
        <w:t>s</w:t>
      </w:r>
      <w:r w:rsidRPr="002C5B8B">
        <w:rPr>
          <w:rFonts w:ascii="Arial" w:eastAsia="MS Mincho" w:hAnsi="Arial" w:cs="Arial"/>
          <w:sz w:val="22"/>
          <w:szCs w:val="22"/>
        </w:rPr>
        <w:t xml:space="preserve"> the freedom to seek, receive</w:t>
      </w:r>
      <w:r w:rsidR="00391A2C">
        <w:rPr>
          <w:rFonts w:ascii="Arial" w:eastAsia="MS Mincho" w:hAnsi="Arial" w:cs="Arial"/>
          <w:sz w:val="22"/>
          <w:szCs w:val="22"/>
        </w:rPr>
        <w:t>,</w:t>
      </w:r>
      <w:r w:rsidRPr="002C5B8B">
        <w:rPr>
          <w:rFonts w:ascii="Arial" w:eastAsia="MS Mincho" w:hAnsi="Arial" w:cs="Arial"/>
          <w:sz w:val="22"/>
          <w:szCs w:val="22"/>
        </w:rPr>
        <w:t xml:space="preserve"> and impart information and ideas of all kinds. The right to freedom of opinion and expression is a foundational right and an indispensable condition for the full development of the person. (Human Rights Committee, </w:t>
      </w:r>
      <w:r w:rsidRPr="00391A2C">
        <w:rPr>
          <w:rFonts w:ascii="Arial" w:eastAsia="MS Mincho" w:hAnsi="Arial" w:cs="Arial"/>
          <w:i/>
          <w:iCs/>
          <w:sz w:val="22"/>
          <w:szCs w:val="22"/>
        </w:rPr>
        <w:t>General Comment No, 34</w:t>
      </w:r>
      <w:r w:rsidRPr="002C5B8B">
        <w:rPr>
          <w:rFonts w:ascii="Arial" w:eastAsia="MS Mincho" w:hAnsi="Arial" w:cs="Arial"/>
          <w:i/>
          <w:iCs/>
          <w:sz w:val="22"/>
          <w:szCs w:val="22"/>
        </w:rPr>
        <w:t xml:space="preserve">). </w:t>
      </w:r>
      <w:r w:rsidRPr="002C5B8B">
        <w:rPr>
          <w:rFonts w:ascii="Arial" w:eastAsia="MS Mincho" w:hAnsi="Arial" w:cs="Arial"/>
          <w:sz w:val="22"/>
          <w:szCs w:val="22"/>
        </w:rPr>
        <w:t xml:space="preserve">The right has a wide scope, protecting almost all forms of expression, including verbal, or through art or conduct. Where a child is prevented from expressing their identity by taking steps to affirm their gender, this right will be limited. </w:t>
      </w:r>
    </w:p>
    <w:p w14:paraId="60B105E1" w14:textId="77777777" w:rsidR="002C5B8B" w:rsidRPr="002C5B8B" w:rsidRDefault="002C5B8B" w:rsidP="002C5B8B">
      <w:pPr>
        <w:spacing w:line="276" w:lineRule="auto"/>
        <w:rPr>
          <w:rFonts w:ascii="Arial" w:eastAsia="MS Mincho" w:hAnsi="Arial" w:cs="Arial"/>
          <w:sz w:val="22"/>
          <w:szCs w:val="22"/>
        </w:rPr>
      </w:pPr>
    </w:p>
    <w:p w14:paraId="023B7850" w14:textId="77777777" w:rsidR="002C5B8B" w:rsidRPr="002C5B8B" w:rsidRDefault="002C5B8B" w:rsidP="002C5B8B">
      <w:pPr>
        <w:spacing w:line="276" w:lineRule="auto"/>
        <w:rPr>
          <w:rFonts w:ascii="Arial" w:eastAsia="MS Mincho" w:hAnsi="Arial" w:cs="Arial"/>
          <w:b/>
          <w:bCs/>
          <w:sz w:val="22"/>
          <w:szCs w:val="22"/>
        </w:rPr>
      </w:pPr>
      <w:r w:rsidRPr="002C5B8B">
        <w:rPr>
          <w:rFonts w:ascii="Arial" w:eastAsia="MS Mincho" w:hAnsi="Arial" w:cs="Arial"/>
          <w:b/>
          <w:bCs/>
          <w:sz w:val="22"/>
          <w:szCs w:val="22"/>
        </w:rPr>
        <w:t>Right to privacy</w:t>
      </w:r>
    </w:p>
    <w:p w14:paraId="3E8333EF" w14:textId="77777777" w:rsidR="002C5B8B" w:rsidRPr="002C5B8B" w:rsidRDefault="002C5B8B" w:rsidP="002C5B8B">
      <w:pPr>
        <w:spacing w:line="276" w:lineRule="auto"/>
        <w:rPr>
          <w:rFonts w:ascii="Arial" w:eastAsia="MS Mincho" w:hAnsi="Arial" w:cs="Arial"/>
          <w:sz w:val="22"/>
          <w:szCs w:val="22"/>
        </w:rPr>
      </w:pPr>
    </w:p>
    <w:p w14:paraId="4A6C2B5F" w14:textId="12BB0393" w:rsidR="002C5B8B" w:rsidRPr="002C5B8B" w:rsidRDefault="002C5B8B" w:rsidP="002C5B8B">
      <w:pPr>
        <w:spacing w:line="276" w:lineRule="auto"/>
        <w:rPr>
          <w:rFonts w:ascii="Arial" w:eastAsia="MS Mincho" w:hAnsi="Arial" w:cs="Arial"/>
          <w:sz w:val="22"/>
          <w:szCs w:val="22"/>
        </w:rPr>
      </w:pPr>
      <w:r w:rsidRPr="002C5B8B">
        <w:rPr>
          <w:rFonts w:ascii="Arial" w:eastAsia="MS Mincho" w:hAnsi="Arial" w:cs="Arial"/>
          <w:sz w:val="22"/>
          <w:szCs w:val="22"/>
        </w:rPr>
        <w:t xml:space="preserve">Section 25(1) </w:t>
      </w:r>
      <w:r w:rsidR="00391A2C">
        <w:rPr>
          <w:rFonts w:ascii="Arial" w:eastAsia="MS Mincho" w:hAnsi="Arial" w:cs="Arial"/>
          <w:sz w:val="22"/>
          <w:szCs w:val="22"/>
        </w:rPr>
        <w:t xml:space="preserve">of the Human Rights Act </w:t>
      </w:r>
      <w:r w:rsidRPr="002C5B8B">
        <w:rPr>
          <w:rFonts w:ascii="Arial" w:eastAsia="MS Mincho" w:hAnsi="Arial" w:cs="Arial"/>
          <w:sz w:val="22"/>
          <w:szCs w:val="22"/>
        </w:rPr>
        <w:t xml:space="preserve">provides a person has the right not to have the person’s privacy, family, home or correspondence unlawfully or arbitrarily interfered with. The scope of the right to privacy is broad. Per Bell J in </w:t>
      </w:r>
      <w:r w:rsidRPr="002C5B8B">
        <w:rPr>
          <w:rFonts w:ascii="Arial" w:eastAsia="MS Mincho" w:hAnsi="Arial" w:cs="Arial"/>
          <w:i/>
          <w:iCs/>
          <w:sz w:val="22"/>
          <w:szCs w:val="22"/>
        </w:rPr>
        <w:t xml:space="preserve">Kracke v Mental Health Review Board (General) </w:t>
      </w:r>
      <w:r w:rsidRPr="002C5B8B">
        <w:rPr>
          <w:rFonts w:ascii="Arial" w:eastAsia="MS Mincho" w:hAnsi="Arial" w:cs="Arial"/>
          <w:sz w:val="22"/>
          <w:szCs w:val="22"/>
        </w:rPr>
        <w:t xml:space="preserve">2009 VCAT 646 [619] ‘it protects the individual’s interest in the freedom of their personal and social sphere in the broad sense. This encompasses their right to </w:t>
      </w:r>
      <w:r w:rsidRPr="002C5B8B">
        <w:rPr>
          <w:rFonts w:ascii="Arial" w:eastAsia="MS Mincho" w:hAnsi="Arial" w:cs="Arial"/>
          <w:sz w:val="22"/>
          <w:szCs w:val="22"/>
        </w:rPr>
        <w:lastRenderedPageBreak/>
        <w:t>individual identity (including sexual identity) and personal development, to establish and develop meaningful social relations and to physical and psychological integrity, including personal security and mental stability.’</w:t>
      </w:r>
    </w:p>
    <w:p w14:paraId="32C8BA4C" w14:textId="77777777" w:rsidR="002C5B8B" w:rsidRPr="002C5B8B" w:rsidRDefault="002C5B8B" w:rsidP="002C5B8B">
      <w:pPr>
        <w:spacing w:line="276" w:lineRule="auto"/>
        <w:rPr>
          <w:rFonts w:ascii="Arial" w:eastAsia="MS Mincho" w:hAnsi="Arial" w:cs="Arial"/>
          <w:sz w:val="22"/>
          <w:szCs w:val="22"/>
        </w:rPr>
      </w:pPr>
    </w:p>
    <w:p w14:paraId="599FC6D5" w14:textId="77777777" w:rsidR="002C5B8B" w:rsidRPr="002C5B8B" w:rsidRDefault="002C5B8B" w:rsidP="002C5B8B">
      <w:pPr>
        <w:spacing w:line="276" w:lineRule="auto"/>
        <w:rPr>
          <w:rFonts w:ascii="Arial" w:eastAsia="MS Mincho" w:hAnsi="Arial" w:cs="Arial"/>
          <w:sz w:val="22"/>
          <w:szCs w:val="22"/>
        </w:rPr>
      </w:pPr>
      <w:r w:rsidRPr="002C5B8B">
        <w:rPr>
          <w:rFonts w:ascii="Arial" w:eastAsia="MS Mincho" w:hAnsi="Arial" w:cs="Arial"/>
          <w:sz w:val="22"/>
          <w:szCs w:val="22"/>
        </w:rPr>
        <w:t>Only lawful and non-arbitrary intrusions may occur. ‘Arbitrarily’ extends to interferences which, are ‘capricious, unpredictable or unjust and also to interferences which, in those circumstances, are unreasonable in the sense of not being proportionate to a legitimate aim sought’ (</w:t>
      </w:r>
      <w:proofErr w:type="spellStart"/>
      <w:r w:rsidRPr="002C5B8B">
        <w:rPr>
          <w:rFonts w:ascii="Arial" w:eastAsia="MS Mincho" w:hAnsi="Arial" w:cs="Arial"/>
          <w:i/>
          <w:iCs/>
          <w:sz w:val="22"/>
          <w:szCs w:val="22"/>
        </w:rPr>
        <w:t>Jurecek</w:t>
      </w:r>
      <w:proofErr w:type="spellEnd"/>
      <w:r w:rsidRPr="002C5B8B">
        <w:rPr>
          <w:rFonts w:ascii="Arial" w:eastAsia="MS Mincho" w:hAnsi="Arial" w:cs="Arial"/>
          <w:i/>
          <w:iCs/>
          <w:sz w:val="22"/>
          <w:szCs w:val="22"/>
        </w:rPr>
        <w:t xml:space="preserve"> v Director, Transport Safety Victoria</w:t>
      </w:r>
      <w:r w:rsidRPr="002C5B8B">
        <w:rPr>
          <w:rFonts w:ascii="Arial" w:eastAsia="MS Mincho" w:hAnsi="Arial" w:cs="Arial"/>
          <w:sz w:val="22"/>
          <w:szCs w:val="22"/>
        </w:rPr>
        <w:t xml:space="preserve"> [2016] VSC 285).</w:t>
      </w:r>
    </w:p>
    <w:p w14:paraId="619BAF52" w14:textId="77777777" w:rsidR="002C5B8B" w:rsidRPr="002C5B8B" w:rsidRDefault="002C5B8B" w:rsidP="002C5B8B">
      <w:pPr>
        <w:spacing w:line="276" w:lineRule="auto"/>
        <w:rPr>
          <w:rFonts w:ascii="Arial" w:eastAsia="MS Mincho" w:hAnsi="Arial" w:cs="Arial"/>
          <w:sz w:val="22"/>
          <w:szCs w:val="22"/>
        </w:rPr>
      </w:pPr>
    </w:p>
    <w:p w14:paraId="2CA1C3BE" w14:textId="2996C897" w:rsidR="002C5B8B" w:rsidRPr="002C5B8B" w:rsidRDefault="002C5B8B" w:rsidP="002C5B8B">
      <w:pPr>
        <w:spacing w:line="276" w:lineRule="auto"/>
        <w:rPr>
          <w:rFonts w:ascii="Arial" w:eastAsia="MS Mincho" w:hAnsi="Arial" w:cs="Arial"/>
          <w:sz w:val="22"/>
          <w:szCs w:val="22"/>
        </w:rPr>
      </w:pPr>
      <w:r w:rsidRPr="002C5B8B">
        <w:rPr>
          <w:rFonts w:ascii="Arial" w:eastAsia="MS Mincho" w:hAnsi="Arial" w:cs="Arial"/>
          <w:sz w:val="22"/>
          <w:szCs w:val="22"/>
        </w:rPr>
        <w:t>Given the evidence that hormone treatment</w:t>
      </w:r>
      <w:r w:rsidR="00391A2C">
        <w:rPr>
          <w:rFonts w:ascii="Arial" w:eastAsia="MS Mincho" w:hAnsi="Arial" w:cs="Arial"/>
          <w:sz w:val="22"/>
          <w:szCs w:val="22"/>
        </w:rPr>
        <w:t>s</w:t>
      </w:r>
      <w:r w:rsidRPr="002C5B8B">
        <w:rPr>
          <w:rFonts w:ascii="Arial" w:eastAsia="MS Mincho" w:hAnsi="Arial" w:cs="Arial"/>
          <w:sz w:val="22"/>
          <w:szCs w:val="22"/>
        </w:rPr>
        <w:t xml:space="preserve"> are safe and effective, and evidence that obstructing access can cause significant harm, any legislation or directive which </w:t>
      </w:r>
      <w:r w:rsidR="00391A2C">
        <w:rPr>
          <w:rFonts w:ascii="Arial" w:eastAsia="MS Mincho" w:hAnsi="Arial" w:cs="Arial"/>
          <w:sz w:val="22"/>
          <w:szCs w:val="22"/>
        </w:rPr>
        <w:t xml:space="preserve">blanketly </w:t>
      </w:r>
      <w:r w:rsidRPr="002C5B8B">
        <w:rPr>
          <w:rFonts w:ascii="Arial" w:eastAsia="MS Mincho" w:hAnsi="Arial" w:cs="Arial"/>
          <w:sz w:val="22"/>
          <w:szCs w:val="22"/>
        </w:rPr>
        <w:t xml:space="preserve">restricts access to hormone treatment could be considered arbitrary in that it is not proportionate to any ostensible aim of protecting children and therefore amounts to an arbitrary limit on the right to privacy. </w:t>
      </w:r>
    </w:p>
    <w:p w14:paraId="54DF1987" w14:textId="77777777" w:rsidR="002C5B8B" w:rsidRPr="002C5B8B" w:rsidRDefault="002C5B8B" w:rsidP="002C5B8B">
      <w:pPr>
        <w:spacing w:line="276" w:lineRule="auto"/>
        <w:rPr>
          <w:rFonts w:ascii="Arial" w:eastAsia="MS Mincho" w:hAnsi="Arial" w:cs="Arial"/>
          <w:sz w:val="22"/>
          <w:szCs w:val="22"/>
        </w:rPr>
      </w:pPr>
    </w:p>
    <w:p w14:paraId="0DE33127" w14:textId="77777777" w:rsidR="002C5B8B" w:rsidRPr="002C5B8B" w:rsidRDefault="002C5B8B" w:rsidP="002C5B8B">
      <w:pPr>
        <w:spacing w:line="276" w:lineRule="auto"/>
        <w:rPr>
          <w:rFonts w:ascii="Arial" w:eastAsia="MS Mincho" w:hAnsi="Arial" w:cs="Arial"/>
          <w:b/>
          <w:bCs/>
          <w:sz w:val="22"/>
          <w:szCs w:val="22"/>
        </w:rPr>
      </w:pPr>
      <w:r w:rsidRPr="002C5B8B">
        <w:rPr>
          <w:rFonts w:ascii="Arial" w:eastAsia="MS Mincho" w:hAnsi="Arial" w:cs="Arial"/>
          <w:b/>
          <w:bCs/>
          <w:sz w:val="22"/>
          <w:szCs w:val="22"/>
        </w:rPr>
        <w:t>Equality</w:t>
      </w:r>
    </w:p>
    <w:p w14:paraId="5FE1683A" w14:textId="77777777" w:rsidR="002C5B8B" w:rsidRPr="002C5B8B" w:rsidRDefault="002C5B8B" w:rsidP="002C5B8B">
      <w:pPr>
        <w:spacing w:line="276" w:lineRule="auto"/>
        <w:rPr>
          <w:rFonts w:ascii="Arial" w:eastAsia="MS Mincho" w:hAnsi="Arial" w:cs="Arial"/>
          <w:b/>
          <w:bCs/>
          <w:sz w:val="22"/>
          <w:szCs w:val="22"/>
        </w:rPr>
      </w:pPr>
    </w:p>
    <w:p w14:paraId="656868B6" w14:textId="18728A71" w:rsidR="002C5B8B" w:rsidRPr="002C5B8B" w:rsidRDefault="002C5B8B" w:rsidP="002C5B8B">
      <w:pPr>
        <w:spacing w:line="276" w:lineRule="auto"/>
        <w:rPr>
          <w:rFonts w:ascii="Arial" w:eastAsia="MS Mincho" w:hAnsi="Arial" w:cs="Arial"/>
          <w:sz w:val="22"/>
          <w:szCs w:val="22"/>
          <w:lang w:val="en-US"/>
        </w:rPr>
      </w:pPr>
      <w:r w:rsidRPr="002C5B8B">
        <w:rPr>
          <w:rFonts w:ascii="Arial" w:eastAsia="MS Mincho" w:hAnsi="Arial" w:cs="Arial"/>
          <w:sz w:val="22"/>
          <w:szCs w:val="22"/>
          <w:lang w:val="en-US"/>
        </w:rPr>
        <w:t>Section 15 of the H</w:t>
      </w:r>
      <w:r w:rsidR="005C1525">
        <w:rPr>
          <w:rFonts w:ascii="Arial" w:eastAsia="MS Mincho" w:hAnsi="Arial" w:cs="Arial"/>
          <w:sz w:val="22"/>
          <w:szCs w:val="22"/>
          <w:lang w:val="en-US"/>
        </w:rPr>
        <w:t xml:space="preserve">uman Rights </w:t>
      </w:r>
      <w:r w:rsidRPr="002C5B8B">
        <w:rPr>
          <w:rFonts w:ascii="Arial" w:eastAsia="MS Mincho" w:hAnsi="Arial" w:cs="Arial"/>
          <w:sz w:val="22"/>
          <w:szCs w:val="22"/>
          <w:lang w:val="en-US"/>
        </w:rPr>
        <w:t>Act protects the right to recognition and equality before the law, the right to equal enjoyment of human rights</w:t>
      </w:r>
      <w:r w:rsidR="005C1525">
        <w:rPr>
          <w:rFonts w:ascii="Arial" w:eastAsia="MS Mincho" w:hAnsi="Arial" w:cs="Arial"/>
          <w:sz w:val="22"/>
          <w:szCs w:val="22"/>
          <w:lang w:val="en-US"/>
        </w:rPr>
        <w:t>,</w:t>
      </w:r>
      <w:r w:rsidRPr="002C5B8B">
        <w:rPr>
          <w:rFonts w:ascii="Arial" w:eastAsia="MS Mincho" w:hAnsi="Arial" w:cs="Arial"/>
          <w:sz w:val="22"/>
          <w:szCs w:val="22"/>
          <w:lang w:val="en-US"/>
        </w:rPr>
        <w:t xml:space="preserve"> and to equal and effective protection against discrimination. </w:t>
      </w:r>
      <w:r w:rsidRPr="002C5B8B">
        <w:rPr>
          <w:rFonts w:ascii="Arial" w:eastAsia="Times New Roman" w:hAnsi="Arial" w:cs="Arial"/>
          <w:bCs/>
          <w:iCs/>
          <w:sz w:val="22"/>
          <w:szCs w:val="22"/>
          <w:lang w:eastAsia="en-GB"/>
        </w:rPr>
        <w:t xml:space="preserve">Discrimination includes ‘direct discrimination or indirect discrimination’, within the meaning of the </w:t>
      </w:r>
      <w:r w:rsidRPr="002C5B8B">
        <w:rPr>
          <w:rFonts w:ascii="Arial" w:eastAsia="Times New Roman" w:hAnsi="Arial" w:cs="Arial"/>
          <w:bCs/>
          <w:i/>
          <w:iCs/>
          <w:sz w:val="22"/>
          <w:szCs w:val="22"/>
          <w:lang w:eastAsia="en-GB"/>
        </w:rPr>
        <w:t xml:space="preserve">Anti-Discrimination Act 1991 </w:t>
      </w:r>
      <w:r w:rsidRPr="002C5B8B">
        <w:rPr>
          <w:rFonts w:ascii="Arial" w:eastAsia="Times New Roman" w:hAnsi="Arial" w:cs="Arial"/>
          <w:bCs/>
          <w:iCs/>
          <w:sz w:val="22"/>
          <w:szCs w:val="22"/>
          <w:lang w:eastAsia="en-GB"/>
        </w:rPr>
        <w:t>(Qld) (</w:t>
      </w:r>
      <w:r w:rsidRPr="00176B83">
        <w:rPr>
          <w:rFonts w:ascii="Arial" w:eastAsia="Times New Roman" w:hAnsi="Arial" w:cs="Arial"/>
          <w:b/>
          <w:iCs/>
          <w:sz w:val="22"/>
          <w:szCs w:val="22"/>
          <w:lang w:eastAsia="en-GB"/>
        </w:rPr>
        <w:t>A</w:t>
      </w:r>
      <w:r w:rsidR="009714C9">
        <w:rPr>
          <w:rFonts w:ascii="Arial" w:eastAsia="Times New Roman" w:hAnsi="Arial" w:cs="Arial"/>
          <w:b/>
          <w:iCs/>
          <w:sz w:val="22"/>
          <w:szCs w:val="22"/>
          <w:lang w:eastAsia="en-GB"/>
        </w:rPr>
        <w:t>nti-Discrimination</w:t>
      </w:r>
      <w:r w:rsidRPr="00176B83">
        <w:rPr>
          <w:rFonts w:ascii="Arial" w:eastAsia="Times New Roman" w:hAnsi="Arial" w:cs="Arial"/>
          <w:b/>
          <w:iCs/>
          <w:sz w:val="22"/>
          <w:szCs w:val="22"/>
          <w:lang w:eastAsia="en-GB"/>
        </w:rPr>
        <w:t xml:space="preserve"> Act</w:t>
      </w:r>
      <w:r w:rsidRPr="002C5B8B">
        <w:rPr>
          <w:rFonts w:ascii="Arial" w:eastAsia="Times New Roman" w:hAnsi="Arial" w:cs="Arial"/>
          <w:bCs/>
          <w:iCs/>
          <w:sz w:val="22"/>
          <w:szCs w:val="22"/>
          <w:lang w:eastAsia="en-GB"/>
        </w:rPr>
        <w:t>). At a minimum, therefore, it extends to discrimination on the grounds recognised in the A</w:t>
      </w:r>
      <w:r w:rsidR="009714C9">
        <w:rPr>
          <w:rFonts w:ascii="Arial" w:eastAsia="Times New Roman" w:hAnsi="Arial" w:cs="Arial"/>
          <w:bCs/>
          <w:iCs/>
          <w:sz w:val="22"/>
          <w:szCs w:val="22"/>
          <w:lang w:eastAsia="en-GB"/>
        </w:rPr>
        <w:t>nti-Discrimination</w:t>
      </w:r>
      <w:r w:rsidRPr="002C5B8B">
        <w:rPr>
          <w:rFonts w:ascii="Arial" w:eastAsia="Times New Roman" w:hAnsi="Arial" w:cs="Arial"/>
          <w:bCs/>
          <w:iCs/>
          <w:sz w:val="22"/>
          <w:szCs w:val="22"/>
          <w:lang w:eastAsia="en-GB"/>
        </w:rPr>
        <w:t xml:space="preserve"> Act. Those grounds include age and gender identity. Direct discrimination occurs when a person treats, or proposes to treat, a person with an attribute less favourably than another person without the attribute</w:t>
      </w:r>
      <w:r w:rsidR="002F5308">
        <w:rPr>
          <w:rFonts w:ascii="Arial" w:eastAsia="Times New Roman" w:hAnsi="Arial" w:cs="Arial"/>
          <w:bCs/>
          <w:iCs/>
          <w:sz w:val="22"/>
          <w:szCs w:val="22"/>
          <w:lang w:eastAsia="en-GB"/>
        </w:rPr>
        <w:t xml:space="preserve"> (section </w:t>
      </w:r>
      <w:r w:rsidR="008D0DE4">
        <w:rPr>
          <w:rFonts w:ascii="Arial" w:eastAsia="Times New Roman" w:hAnsi="Arial" w:cs="Arial"/>
          <w:bCs/>
          <w:iCs/>
          <w:sz w:val="22"/>
          <w:szCs w:val="22"/>
          <w:lang w:eastAsia="en-GB"/>
        </w:rPr>
        <w:t>10, Anti-Discrimination Act).</w:t>
      </w:r>
    </w:p>
    <w:p w14:paraId="718600AE" w14:textId="77777777" w:rsidR="002C5B8B" w:rsidRPr="002C5B8B" w:rsidRDefault="002C5B8B" w:rsidP="002C5B8B">
      <w:pPr>
        <w:spacing w:line="276" w:lineRule="auto"/>
        <w:rPr>
          <w:rFonts w:ascii="Arial" w:eastAsia="MS Mincho" w:hAnsi="Arial" w:cs="Arial"/>
          <w:sz w:val="22"/>
          <w:szCs w:val="22"/>
          <w:lang w:val="en-US"/>
        </w:rPr>
      </w:pPr>
    </w:p>
    <w:p w14:paraId="3CD50900" w14:textId="1AF7B940" w:rsidR="002C5B8B" w:rsidRPr="002C5B8B" w:rsidRDefault="002C5B8B" w:rsidP="002C5B8B">
      <w:pPr>
        <w:spacing w:line="276" w:lineRule="auto"/>
        <w:rPr>
          <w:rFonts w:ascii="Arial" w:eastAsia="Times New Roman" w:hAnsi="Arial" w:cs="Arial"/>
          <w:bCs/>
          <w:iCs/>
          <w:sz w:val="22"/>
          <w:szCs w:val="22"/>
          <w:lang w:eastAsia="en-GB"/>
        </w:rPr>
      </w:pPr>
      <w:r w:rsidRPr="002C5B8B">
        <w:rPr>
          <w:rFonts w:ascii="Arial" w:eastAsia="Times New Roman" w:hAnsi="Arial" w:cs="Arial"/>
          <w:bCs/>
          <w:iCs/>
          <w:sz w:val="22"/>
          <w:szCs w:val="22"/>
          <w:lang w:eastAsia="en-GB"/>
        </w:rPr>
        <w:t xml:space="preserve">A person faced with barriers to treatment because they are a child, because of </w:t>
      </w:r>
      <w:r w:rsidR="009E11CB">
        <w:rPr>
          <w:rFonts w:ascii="Arial" w:eastAsia="Times New Roman" w:hAnsi="Arial" w:cs="Arial"/>
          <w:bCs/>
          <w:iCs/>
          <w:sz w:val="22"/>
          <w:szCs w:val="22"/>
          <w:lang w:eastAsia="en-GB"/>
        </w:rPr>
        <w:t xml:space="preserve">the </w:t>
      </w:r>
      <w:r w:rsidRPr="002C5B8B">
        <w:rPr>
          <w:rFonts w:ascii="Arial" w:eastAsia="Times New Roman" w:hAnsi="Arial" w:cs="Arial"/>
          <w:bCs/>
          <w:iCs/>
          <w:sz w:val="22"/>
          <w:szCs w:val="22"/>
          <w:lang w:eastAsia="en-GB"/>
        </w:rPr>
        <w:t xml:space="preserve">illness being treated, or because of their gender identity, may be the victim of discrimination, </w:t>
      </w:r>
      <w:r w:rsidR="009E11CB">
        <w:rPr>
          <w:rFonts w:ascii="Arial" w:eastAsia="Times New Roman" w:hAnsi="Arial" w:cs="Arial"/>
          <w:bCs/>
          <w:iCs/>
          <w:sz w:val="22"/>
          <w:szCs w:val="22"/>
          <w:lang w:eastAsia="en-GB"/>
        </w:rPr>
        <w:t xml:space="preserve">thereby </w:t>
      </w:r>
      <w:r w:rsidRPr="002C5B8B">
        <w:rPr>
          <w:rFonts w:ascii="Arial" w:eastAsia="Times New Roman" w:hAnsi="Arial" w:cs="Arial"/>
          <w:bCs/>
          <w:iCs/>
          <w:sz w:val="22"/>
          <w:szCs w:val="22"/>
          <w:lang w:eastAsia="en-GB"/>
        </w:rPr>
        <w:t>limiting their right to equality.</w:t>
      </w:r>
    </w:p>
    <w:p w14:paraId="53C70D28" w14:textId="77777777" w:rsidR="002C5B8B" w:rsidRPr="002C5B8B" w:rsidRDefault="002C5B8B" w:rsidP="002C5B8B">
      <w:pPr>
        <w:spacing w:before="120" w:after="240" w:line="276" w:lineRule="auto"/>
        <w:ind w:left="567" w:hanging="567"/>
        <w:rPr>
          <w:rFonts w:ascii="Arial" w:eastAsia="MS Mincho" w:hAnsi="Arial" w:cs="Arial"/>
          <w:b/>
          <w:bCs/>
          <w:sz w:val="22"/>
          <w:szCs w:val="22"/>
        </w:rPr>
      </w:pPr>
      <w:r w:rsidRPr="002C5B8B">
        <w:rPr>
          <w:rFonts w:ascii="Arial" w:eastAsia="MS Mincho" w:hAnsi="Arial" w:cs="Arial"/>
          <w:b/>
          <w:bCs/>
          <w:sz w:val="22"/>
          <w:szCs w:val="22"/>
        </w:rPr>
        <w:t>Right to access health services</w:t>
      </w:r>
    </w:p>
    <w:p w14:paraId="16508E4D" w14:textId="0FF63ECA" w:rsidR="002C5B8B" w:rsidRPr="002C5B8B" w:rsidRDefault="002C5B8B" w:rsidP="002C5B8B">
      <w:pPr>
        <w:spacing w:before="120" w:after="240" w:line="276" w:lineRule="auto"/>
        <w:ind w:left="11"/>
        <w:rPr>
          <w:rFonts w:ascii="Arial" w:eastAsia="MS Mincho" w:hAnsi="Arial" w:cs="Arial"/>
          <w:sz w:val="22"/>
        </w:rPr>
      </w:pPr>
      <w:r w:rsidRPr="002C5B8B">
        <w:rPr>
          <w:rFonts w:ascii="Arial" w:eastAsia="MS Mincho" w:hAnsi="Arial" w:cs="Arial"/>
          <w:sz w:val="22"/>
        </w:rPr>
        <w:t xml:space="preserve">Section 37(1) provides ‘every person has the right to access health services without discrimination’. Like the right to education, the right to health services is an access right. Section 37(1) is modelled on article 12 of the </w:t>
      </w:r>
      <w:r w:rsidRPr="009E11CB">
        <w:rPr>
          <w:rFonts w:ascii="Arial" w:eastAsia="MS Mincho" w:hAnsi="Arial" w:cs="Arial"/>
          <w:i/>
          <w:iCs/>
          <w:sz w:val="22"/>
        </w:rPr>
        <w:t>International Covenant on Economic, Social and Cultural Rights</w:t>
      </w:r>
      <w:r w:rsidRPr="002C5B8B">
        <w:rPr>
          <w:rFonts w:ascii="Arial" w:eastAsia="MS Mincho" w:hAnsi="Arial" w:cs="Arial"/>
          <w:sz w:val="22"/>
        </w:rPr>
        <w:t xml:space="preserve"> (</w:t>
      </w:r>
      <w:r w:rsidRPr="009E11CB">
        <w:rPr>
          <w:rFonts w:ascii="Arial" w:eastAsia="MS Mincho" w:hAnsi="Arial" w:cs="Arial"/>
          <w:b/>
          <w:bCs/>
          <w:sz w:val="22"/>
        </w:rPr>
        <w:t>ICESCR</w:t>
      </w:r>
      <w:r w:rsidRPr="002C5B8B">
        <w:rPr>
          <w:rFonts w:ascii="Arial" w:eastAsia="MS Mincho" w:hAnsi="Arial" w:cs="Arial"/>
          <w:sz w:val="22"/>
        </w:rPr>
        <w:t xml:space="preserve">). The ICESCR Committee explains accessibility has </w:t>
      </w:r>
      <w:r w:rsidRPr="002C5B8B">
        <w:rPr>
          <w:rFonts w:ascii="Arial" w:eastAsia="Times New Roman" w:hAnsi="Arial" w:cs="Arial"/>
          <w:bCs/>
          <w:iCs/>
          <w:sz w:val="22"/>
          <w:szCs w:val="22"/>
          <w:lang w:eastAsia="en-GB"/>
        </w:rPr>
        <w:t>physical, economic, informational, non-discrimination dimensions.</w:t>
      </w:r>
      <w:r w:rsidRPr="002C5B8B">
        <w:rPr>
          <w:rFonts w:ascii="Arial" w:eastAsia="MS Mincho" w:hAnsi="Arial" w:cs="Arial"/>
          <w:sz w:val="22"/>
        </w:rPr>
        <w:t xml:space="preserve"> The Committee also notes an essential element of the right to health includes health services that are scientifically and medically appropriate and of good quality (</w:t>
      </w:r>
      <w:r w:rsidR="009E11CB">
        <w:rPr>
          <w:rFonts w:ascii="Arial" w:eastAsia="MS Mincho" w:hAnsi="Arial" w:cs="Arial"/>
          <w:sz w:val="22"/>
        </w:rPr>
        <w:t xml:space="preserve">ICESCR Committee, </w:t>
      </w:r>
      <w:r w:rsidRPr="009E11CB">
        <w:rPr>
          <w:rFonts w:ascii="Arial" w:eastAsia="MS Mincho" w:hAnsi="Arial" w:cs="Arial"/>
          <w:i/>
          <w:iCs/>
          <w:sz w:val="22"/>
        </w:rPr>
        <w:t>General Comment 14 [12](d)</w:t>
      </w:r>
      <w:r w:rsidRPr="002C5B8B">
        <w:rPr>
          <w:rFonts w:ascii="Arial" w:eastAsia="MS Mincho" w:hAnsi="Arial" w:cs="Arial"/>
          <w:sz w:val="22"/>
        </w:rPr>
        <w:t>).</w:t>
      </w:r>
    </w:p>
    <w:p w14:paraId="2B6FE07D" w14:textId="52D30F61" w:rsidR="002C5B8B" w:rsidRPr="002C5B8B" w:rsidDel="00B63532" w:rsidRDefault="002C5B8B" w:rsidP="002C5B8B">
      <w:pPr>
        <w:spacing w:before="120" w:after="240" w:line="276" w:lineRule="auto"/>
        <w:ind w:left="11"/>
        <w:rPr>
          <w:rFonts w:ascii="Arial" w:eastAsia="MS Mincho" w:hAnsi="Arial" w:cs="Arial"/>
          <w:sz w:val="22"/>
        </w:rPr>
      </w:pPr>
      <w:r w:rsidRPr="002C5B8B">
        <w:rPr>
          <w:rFonts w:ascii="Arial" w:eastAsia="MS Mincho" w:hAnsi="Arial" w:cs="Arial"/>
          <w:sz w:val="22"/>
        </w:rPr>
        <w:t xml:space="preserve">Blanket restrictions on access to hormone treatment </w:t>
      </w:r>
      <w:r w:rsidR="007B66AA">
        <w:rPr>
          <w:rFonts w:ascii="Arial" w:eastAsia="MS Mincho" w:hAnsi="Arial" w:cs="Arial"/>
          <w:sz w:val="22"/>
        </w:rPr>
        <w:t>may</w:t>
      </w:r>
      <w:r w:rsidRPr="002C5B8B">
        <w:rPr>
          <w:rFonts w:ascii="Arial" w:eastAsia="MS Mincho" w:hAnsi="Arial" w:cs="Arial"/>
          <w:sz w:val="22"/>
        </w:rPr>
        <w:t xml:space="preserve"> be discriminatory </w:t>
      </w:r>
      <w:proofErr w:type="gramStart"/>
      <w:r w:rsidRPr="002C5B8B">
        <w:rPr>
          <w:rFonts w:ascii="Arial" w:eastAsia="MS Mincho" w:hAnsi="Arial" w:cs="Arial"/>
          <w:sz w:val="22"/>
        </w:rPr>
        <w:t>on the basis of</w:t>
      </w:r>
      <w:proofErr w:type="gramEnd"/>
      <w:r w:rsidRPr="002C5B8B">
        <w:rPr>
          <w:rFonts w:ascii="Arial" w:eastAsia="MS Mincho" w:hAnsi="Arial" w:cs="Arial"/>
          <w:sz w:val="22"/>
        </w:rPr>
        <w:t xml:space="preserve"> age and gender identity as described above. As a blanket restriction would only apply to public care, a restriction of this nature would also result in children who cannot afford to pay for private care being unable to access this form of medical care. This would result in limits on children’s right to access to health services.  </w:t>
      </w:r>
    </w:p>
    <w:p w14:paraId="7E03DDF1" w14:textId="77777777" w:rsidR="002C5B8B" w:rsidRPr="002C5B8B" w:rsidRDefault="002C5B8B" w:rsidP="002C5B8B">
      <w:pPr>
        <w:spacing w:before="120" w:after="240" w:line="276" w:lineRule="auto"/>
        <w:ind w:left="11"/>
        <w:rPr>
          <w:rFonts w:ascii="Arial" w:eastAsia="MS Mincho" w:hAnsi="Arial" w:cs="Arial"/>
          <w:b/>
          <w:bCs/>
          <w:sz w:val="22"/>
        </w:rPr>
      </w:pPr>
      <w:r w:rsidRPr="002C5B8B">
        <w:rPr>
          <w:rFonts w:ascii="Arial" w:eastAsia="MS Mincho" w:hAnsi="Arial" w:cs="Arial"/>
          <w:b/>
          <w:bCs/>
          <w:sz w:val="22"/>
        </w:rPr>
        <w:t>Requirements under the Human Rights Act</w:t>
      </w:r>
    </w:p>
    <w:p w14:paraId="75667224" w14:textId="1A4F75C1" w:rsidR="002C5B8B" w:rsidRPr="002C5B8B" w:rsidRDefault="002C5B8B" w:rsidP="002C5B8B">
      <w:pPr>
        <w:spacing w:before="120" w:after="240" w:line="276" w:lineRule="auto"/>
        <w:ind w:left="11"/>
        <w:rPr>
          <w:rFonts w:ascii="Arial" w:eastAsia="MS Mincho" w:hAnsi="Arial" w:cs="Arial"/>
          <w:sz w:val="22"/>
        </w:rPr>
      </w:pPr>
      <w:r w:rsidRPr="002C5B8B">
        <w:rPr>
          <w:rFonts w:ascii="Arial" w:eastAsia="MS Mincho" w:hAnsi="Arial" w:cs="Arial"/>
          <w:sz w:val="22"/>
        </w:rPr>
        <w:lastRenderedPageBreak/>
        <w:t>The Human Rights Act, section 58 requires public entities to properly consider human rights when making decisions and to make decisions compatibility with human rights</w:t>
      </w:r>
      <w:r w:rsidR="00BD4003">
        <w:rPr>
          <w:rFonts w:ascii="Arial" w:eastAsia="MS Mincho" w:hAnsi="Arial" w:cs="Arial"/>
          <w:sz w:val="22"/>
        </w:rPr>
        <w:t xml:space="preserve"> (section 13)</w:t>
      </w:r>
      <w:r w:rsidRPr="002C5B8B">
        <w:rPr>
          <w:rFonts w:ascii="Arial" w:eastAsia="MS Mincho" w:hAnsi="Arial" w:cs="Arial"/>
          <w:sz w:val="22"/>
        </w:rPr>
        <w:t>. While the Panel is not a public entity, the Panel should be conscious of the need to protect rights. The Panel should also be aware that Queensland Health is a public entity which must make decisions compatibly with human rights, including when establishing any directive or policy with respect to hormone treatment</w:t>
      </w:r>
      <w:r w:rsidR="00BD4003">
        <w:rPr>
          <w:rFonts w:ascii="Arial" w:eastAsia="MS Mincho" w:hAnsi="Arial" w:cs="Arial"/>
          <w:sz w:val="22"/>
        </w:rPr>
        <w:t>s</w:t>
      </w:r>
      <w:r w:rsidRPr="002C5B8B">
        <w:rPr>
          <w:rFonts w:ascii="Arial" w:eastAsia="MS Mincho" w:hAnsi="Arial" w:cs="Arial"/>
          <w:sz w:val="22"/>
        </w:rPr>
        <w:t xml:space="preserve">. </w:t>
      </w:r>
    </w:p>
    <w:p w14:paraId="7635B833" w14:textId="6A426884" w:rsidR="002C5B8B" w:rsidRPr="002C5B8B" w:rsidRDefault="002C5B8B" w:rsidP="002C5B8B">
      <w:pPr>
        <w:spacing w:before="120" w:after="240" w:line="276" w:lineRule="auto"/>
        <w:ind w:left="11"/>
        <w:rPr>
          <w:rFonts w:ascii="Arial" w:eastAsia="MS Mincho" w:hAnsi="Arial" w:cs="Arial"/>
          <w:sz w:val="22"/>
        </w:rPr>
      </w:pPr>
      <w:r w:rsidRPr="002C5B8B">
        <w:rPr>
          <w:rFonts w:ascii="Arial" w:eastAsia="MS Mincho" w:hAnsi="Arial" w:cs="Arial"/>
          <w:sz w:val="22"/>
        </w:rPr>
        <w:t xml:space="preserve">A decision will be compatible with human rights where it does not limit human rights or where any limits are reasonable and justifiable (section 13, Human Rights Act). In determining whether a limit is justifiable, </w:t>
      </w:r>
      <w:proofErr w:type="gramStart"/>
      <w:r w:rsidRPr="002C5B8B">
        <w:rPr>
          <w:rFonts w:ascii="Arial" w:eastAsia="MS Mincho" w:hAnsi="Arial" w:cs="Arial"/>
          <w:sz w:val="22"/>
        </w:rPr>
        <w:t>a number of</w:t>
      </w:r>
      <w:proofErr w:type="gramEnd"/>
      <w:r w:rsidRPr="002C5B8B">
        <w:rPr>
          <w:rFonts w:ascii="Arial" w:eastAsia="MS Mincho" w:hAnsi="Arial" w:cs="Arial"/>
          <w:sz w:val="22"/>
        </w:rPr>
        <w:t xml:space="preserve"> factors must be considered</w:t>
      </w:r>
      <w:r w:rsidR="009266C9">
        <w:rPr>
          <w:rFonts w:ascii="Arial" w:eastAsia="MS Mincho" w:hAnsi="Arial" w:cs="Arial"/>
          <w:sz w:val="22"/>
        </w:rPr>
        <w:t xml:space="preserve"> (section 13, Human Rights Act)</w:t>
      </w:r>
      <w:r w:rsidRPr="002C5B8B">
        <w:rPr>
          <w:rFonts w:ascii="Arial" w:eastAsia="MS Mincho" w:hAnsi="Arial" w:cs="Arial"/>
          <w:sz w:val="22"/>
        </w:rPr>
        <w:t xml:space="preserve">. First the limit on rights must be for a legitimate purpose which is consistent with a free and democratic society and there must be a rational connection between the limitation on rights and the legitimate purpose (the limit must help to achieve the purpose). Additionally, there must be no less restrictive, reasonably available alternative and the limit on rights must be proportionate, </w:t>
      </w:r>
      <w:proofErr w:type="gramStart"/>
      <w:r w:rsidRPr="002C5B8B">
        <w:rPr>
          <w:rFonts w:ascii="Arial" w:eastAsia="MS Mincho" w:hAnsi="Arial" w:cs="Arial"/>
          <w:sz w:val="22"/>
        </w:rPr>
        <w:t>taking into account</w:t>
      </w:r>
      <w:proofErr w:type="gramEnd"/>
      <w:r w:rsidRPr="002C5B8B">
        <w:rPr>
          <w:rFonts w:ascii="Arial" w:eastAsia="MS Mincho" w:hAnsi="Arial" w:cs="Arial"/>
          <w:sz w:val="22"/>
        </w:rPr>
        <w:t xml:space="preserve"> the importance of the purpose of the limitation and the importance of preserving the relevant rights.</w:t>
      </w:r>
    </w:p>
    <w:p w14:paraId="05E876BD" w14:textId="5567837C" w:rsidR="002C5B8B" w:rsidRPr="002C5B8B" w:rsidRDefault="002C5B8B" w:rsidP="002C5B8B">
      <w:pPr>
        <w:spacing w:before="120" w:after="240" w:line="276" w:lineRule="auto"/>
        <w:ind w:left="11"/>
        <w:rPr>
          <w:rFonts w:ascii="Arial" w:eastAsia="MS Mincho" w:hAnsi="Arial" w:cs="Arial"/>
          <w:sz w:val="22"/>
        </w:rPr>
      </w:pPr>
      <w:r w:rsidRPr="002C5B8B">
        <w:rPr>
          <w:rFonts w:ascii="Arial" w:eastAsia="MS Mincho" w:hAnsi="Arial" w:cs="Arial"/>
          <w:sz w:val="22"/>
        </w:rPr>
        <w:t>Across the world, access to hormone treatment have been obstructed for the ostensible purpose of protecting children. Given the wealth of supportive evidence for hormone therapy as a medical intervention for children diagnosed with gender dysphoria based on the benefits (e.g. improving mental health), the low risks of associated harms, and the risks associated with refusing treatment (e.g., self-harm and suicidality), the QHRC does not believe that obstruction of access to hormone treatment</w:t>
      </w:r>
      <w:r w:rsidR="008335BC">
        <w:rPr>
          <w:rFonts w:ascii="Arial" w:eastAsia="MS Mincho" w:hAnsi="Arial" w:cs="Arial"/>
          <w:sz w:val="22"/>
        </w:rPr>
        <w:t>s</w:t>
      </w:r>
      <w:r w:rsidRPr="002C5B8B">
        <w:rPr>
          <w:rFonts w:ascii="Arial" w:eastAsia="MS Mincho" w:hAnsi="Arial" w:cs="Arial"/>
          <w:sz w:val="22"/>
        </w:rPr>
        <w:t xml:space="preserve"> is capable of achieving any ostensible purpose of protecting children. To the contrary, obstructing access is likely to cause harm to children. Additionally, any policy or directive which blanketly obstructs access to hormone treatment</w:t>
      </w:r>
      <w:r w:rsidR="008335BC">
        <w:rPr>
          <w:rFonts w:ascii="Arial" w:eastAsia="MS Mincho" w:hAnsi="Arial" w:cs="Arial"/>
          <w:sz w:val="22"/>
        </w:rPr>
        <w:t>s</w:t>
      </w:r>
      <w:r w:rsidRPr="002C5B8B">
        <w:rPr>
          <w:rFonts w:ascii="Arial" w:eastAsia="MS Mincho" w:hAnsi="Arial" w:cs="Arial"/>
          <w:sz w:val="22"/>
        </w:rPr>
        <w:t xml:space="preserve"> would not permit the consideration on the impacts on an individual child’s rights, including any consideration of their best interests. This approach cannot be considered least restrictive and therefore amounts to an unjustifi</w:t>
      </w:r>
      <w:r w:rsidR="008335BC">
        <w:rPr>
          <w:rFonts w:ascii="Arial" w:eastAsia="MS Mincho" w:hAnsi="Arial" w:cs="Arial"/>
          <w:sz w:val="22"/>
        </w:rPr>
        <w:t>ed</w:t>
      </w:r>
      <w:r w:rsidRPr="002C5B8B">
        <w:rPr>
          <w:rFonts w:ascii="Arial" w:eastAsia="MS Mincho" w:hAnsi="Arial" w:cs="Arial"/>
          <w:sz w:val="22"/>
        </w:rPr>
        <w:t xml:space="preserve"> limit on children’s human rights. </w:t>
      </w:r>
    </w:p>
    <w:p w14:paraId="753DDFDC" w14:textId="421FEE07" w:rsidR="002C5B8B" w:rsidRPr="00F274C6" w:rsidRDefault="002C5B8B" w:rsidP="002C5B8B">
      <w:pPr>
        <w:pStyle w:val="Numberedparagraph"/>
        <w:numPr>
          <w:ilvl w:val="0"/>
          <w:numId w:val="0"/>
        </w:numPr>
      </w:pPr>
    </w:p>
    <w:p w14:paraId="0CC48785" w14:textId="740CD289" w:rsidR="00CB4563" w:rsidRPr="00041B02" w:rsidRDefault="00CB4563" w:rsidP="00F274C6">
      <w:pPr>
        <w:pStyle w:val="Numberedparagraph"/>
        <w:numPr>
          <w:ilvl w:val="0"/>
          <w:numId w:val="0"/>
        </w:numPr>
        <w:ind w:left="567" w:hanging="567"/>
      </w:pPr>
    </w:p>
    <w:sectPr w:rsidR="00CB4563" w:rsidRPr="00041B02" w:rsidSect="00A974F5">
      <w:headerReference w:type="default" r:id="rId15"/>
      <w:footerReference w:type="default" r:id="rId16"/>
      <w:pgSz w:w="11900" w:h="16840" w:code="9"/>
      <w:pgMar w:top="1440" w:right="1440" w:bottom="1361"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B7C8" w14:textId="77777777" w:rsidR="000C28B7" w:rsidRDefault="000C28B7" w:rsidP="0034134D">
      <w:r>
        <w:separator/>
      </w:r>
    </w:p>
  </w:endnote>
  <w:endnote w:type="continuationSeparator" w:id="0">
    <w:p w14:paraId="21A6A52D" w14:textId="77777777" w:rsidR="000C28B7" w:rsidRDefault="000C28B7" w:rsidP="0034134D">
      <w:r>
        <w:continuationSeparator/>
      </w:r>
    </w:p>
  </w:endnote>
  <w:endnote w:type="continuationNotice" w:id="1">
    <w:p w14:paraId="640F7A49" w14:textId="77777777" w:rsidR="000C28B7" w:rsidRDefault="000C2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8B98" w14:textId="5A364833"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9A6238">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B98" w14:textId="77777777" w:rsidR="000C28B7" w:rsidRDefault="000C28B7" w:rsidP="0034134D">
      <w:r>
        <w:separator/>
      </w:r>
    </w:p>
  </w:footnote>
  <w:footnote w:type="continuationSeparator" w:id="0">
    <w:p w14:paraId="63C30C27" w14:textId="77777777" w:rsidR="000C28B7" w:rsidRDefault="000C28B7" w:rsidP="0034134D">
      <w:r>
        <w:continuationSeparator/>
      </w:r>
    </w:p>
  </w:footnote>
  <w:footnote w:type="continuationNotice" w:id="1">
    <w:p w14:paraId="0243B1DF" w14:textId="77777777" w:rsidR="000C28B7" w:rsidRDefault="000C2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10250E7E"/>
    <w:multiLevelType w:val="multilevel"/>
    <w:tmpl w:val="C66EF686"/>
    <w:lvl w:ilvl="0">
      <w:start w:val="1"/>
      <w:numFmt w:val="decimal"/>
      <w:pStyle w:val="Numberedparagraph"/>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 w15:restartNumberingAfterBreak="0">
    <w:nsid w:val="214046E9"/>
    <w:multiLevelType w:val="hybridMultilevel"/>
    <w:tmpl w:val="C552856C"/>
    <w:lvl w:ilvl="0" w:tplc="A4607B4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B6796A"/>
    <w:multiLevelType w:val="hybridMultilevel"/>
    <w:tmpl w:val="1EEA5BB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FD54CEB"/>
    <w:multiLevelType w:val="hybridMultilevel"/>
    <w:tmpl w:val="27B260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A3D6A0B"/>
    <w:multiLevelType w:val="hybridMultilevel"/>
    <w:tmpl w:val="8DFEC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4F496B"/>
    <w:multiLevelType w:val="hybridMultilevel"/>
    <w:tmpl w:val="082CCB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E47E1C"/>
    <w:multiLevelType w:val="hybridMultilevel"/>
    <w:tmpl w:val="3DCC4D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185F16"/>
    <w:multiLevelType w:val="hybridMultilevel"/>
    <w:tmpl w:val="7CB00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6D1450"/>
    <w:multiLevelType w:val="hybridMultilevel"/>
    <w:tmpl w:val="EC96F4AC"/>
    <w:lvl w:ilvl="0" w:tplc="BDFE6028">
      <w:start w:val="1"/>
      <w:numFmt w:val="bullet"/>
      <w:pStyle w:val="Bulletpointreview"/>
      <w:lvlText w:val=""/>
      <w:lvlJc w:val="left"/>
      <w:pPr>
        <w:tabs>
          <w:tab w:val="num" w:pos="720"/>
        </w:tabs>
        <w:ind w:left="720" w:hanging="360"/>
      </w:pPr>
      <w:rPr>
        <w:rFonts w:ascii="Symbol" w:hAnsi="Symbol" w:hint="default"/>
      </w:rPr>
    </w:lvl>
    <w:lvl w:ilvl="1" w:tplc="F20C443C">
      <w:start w:val="1"/>
      <w:numFmt w:val="bullet"/>
      <w:pStyle w:val="Bulletpointreview2"/>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4D3100"/>
    <w:multiLevelType w:val="hybridMultilevel"/>
    <w:tmpl w:val="1E86787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80E217B"/>
    <w:multiLevelType w:val="multilevel"/>
    <w:tmpl w:val="CF9E7BC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2" w15:restartNumberingAfterBreak="0">
    <w:nsid w:val="70B773A8"/>
    <w:multiLevelType w:val="hybridMultilevel"/>
    <w:tmpl w:val="A118A748"/>
    <w:lvl w:ilvl="0" w:tplc="CE869B56">
      <w:start w:val="1"/>
      <w:numFmt w:val="lowerLetter"/>
      <w:pStyle w:val="Style1"/>
      <w:lvlText w:val="%1)"/>
      <w:lvlJc w:val="left"/>
      <w:pPr>
        <w:ind w:left="1080" w:hanging="360"/>
      </w:pPr>
    </w:lvl>
    <w:lvl w:ilvl="1" w:tplc="0C090019" w:tentative="1">
      <w:start w:val="1"/>
      <w:numFmt w:val="lowerLetter"/>
      <w:pStyle w:val="Style1"/>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15339714">
    <w:abstractNumId w:val="1"/>
  </w:num>
  <w:num w:numId="2" w16cid:durableId="133183424">
    <w:abstractNumId w:val="11"/>
  </w:num>
  <w:num w:numId="3" w16cid:durableId="849871598">
    <w:abstractNumId w:val="0"/>
  </w:num>
  <w:num w:numId="4" w16cid:durableId="137846254">
    <w:abstractNumId w:val="9"/>
  </w:num>
  <w:num w:numId="5" w16cid:durableId="929895374">
    <w:abstractNumId w:val="1"/>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999424231">
    <w:abstractNumId w:val="2"/>
  </w:num>
  <w:num w:numId="7" w16cid:durableId="1199314866">
    <w:abstractNumId w:val="12"/>
  </w:num>
  <w:num w:numId="8" w16cid:durableId="467285372">
    <w:abstractNumId w:val="3"/>
  </w:num>
  <w:num w:numId="9" w16cid:durableId="367221092">
    <w:abstractNumId w:val="7"/>
  </w:num>
  <w:num w:numId="10" w16cid:durableId="441415826">
    <w:abstractNumId w:val="8"/>
  </w:num>
  <w:num w:numId="11" w16cid:durableId="1585993646">
    <w:abstractNumId w:val="6"/>
  </w:num>
  <w:num w:numId="12" w16cid:durableId="1605917213">
    <w:abstractNumId w:val="5"/>
  </w:num>
  <w:num w:numId="13" w16cid:durableId="478965087">
    <w:abstractNumId w:val="4"/>
  </w:num>
  <w:num w:numId="14" w16cid:durableId="946813850">
    <w:abstractNumId w:val="1"/>
  </w:num>
  <w:num w:numId="15" w16cid:durableId="37797789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ocumentProtection w:edit="readOnly" w:enforcement="0"/>
  <w:defaultTabStop w:val="340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0044"/>
    <w:rsid w:val="000001E2"/>
    <w:rsid w:val="00000669"/>
    <w:rsid w:val="00000949"/>
    <w:rsid w:val="00000A88"/>
    <w:rsid w:val="000010E3"/>
    <w:rsid w:val="000015D1"/>
    <w:rsid w:val="000019EC"/>
    <w:rsid w:val="00001BFD"/>
    <w:rsid w:val="00001E64"/>
    <w:rsid w:val="00002512"/>
    <w:rsid w:val="00002751"/>
    <w:rsid w:val="000027E3"/>
    <w:rsid w:val="00002A5F"/>
    <w:rsid w:val="00002BB1"/>
    <w:rsid w:val="00002F05"/>
    <w:rsid w:val="0000357F"/>
    <w:rsid w:val="00003BEC"/>
    <w:rsid w:val="00003DA4"/>
    <w:rsid w:val="000045E2"/>
    <w:rsid w:val="000053A1"/>
    <w:rsid w:val="000055FE"/>
    <w:rsid w:val="00007233"/>
    <w:rsid w:val="0000731F"/>
    <w:rsid w:val="0000761F"/>
    <w:rsid w:val="00007CA2"/>
    <w:rsid w:val="00007E34"/>
    <w:rsid w:val="0001002B"/>
    <w:rsid w:val="000100B9"/>
    <w:rsid w:val="0001042C"/>
    <w:rsid w:val="000106EA"/>
    <w:rsid w:val="00010B66"/>
    <w:rsid w:val="00010D35"/>
    <w:rsid w:val="00010E81"/>
    <w:rsid w:val="00010EAF"/>
    <w:rsid w:val="000116B6"/>
    <w:rsid w:val="00011779"/>
    <w:rsid w:val="00011A1B"/>
    <w:rsid w:val="00011CBC"/>
    <w:rsid w:val="00011D4D"/>
    <w:rsid w:val="0001284A"/>
    <w:rsid w:val="00012B09"/>
    <w:rsid w:val="00012E71"/>
    <w:rsid w:val="00012FE1"/>
    <w:rsid w:val="000130BD"/>
    <w:rsid w:val="000138A2"/>
    <w:rsid w:val="000138E7"/>
    <w:rsid w:val="00013905"/>
    <w:rsid w:val="00013BA7"/>
    <w:rsid w:val="00013E4E"/>
    <w:rsid w:val="00014349"/>
    <w:rsid w:val="00014D55"/>
    <w:rsid w:val="00014FC0"/>
    <w:rsid w:val="000157DF"/>
    <w:rsid w:val="00015D44"/>
    <w:rsid w:val="00016708"/>
    <w:rsid w:val="00016B54"/>
    <w:rsid w:val="00016D6A"/>
    <w:rsid w:val="00016E59"/>
    <w:rsid w:val="00016F08"/>
    <w:rsid w:val="00017021"/>
    <w:rsid w:val="00017160"/>
    <w:rsid w:val="00017168"/>
    <w:rsid w:val="00017530"/>
    <w:rsid w:val="00017D8B"/>
    <w:rsid w:val="00017F60"/>
    <w:rsid w:val="000200D2"/>
    <w:rsid w:val="0002128F"/>
    <w:rsid w:val="00021409"/>
    <w:rsid w:val="00021659"/>
    <w:rsid w:val="00022058"/>
    <w:rsid w:val="000220B3"/>
    <w:rsid w:val="0002284D"/>
    <w:rsid w:val="0002351E"/>
    <w:rsid w:val="00023A0B"/>
    <w:rsid w:val="0002436C"/>
    <w:rsid w:val="000247FC"/>
    <w:rsid w:val="0002486A"/>
    <w:rsid w:val="00024C36"/>
    <w:rsid w:val="00024EA4"/>
    <w:rsid w:val="00025D54"/>
    <w:rsid w:val="00026449"/>
    <w:rsid w:val="000268DB"/>
    <w:rsid w:val="00027054"/>
    <w:rsid w:val="000270C0"/>
    <w:rsid w:val="00027752"/>
    <w:rsid w:val="00027E46"/>
    <w:rsid w:val="000301C3"/>
    <w:rsid w:val="00031050"/>
    <w:rsid w:val="00031861"/>
    <w:rsid w:val="000329F0"/>
    <w:rsid w:val="00032F5C"/>
    <w:rsid w:val="000337C0"/>
    <w:rsid w:val="00033A70"/>
    <w:rsid w:val="00033B54"/>
    <w:rsid w:val="00034417"/>
    <w:rsid w:val="00034B8B"/>
    <w:rsid w:val="00034E2B"/>
    <w:rsid w:val="00034FF4"/>
    <w:rsid w:val="000353EA"/>
    <w:rsid w:val="000357F0"/>
    <w:rsid w:val="00035817"/>
    <w:rsid w:val="00035C80"/>
    <w:rsid w:val="000367D5"/>
    <w:rsid w:val="00036987"/>
    <w:rsid w:val="00036B44"/>
    <w:rsid w:val="00036F20"/>
    <w:rsid w:val="0003732A"/>
    <w:rsid w:val="00040804"/>
    <w:rsid w:val="00041B02"/>
    <w:rsid w:val="00041E58"/>
    <w:rsid w:val="000424AF"/>
    <w:rsid w:val="000430B9"/>
    <w:rsid w:val="00043C90"/>
    <w:rsid w:val="000441A0"/>
    <w:rsid w:val="0004485D"/>
    <w:rsid w:val="00044A7F"/>
    <w:rsid w:val="00044DC2"/>
    <w:rsid w:val="00045181"/>
    <w:rsid w:val="00045B46"/>
    <w:rsid w:val="00046477"/>
    <w:rsid w:val="0004684E"/>
    <w:rsid w:val="00046CAB"/>
    <w:rsid w:val="00046E9F"/>
    <w:rsid w:val="00046FB7"/>
    <w:rsid w:val="00047551"/>
    <w:rsid w:val="00047983"/>
    <w:rsid w:val="00047C35"/>
    <w:rsid w:val="00047C63"/>
    <w:rsid w:val="0005076B"/>
    <w:rsid w:val="00050BA9"/>
    <w:rsid w:val="000518AD"/>
    <w:rsid w:val="00051D4A"/>
    <w:rsid w:val="00052290"/>
    <w:rsid w:val="00052899"/>
    <w:rsid w:val="00052A5E"/>
    <w:rsid w:val="00052CAB"/>
    <w:rsid w:val="00054120"/>
    <w:rsid w:val="0005418F"/>
    <w:rsid w:val="000546E8"/>
    <w:rsid w:val="000557B3"/>
    <w:rsid w:val="0005586B"/>
    <w:rsid w:val="00055DE1"/>
    <w:rsid w:val="0005648D"/>
    <w:rsid w:val="000565CC"/>
    <w:rsid w:val="00056960"/>
    <w:rsid w:val="00057023"/>
    <w:rsid w:val="00057780"/>
    <w:rsid w:val="0005779A"/>
    <w:rsid w:val="00057D21"/>
    <w:rsid w:val="00060556"/>
    <w:rsid w:val="00060911"/>
    <w:rsid w:val="00060ECE"/>
    <w:rsid w:val="00060F99"/>
    <w:rsid w:val="000612C1"/>
    <w:rsid w:val="000615A5"/>
    <w:rsid w:val="00061619"/>
    <w:rsid w:val="00061CBB"/>
    <w:rsid w:val="00062061"/>
    <w:rsid w:val="00062635"/>
    <w:rsid w:val="00062A23"/>
    <w:rsid w:val="000632C8"/>
    <w:rsid w:val="00063428"/>
    <w:rsid w:val="00063690"/>
    <w:rsid w:val="000637C7"/>
    <w:rsid w:val="00063804"/>
    <w:rsid w:val="00063EDF"/>
    <w:rsid w:val="00064775"/>
    <w:rsid w:val="00064780"/>
    <w:rsid w:val="00064EEF"/>
    <w:rsid w:val="00065744"/>
    <w:rsid w:val="00066030"/>
    <w:rsid w:val="000663BE"/>
    <w:rsid w:val="00066AB7"/>
    <w:rsid w:val="00066B4D"/>
    <w:rsid w:val="00066B9D"/>
    <w:rsid w:val="00066DDF"/>
    <w:rsid w:val="00067749"/>
    <w:rsid w:val="000677F0"/>
    <w:rsid w:val="0006782D"/>
    <w:rsid w:val="000678B6"/>
    <w:rsid w:val="00070656"/>
    <w:rsid w:val="00071753"/>
    <w:rsid w:val="00071C89"/>
    <w:rsid w:val="00072CE6"/>
    <w:rsid w:val="00072EBA"/>
    <w:rsid w:val="000731D3"/>
    <w:rsid w:val="00074012"/>
    <w:rsid w:val="000742F2"/>
    <w:rsid w:val="00074746"/>
    <w:rsid w:val="0007495B"/>
    <w:rsid w:val="00074FFC"/>
    <w:rsid w:val="00075874"/>
    <w:rsid w:val="00075AB0"/>
    <w:rsid w:val="00075CEB"/>
    <w:rsid w:val="00076239"/>
    <w:rsid w:val="0007682B"/>
    <w:rsid w:val="0007767A"/>
    <w:rsid w:val="00077A76"/>
    <w:rsid w:val="00077F48"/>
    <w:rsid w:val="0008005B"/>
    <w:rsid w:val="00080287"/>
    <w:rsid w:val="000804C4"/>
    <w:rsid w:val="00081394"/>
    <w:rsid w:val="000816EA"/>
    <w:rsid w:val="000816ED"/>
    <w:rsid w:val="00081927"/>
    <w:rsid w:val="000827DB"/>
    <w:rsid w:val="00082CBB"/>
    <w:rsid w:val="00083023"/>
    <w:rsid w:val="000833A9"/>
    <w:rsid w:val="0008345A"/>
    <w:rsid w:val="000838DB"/>
    <w:rsid w:val="00086487"/>
    <w:rsid w:val="00086B3C"/>
    <w:rsid w:val="00087A1E"/>
    <w:rsid w:val="000900BB"/>
    <w:rsid w:val="00090188"/>
    <w:rsid w:val="000908F7"/>
    <w:rsid w:val="00090BA1"/>
    <w:rsid w:val="000915EB"/>
    <w:rsid w:val="00091EEF"/>
    <w:rsid w:val="00092346"/>
    <w:rsid w:val="00092F7D"/>
    <w:rsid w:val="00093A48"/>
    <w:rsid w:val="00093A57"/>
    <w:rsid w:val="00093DE6"/>
    <w:rsid w:val="00094319"/>
    <w:rsid w:val="0009448A"/>
    <w:rsid w:val="0009569E"/>
    <w:rsid w:val="00095800"/>
    <w:rsid w:val="00095C05"/>
    <w:rsid w:val="00095EB3"/>
    <w:rsid w:val="00095FBB"/>
    <w:rsid w:val="00096083"/>
    <w:rsid w:val="00096517"/>
    <w:rsid w:val="00096780"/>
    <w:rsid w:val="00097650"/>
    <w:rsid w:val="00097693"/>
    <w:rsid w:val="000A0DB7"/>
    <w:rsid w:val="000A0F65"/>
    <w:rsid w:val="000A1AAA"/>
    <w:rsid w:val="000A1E28"/>
    <w:rsid w:val="000A201B"/>
    <w:rsid w:val="000A22CB"/>
    <w:rsid w:val="000A275B"/>
    <w:rsid w:val="000A37C7"/>
    <w:rsid w:val="000A3958"/>
    <w:rsid w:val="000A4D6A"/>
    <w:rsid w:val="000A4F32"/>
    <w:rsid w:val="000A5313"/>
    <w:rsid w:val="000A56EB"/>
    <w:rsid w:val="000A5A9B"/>
    <w:rsid w:val="000A609A"/>
    <w:rsid w:val="000A640A"/>
    <w:rsid w:val="000A64E7"/>
    <w:rsid w:val="000A6996"/>
    <w:rsid w:val="000A6A53"/>
    <w:rsid w:val="000A6C5A"/>
    <w:rsid w:val="000A79DC"/>
    <w:rsid w:val="000B08B1"/>
    <w:rsid w:val="000B2CA1"/>
    <w:rsid w:val="000B3ABF"/>
    <w:rsid w:val="000B3CFE"/>
    <w:rsid w:val="000B503D"/>
    <w:rsid w:val="000B52D3"/>
    <w:rsid w:val="000B5EAC"/>
    <w:rsid w:val="000B6187"/>
    <w:rsid w:val="000B6196"/>
    <w:rsid w:val="000B6710"/>
    <w:rsid w:val="000B6C72"/>
    <w:rsid w:val="000B6ECC"/>
    <w:rsid w:val="000B6F49"/>
    <w:rsid w:val="000B7217"/>
    <w:rsid w:val="000B739D"/>
    <w:rsid w:val="000B759F"/>
    <w:rsid w:val="000B77A5"/>
    <w:rsid w:val="000B794F"/>
    <w:rsid w:val="000B7BF6"/>
    <w:rsid w:val="000C0202"/>
    <w:rsid w:val="000C0244"/>
    <w:rsid w:val="000C11F9"/>
    <w:rsid w:val="000C13F0"/>
    <w:rsid w:val="000C14FE"/>
    <w:rsid w:val="000C1986"/>
    <w:rsid w:val="000C1A97"/>
    <w:rsid w:val="000C1CAB"/>
    <w:rsid w:val="000C1D54"/>
    <w:rsid w:val="000C1E38"/>
    <w:rsid w:val="000C233C"/>
    <w:rsid w:val="000C236F"/>
    <w:rsid w:val="000C28B7"/>
    <w:rsid w:val="000C3279"/>
    <w:rsid w:val="000C3B81"/>
    <w:rsid w:val="000C3C18"/>
    <w:rsid w:val="000C3E60"/>
    <w:rsid w:val="000C3F99"/>
    <w:rsid w:val="000C411B"/>
    <w:rsid w:val="000C4328"/>
    <w:rsid w:val="000C4580"/>
    <w:rsid w:val="000C4604"/>
    <w:rsid w:val="000C4AEE"/>
    <w:rsid w:val="000C4C21"/>
    <w:rsid w:val="000C4F3F"/>
    <w:rsid w:val="000C50B4"/>
    <w:rsid w:val="000C53DF"/>
    <w:rsid w:val="000C5727"/>
    <w:rsid w:val="000C6215"/>
    <w:rsid w:val="000C662B"/>
    <w:rsid w:val="000C6E1A"/>
    <w:rsid w:val="000C7498"/>
    <w:rsid w:val="000C7A88"/>
    <w:rsid w:val="000D01F0"/>
    <w:rsid w:val="000D0CD0"/>
    <w:rsid w:val="000D1AD6"/>
    <w:rsid w:val="000D1ECA"/>
    <w:rsid w:val="000D23D8"/>
    <w:rsid w:val="000D25E2"/>
    <w:rsid w:val="000D2622"/>
    <w:rsid w:val="000D28BE"/>
    <w:rsid w:val="000D3143"/>
    <w:rsid w:val="000D3B2F"/>
    <w:rsid w:val="000D3FD0"/>
    <w:rsid w:val="000D4937"/>
    <w:rsid w:val="000D49A5"/>
    <w:rsid w:val="000D50A5"/>
    <w:rsid w:val="000D63CA"/>
    <w:rsid w:val="000D6456"/>
    <w:rsid w:val="000D6C62"/>
    <w:rsid w:val="000D7817"/>
    <w:rsid w:val="000D78B8"/>
    <w:rsid w:val="000D7F45"/>
    <w:rsid w:val="000E0132"/>
    <w:rsid w:val="000E052F"/>
    <w:rsid w:val="000E1039"/>
    <w:rsid w:val="000E1138"/>
    <w:rsid w:val="000E16AE"/>
    <w:rsid w:val="000E1F6C"/>
    <w:rsid w:val="000E2187"/>
    <w:rsid w:val="000E2872"/>
    <w:rsid w:val="000E2CC1"/>
    <w:rsid w:val="000E37FB"/>
    <w:rsid w:val="000E39A5"/>
    <w:rsid w:val="000E3A7B"/>
    <w:rsid w:val="000E3D59"/>
    <w:rsid w:val="000E4130"/>
    <w:rsid w:val="000E45FC"/>
    <w:rsid w:val="000E4729"/>
    <w:rsid w:val="000E4C46"/>
    <w:rsid w:val="000E5356"/>
    <w:rsid w:val="000E5596"/>
    <w:rsid w:val="000E5FA6"/>
    <w:rsid w:val="000E605E"/>
    <w:rsid w:val="000E615D"/>
    <w:rsid w:val="000E6886"/>
    <w:rsid w:val="000E689C"/>
    <w:rsid w:val="000E7100"/>
    <w:rsid w:val="000E767E"/>
    <w:rsid w:val="000E7A87"/>
    <w:rsid w:val="000E7C43"/>
    <w:rsid w:val="000E7DE1"/>
    <w:rsid w:val="000E7E8C"/>
    <w:rsid w:val="000F0608"/>
    <w:rsid w:val="000F097B"/>
    <w:rsid w:val="000F0BC1"/>
    <w:rsid w:val="000F0BD6"/>
    <w:rsid w:val="000F0DA7"/>
    <w:rsid w:val="000F0EB3"/>
    <w:rsid w:val="000F25D4"/>
    <w:rsid w:val="000F2B49"/>
    <w:rsid w:val="000F2DDE"/>
    <w:rsid w:val="000F2F1D"/>
    <w:rsid w:val="000F37C7"/>
    <w:rsid w:val="000F3C50"/>
    <w:rsid w:val="000F4098"/>
    <w:rsid w:val="000F4F47"/>
    <w:rsid w:val="000F54D9"/>
    <w:rsid w:val="000F5FDE"/>
    <w:rsid w:val="000F62B8"/>
    <w:rsid w:val="000F679F"/>
    <w:rsid w:val="000F6919"/>
    <w:rsid w:val="000F7397"/>
    <w:rsid w:val="0010006F"/>
    <w:rsid w:val="001002C6"/>
    <w:rsid w:val="00100A31"/>
    <w:rsid w:val="00100B19"/>
    <w:rsid w:val="00100B4D"/>
    <w:rsid w:val="00101AF0"/>
    <w:rsid w:val="0010217F"/>
    <w:rsid w:val="001024F6"/>
    <w:rsid w:val="0010272A"/>
    <w:rsid w:val="00103D18"/>
    <w:rsid w:val="00104077"/>
    <w:rsid w:val="00104278"/>
    <w:rsid w:val="00105138"/>
    <w:rsid w:val="00105217"/>
    <w:rsid w:val="001052AB"/>
    <w:rsid w:val="00105518"/>
    <w:rsid w:val="00105627"/>
    <w:rsid w:val="0010579A"/>
    <w:rsid w:val="00105DA3"/>
    <w:rsid w:val="00106090"/>
    <w:rsid w:val="0010649F"/>
    <w:rsid w:val="0010657A"/>
    <w:rsid w:val="0010663F"/>
    <w:rsid w:val="001066BD"/>
    <w:rsid w:val="001067F3"/>
    <w:rsid w:val="00107CAB"/>
    <w:rsid w:val="0011066D"/>
    <w:rsid w:val="00110C3F"/>
    <w:rsid w:val="00110ED0"/>
    <w:rsid w:val="00111367"/>
    <w:rsid w:val="001114CE"/>
    <w:rsid w:val="00112FCC"/>
    <w:rsid w:val="00113546"/>
    <w:rsid w:val="00114AC1"/>
    <w:rsid w:val="00115384"/>
    <w:rsid w:val="00115A85"/>
    <w:rsid w:val="001161EB"/>
    <w:rsid w:val="00116264"/>
    <w:rsid w:val="00116753"/>
    <w:rsid w:val="00116A12"/>
    <w:rsid w:val="00116B28"/>
    <w:rsid w:val="00117176"/>
    <w:rsid w:val="0011777C"/>
    <w:rsid w:val="001200F5"/>
    <w:rsid w:val="00120C98"/>
    <w:rsid w:val="00121479"/>
    <w:rsid w:val="00121BFB"/>
    <w:rsid w:val="00121E6F"/>
    <w:rsid w:val="001221EE"/>
    <w:rsid w:val="00122A6B"/>
    <w:rsid w:val="00122F10"/>
    <w:rsid w:val="00123247"/>
    <w:rsid w:val="0012392D"/>
    <w:rsid w:val="00123AFA"/>
    <w:rsid w:val="00123E2D"/>
    <w:rsid w:val="00123F04"/>
    <w:rsid w:val="001247FB"/>
    <w:rsid w:val="00124A35"/>
    <w:rsid w:val="00124FFA"/>
    <w:rsid w:val="001250B0"/>
    <w:rsid w:val="0012515F"/>
    <w:rsid w:val="001254DA"/>
    <w:rsid w:val="00127069"/>
    <w:rsid w:val="00127223"/>
    <w:rsid w:val="00127390"/>
    <w:rsid w:val="00130442"/>
    <w:rsid w:val="001304EE"/>
    <w:rsid w:val="001305BF"/>
    <w:rsid w:val="00130B7F"/>
    <w:rsid w:val="00130F1A"/>
    <w:rsid w:val="001311A9"/>
    <w:rsid w:val="001313A7"/>
    <w:rsid w:val="00131862"/>
    <w:rsid w:val="00131E7E"/>
    <w:rsid w:val="00132CB4"/>
    <w:rsid w:val="001336A8"/>
    <w:rsid w:val="00133B55"/>
    <w:rsid w:val="00134E84"/>
    <w:rsid w:val="0013515F"/>
    <w:rsid w:val="001351EB"/>
    <w:rsid w:val="0013560E"/>
    <w:rsid w:val="001357A7"/>
    <w:rsid w:val="001362ED"/>
    <w:rsid w:val="0013708C"/>
    <w:rsid w:val="00137266"/>
    <w:rsid w:val="0013762E"/>
    <w:rsid w:val="00137F11"/>
    <w:rsid w:val="0014006E"/>
    <w:rsid w:val="0014022A"/>
    <w:rsid w:val="001408B9"/>
    <w:rsid w:val="00140B82"/>
    <w:rsid w:val="00140BF4"/>
    <w:rsid w:val="00140D0B"/>
    <w:rsid w:val="00141242"/>
    <w:rsid w:val="00141378"/>
    <w:rsid w:val="001413D0"/>
    <w:rsid w:val="00141A39"/>
    <w:rsid w:val="00142104"/>
    <w:rsid w:val="001425F0"/>
    <w:rsid w:val="00142653"/>
    <w:rsid w:val="00142910"/>
    <w:rsid w:val="001429DD"/>
    <w:rsid w:val="00142C96"/>
    <w:rsid w:val="00143C84"/>
    <w:rsid w:val="0014497D"/>
    <w:rsid w:val="00144BE2"/>
    <w:rsid w:val="00144E0D"/>
    <w:rsid w:val="0014506E"/>
    <w:rsid w:val="00145126"/>
    <w:rsid w:val="00146898"/>
    <w:rsid w:val="0014689B"/>
    <w:rsid w:val="0014692D"/>
    <w:rsid w:val="00146A13"/>
    <w:rsid w:val="00146DBA"/>
    <w:rsid w:val="0014781E"/>
    <w:rsid w:val="001478B3"/>
    <w:rsid w:val="00147CBE"/>
    <w:rsid w:val="0015003D"/>
    <w:rsid w:val="001501A4"/>
    <w:rsid w:val="001504AE"/>
    <w:rsid w:val="00152280"/>
    <w:rsid w:val="0015285E"/>
    <w:rsid w:val="001531E3"/>
    <w:rsid w:val="0015347A"/>
    <w:rsid w:val="001537F2"/>
    <w:rsid w:val="00153CE6"/>
    <w:rsid w:val="00154B83"/>
    <w:rsid w:val="0015549B"/>
    <w:rsid w:val="00155CE5"/>
    <w:rsid w:val="0015656A"/>
    <w:rsid w:val="001569BC"/>
    <w:rsid w:val="00156F14"/>
    <w:rsid w:val="00157C36"/>
    <w:rsid w:val="00160258"/>
    <w:rsid w:val="00160CF6"/>
    <w:rsid w:val="00160D23"/>
    <w:rsid w:val="00161DF0"/>
    <w:rsid w:val="00162524"/>
    <w:rsid w:val="00162AEE"/>
    <w:rsid w:val="001631CC"/>
    <w:rsid w:val="00163706"/>
    <w:rsid w:val="00163FD0"/>
    <w:rsid w:val="0016463A"/>
    <w:rsid w:val="001652BE"/>
    <w:rsid w:val="00165683"/>
    <w:rsid w:val="00165B6A"/>
    <w:rsid w:val="00166569"/>
    <w:rsid w:val="00166CD0"/>
    <w:rsid w:val="00166F12"/>
    <w:rsid w:val="001678CB"/>
    <w:rsid w:val="00170C72"/>
    <w:rsid w:val="00171C79"/>
    <w:rsid w:val="00171D6E"/>
    <w:rsid w:val="00172880"/>
    <w:rsid w:val="001729A4"/>
    <w:rsid w:val="0017324A"/>
    <w:rsid w:val="00173F5B"/>
    <w:rsid w:val="00174BFB"/>
    <w:rsid w:val="00175010"/>
    <w:rsid w:val="0017517C"/>
    <w:rsid w:val="00176A22"/>
    <w:rsid w:val="00176B83"/>
    <w:rsid w:val="00177254"/>
    <w:rsid w:val="001774DD"/>
    <w:rsid w:val="001776C6"/>
    <w:rsid w:val="00177752"/>
    <w:rsid w:val="0017798E"/>
    <w:rsid w:val="001809FD"/>
    <w:rsid w:val="001812A8"/>
    <w:rsid w:val="0018194F"/>
    <w:rsid w:val="00181AB9"/>
    <w:rsid w:val="00181EF6"/>
    <w:rsid w:val="0018229F"/>
    <w:rsid w:val="001822C5"/>
    <w:rsid w:val="001825CB"/>
    <w:rsid w:val="00182865"/>
    <w:rsid w:val="00182946"/>
    <w:rsid w:val="00182BF6"/>
    <w:rsid w:val="00182E06"/>
    <w:rsid w:val="00182E7C"/>
    <w:rsid w:val="00183935"/>
    <w:rsid w:val="00183A7B"/>
    <w:rsid w:val="00183B86"/>
    <w:rsid w:val="001840E7"/>
    <w:rsid w:val="001844CA"/>
    <w:rsid w:val="00184A12"/>
    <w:rsid w:val="00184D4D"/>
    <w:rsid w:val="00184DEC"/>
    <w:rsid w:val="00184EA4"/>
    <w:rsid w:val="00185346"/>
    <w:rsid w:val="00185508"/>
    <w:rsid w:val="00186314"/>
    <w:rsid w:val="00186669"/>
    <w:rsid w:val="00186716"/>
    <w:rsid w:val="0018709D"/>
    <w:rsid w:val="001871CD"/>
    <w:rsid w:val="00187774"/>
    <w:rsid w:val="00187BDF"/>
    <w:rsid w:val="00187CFF"/>
    <w:rsid w:val="00187D43"/>
    <w:rsid w:val="001902FA"/>
    <w:rsid w:val="0019099D"/>
    <w:rsid w:val="00190EBC"/>
    <w:rsid w:val="00190FA2"/>
    <w:rsid w:val="001916E4"/>
    <w:rsid w:val="00191B67"/>
    <w:rsid w:val="00191B86"/>
    <w:rsid w:val="0019203A"/>
    <w:rsid w:val="001925CA"/>
    <w:rsid w:val="0019388D"/>
    <w:rsid w:val="00194421"/>
    <w:rsid w:val="001947B1"/>
    <w:rsid w:val="0019588F"/>
    <w:rsid w:val="00195945"/>
    <w:rsid w:val="00195B07"/>
    <w:rsid w:val="00195E9F"/>
    <w:rsid w:val="00196331"/>
    <w:rsid w:val="0019658E"/>
    <w:rsid w:val="00197534"/>
    <w:rsid w:val="001A0375"/>
    <w:rsid w:val="001A0C6E"/>
    <w:rsid w:val="001A0D98"/>
    <w:rsid w:val="001A12BD"/>
    <w:rsid w:val="001A191C"/>
    <w:rsid w:val="001A1A5C"/>
    <w:rsid w:val="001A1C7D"/>
    <w:rsid w:val="001A1D94"/>
    <w:rsid w:val="001A20EF"/>
    <w:rsid w:val="001A219D"/>
    <w:rsid w:val="001A2893"/>
    <w:rsid w:val="001A2A27"/>
    <w:rsid w:val="001A2B59"/>
    <w:rsid w:val="001A31EE"/>
    <w:rsid w:val="001A3821"/>
    <w:rsid w:val="001A3AF0"/>
    <w:rsid w:val="001A3C9C"/>
    <w:rsid w:val="001A428F"/>
    <w:rsid w:val="001A489B"/>
    <w:rsid w:val="001A492F"/>
    <w:rsid w:val="001A5BCF"/>
    <w:rsid w:val="001A5C40"/>
    <w:rsid w:val="001A5E7B"/>
    <w:rsid w:val="001A5FDC"/>
    <w:rsid w:val="001A6206"/>
    <w:rsid w:val="001A621D"/>
    <w:rsid w:val="001A6C2A"/>
    <w:rsid w:val="001A6E37"/>
    <w:rsid w:val="001A7921"/>
    <w:rsid w:val="001A7DB2"/>
    <w:rsid w:val="001AE32B"/>
    <w:rsid w:val="001B0221"/>
    <w:rsid w:val="001B0249"/>
    <w:rsid w:val="001B0311"/>
    <w:rsid w:val="001B0F29"/>
    <w:rsid w:val="001B18CD"/>
    <w:rsid w:val="001B1A27"/>
    <w:rsid w:val="001B1DFC"/>
    <w:rsid w:val="001B21A2"/>
    <w:rsid w:val="001B251A"/>
    <w:rsid w:val="001B2BB9"/>
    <w:rsid w:val="001B3063"/>
    <w:rsid w:val="001B3488"/>
    <w:rsid w:val="001B4C30"/>
    <w:rsid w:val="001B528B"/>
    <w:rsid w:val="001B5321"/>
    <w:rsid w:val="001B5470"/>
    <w:rsid w:val="001B5489"/>
    <w:rsid w:val="001B57C6"/>
    <w:rsid w:val="001B59DA"/>
    <w:rsid w:val="001B69FE"/>
    <w:rsid w:val="001B6AF4"/>
    <w:rsid w:val="001B6B39"/>
    <w:rsid w:val="001B6D60"/>
    <w:rsid w:val="001B70B1"/>
    <w:rsid w:val="001B78EE"/>
    <w:rsid w:val="001B7DC2"/>
    <w:rsid w:val="001C01F8"/>
    <w:rsid w:val="001C01FD"/>
    <w:rsid w:val="001C03AC"/>
    <w:rsid w:val="001C0685"/>
    <w:rsid w:val="001C127F"/>
    <w:rsid w:val="001C158B"/>
    <w:rsid w:val="001C1EB9"/>
    <w:rsid w:val="001C22E2"/>
    <w:rsid w:val="001C2C68"/>
    <w:rsid w:val="001C37BA"/>
    <w:rsid w:val="001C38F4"/>
    <w:rsid w:val="001C3E72"/>
    <w:rsid w:val="001C47FE"/>
    <w:rsid w:val="001C4DE1"/>
    <w:rsid w:val="001C4F50"/>
    <w:rsid w:val="001C5826"/>
    <w:rsid w:val="001C59A7"/>
    <w:rsid w:val="001C66D7"/>
    <w:rsid w:val="001C6B72"/>
    <w:rsid w:val="001C6E00"/>
    <w:rsid w:val="001C71AD"/>
    <w:rsid w:val="001C79F3"/>
    <w:rsid w:val="001D0727"/>
    <w:rsid w:val="001D0C8B"/>
    <w:rsid w:val="001D0E05"/>
    <w:rsid w:val="001D25FB"/>
    <w:rsid w:val="001D2C02"/>
    <w:rsid w:val="001D30D4"/>
    <w:rsid w:val="001D3260"/>
    <w:rsid w:val="001D402C"/>
    <w:rsid w:val="001D43C0"/>
    <w:rsid w:val="001D43EE"/>
    <w:rsid w:val="001D47BF"/>
    <w:rsid w:val="001D4F8D"/>
    <w:rsid w:val="001D50C0"/>
    <w:rsid w:val="001D5699"/>
    <w:rsid w:val="001D5AB2"/>
    <w:rsid w:val="001D63E4"/>
    <w:rsid w:val="001D6C24"/>
    <w:rsid w:val="001D74E1"/>
    <w:rsid w:val="001D7758"/>
    <w:rsid w:val="001D79D2"/>
    <w:rsid w:val="001E077B"/>
    <w:rsid w:val="001E0909"/>
    <w:rsid w:val="001E1055"/>
    <w:rsid w:val="001E14A3"/>
    <w:rsid w:val="001E15F1"/>
    <w:rsid w:val="001E1F44"/>
    <w:rsid w:val="001E28A1"/>
    <w:rsid w:val="001E2B47"/>
    <w:rsid w:val="001E31A7"/>
    <w:rsid w:val="001E38B5"/>
    <w:rsid w:val="001E3A26"/>
    <w:rsid w:val="001E4917"/>
    <w:rsid w:val="001E5450"/>
    <w:rsid w:val="001E5EA1"/>
    <w:rsid w:val="001E6173"/>
    <w:rsid w:val="001E61AE"/>
    <w:rsid w:val="001E7C86"/>
    <w:rsid w:val="001F0268"/>
    <w:rsid w:val="001F0DE0"/>
    <w:rsid w:val="001F2245"/>
    <w:rsid w:val="001F28C4"/>
    <w:rsid w:val="001F310C"/>
    <w:rsid w:val="001F3726"/>
    <w:rsid w:val="001F3E0F"/>
    <w:rsid w:val="001F3F19"/>
    <w:rsid w:val="001F4145"/>
    <w:rsid w:val="001F4D05"/>
    <w:rsid w:val="001F586C"/>
    <w:rsid w:val="001F5F4B"/>
    <w:rsid w:val="001F62AD"/>
    <w:rsid w:val="001F6650"/>
    <w:rsid w:val="001F6862"/>
    <w:rsid w:val="001F6F49"/>
    <w:rsid w:val="001F727C"/>
    <w:rsid w:val="001F72A9"/>
    <w:rsid w:val="001F72C6"/>
    <w:rsid w:val="001F7404"/>
    <w:rsid w:val="001F751B"/>
    <w:rsid w:val="00200A03"/>
    <w:rsid w:val="00200AB9"/>
    <w:rsid w:val="00200F0B"/>
    <w:rsid w:val="00201C4B"/>
    <w:rsid w:val="00202173"/>
    <w:rsid w:val="00202556"/>
    <w:rsid w:val="00202802"/>
    <w:rsid w:val="00202DB2"/>
    <w:rsid w:val="00203572"/>
    <w:rsid w:val="002044D5"/>
    <w:rsid w:val="00204B58"/>
    <w:rsid w:val="00205255"/>
    <w:rsid w:val="00205753"/>
    <w:rsid w:val="002057FE"/>
    <w:rsid w:val="00206A29"/>
    <w:rsid w:val="00207043"/>
    <w:rsid w:val="00207804"/>
    <w:rsid w:val="002100AE"/>
    <w:rsid w:val="002104E6"/>
    <w:rsid w:val="00210D67"/>
    <w:rsid w:val="00210EEB"/>
    <w:rsid w:val="00211092"/>
    <w:rsid w:val="002113D1"/>
    <w:rsid w:val="0021181C"/>
    <w:rsid w:val="00211E04"/>
    <w:rsid w:val="00211F42"/>
    <w:rsid w:val="0021249C"/>
    <w:rsid w:val="002125C0"/>
    <w:rsid w:val="002132F6"/>
    <w:rsid w:val="002135E9"/>
    <w:rsid w:val="00213C84"/>
    <w:rsid w:val="00213CCA"/>
    <w:rsid w:val="00213FCE"/>
    <w:rsid w:val="002157E3"/>
    <w:rsid w:val="00215BD7"/>
    <w:rsid w:val="00215EE6"/>
    <w:rsid w:val="002165B4"/>
    <w:rsid w:val="00216671"/>
    <w:rsid w:val="00216773"/>
    <w:rsid w:val="002167F3"/>
    <w:rsid w:val="002168EF"/>
    <w:rsid w:val="00216B25"/>
    <w:rsid w:val="00216E21"/>
    <w:rsid w:val="0021742D"/>
    <w:rsid w:val="002175A9"/>
    <w:rsid w:val="00217AB1"/>
    <w:rsid w:val="00217DEB"/>
    <w:rsid w:val="00217F4A"/>
    <w:rsid w:val="0022007A"/>
    <w:rsid w:val="002203D7"/>
    <w:rsid w:val="00220491"/>
    <w:rsid w:val="002218EB"/>
    <w:rsid w:val="0022205E"/>
    <w:rsid w:val="00222868"/>
    <w:rsid w:val="002237A0"/>
    <w:rsid w:val="00224108"/>
    <w:rsid w:val="002243F4"/>
    <w:rsid w:val="002247D4"/>
    <w:rsid w:val="00224ABF"/>
    <w:rsid w:val="00224B30"/>
    <w:rsid w:val="00224E4D"/>
    <w:rsid w:val="002251E8"/>
    <w:rsid w:val="00225510"/>
    <w:rsid w:val="0022652C"/>
    <w:rsid w:val="002265F5"/>
    <w:rsid w:val="00226EA6"/>
    <w:rsid w:val="00227178"/>
    <w:rsid w:val="0022761F"/>
    <w:rsid w:val="00230126"/>
    <w:rsid w:val="00230823"/>
    <w:rsid w:val="0023085A"/>
    <w:rsid w:val="00230FE1"/>
    <w:rsid w:val="00231B53"/>
    <w:rsid w:val="00231BA4"/>
    <w:rsid w:val="00231F2A"/>
    <w:rsid w:val="00231FE8"/>
    <w:rsid w:val="00232664"/>
    <w:rsid w:val="00233446"/>
    <w:rsid w:val="00233E96"/>
    <w:rsid w:val="00233F52"/>
    <w:rsid w:val="00234DE8"/>
    <w:rsid w:val="00235527"/>
    <w:rsid w:val="00235E36"/>
    <w:rsid w:val="0023649D"/>
    <w:rsid w:val="0023708C"/>
    <w:rsid w:val="00237117"/>
    <w:rsid w:val="00237235"/>
    <w:rsid w:val="00237624"/>
    <w:rsid w:val="0023793F"/>
    <w:rsid w:val="00237A4F"/>
    <w:rsid w:val="00237B93"/>
    <w:rsid w:val="00237D8E"/>
    <w:rsid w:val="002401DD"/>
    <w:rsid w:val="00240676"/>
    <w:rsid w:val="00240777"/>
    <w:rsid w:val="00240A7A"/>
    <w:rsid w:val="00240EF9"/>
    <w:rsid w:val="0024194E"/>
    <w:rsid w:val="00241A8A"/>
    <w:rsid w:val="00241B14"/>
    <w:rsid w:val="0024209F"/>
    <w:rsid w:val="00242412"/>
    <w:rsid w:val="00242799"/>
    <w:rsid w:val="00242ADF"/>
    <w:rsid w:val="00242C7F"/>
    <w:rsid w:val="002431B0"/>
    <w:rsid w:val="0024343F"/>
    <w:rsid w:val="00243943"/>
    <w:rsid w:val="00244701"/>
    <w:rsid w:val="0024476C"/>
    <w:rsid w:val="00244776"/>
    <w:rsid w:val="00244CCD"/>
    <w:rsid w:val="00245537"/>
    <w:rsid w:val="0024569D"/>
    <w:rsid w:val="00246122"/>
    <w:rsid w:val="00246C13"/>
    <w:rsid w:val="00246EE0"/>
    <w:rsid w:val="00247C0A"/>
    <w:rsid w:val="00247C71"/>
    <w:rsid w:val="00247D67"/>
    <w:rsid w:val="00250267"/>
    <w:rsid w:val="00251AB3"/>
    <w:rsid w:val="00252033"/>
    <w:rsid w:val="0025218E"/>
    <w:rsid w:val="00252711"/>
    <w:rsid w:val="0025287D"/>
    <w:rsid w:val="00252B28"/>
    <w:rsid w:val="00252C8E"/>
    <w:rsid w:val="00253235"/>
    <w:rsid w:val="00253AAE"/>
    <w:rsid w:val="00253B42"/>
    <w:rsid w:val="00253E9D"/>
    <w:rsid w:val="00254FAE"/>
    <w:rsid w:val="0025523D"/>
    <w:rsid w:val="002558EB"/>
    <w:rsid w:val="00255A43"/>
    <w:rsid w:val="00255FCA"/>
    <w:rsid w:val="00257308"/>
    <w:rsid w:val="002576FD"/>
    <w:rsid w:val="00257FA1"/>
    <w:rsid w:val="002603C3"/>
    <w:rsid w:val="002607CF"/>
    <w:rsid w:val="00260847"/>
    <w:rsid w:val="002609E6"/>
    <w:rsid w:val="00260BEB"/>
    <w:rsid w:val="00261C65"/>
    <w:rsid w:val="00261CB6"/>
    <w:rsid w:val="00261CFA"/>
    <w:rsid w:val="00262178"/>
    <w:rsid w:val="0026237B"/>
    <w:rsid w:val="00262727"/>
    <w:rsid w:val="00262796"/>
    <w:rsid w:val="00262A2F"/>
    <w:rsid w:val="00262F57"/>
    <w:rsid w:val="00263386"/>
    <w:rsid w:val="002633BC"/>
    <w:rsid w:val="002638E3"/>
    <w:rsid w:val="00264018"/>
    <w:rsid w:val="002645C4"/>
    <w:rsid w:val="0026517E"/>
    <w:rsid w:val="002652F7"/>
    <w:rsid w:val="00265997"/>
    <w:rsid w:val="00266169"/>
    <w:rsid w:val="00266271"/>
    <w:rsid w:val="002665C0"/>
    <w:rsid w:val="002666F9"/>
    <w:rsid w:val="00266C01"/>
    <w:rsid w:val="00266C19"/>
    <w:rsid w:val="0026734A"/>
    <w:rsid w:val="00267913"/>
    <w:rsid w:val="002679A6"/>
    <w:rsid w:val="00270048"/>
    <w:rsid w:val="002704EE"/>
    <w:rsid w:val="002705E1"/>
    <w:rsid w:val="002711F9"/>
    <w:rsid w:val="00271410"/>
    <w:rsid w:val="00272032"/>
    <w:rsid w:val="002725C0"/>
    <w:rsid w:val="00272953"/>
    <w:rsid w:val="00272A25"/>
    <w:rsid w:val="00272FF9"/>
    <w:rsid w:val="002750DD"/>
    <w:rsid w:val="00275152"/>
    <w:rsid w:val="0027567B"/>
    <w:rsid w:val="0027570E"/>
    <w:rsid w:val="00275CCB"/>
    <w:rsid w:val="00275FD8"/>
    <w:rsid w:val="00276088"/>
    <w:rsid w:val="002761B5"/>
    <w:rsid w:val="00276754"/>
    <w:rsid w:val="00276F28"/>
    <w:rsid w:val="00277496"/>
    <w:rsid w:val="00277EEF"/>
    <w:rsid w:val="00277F07"/>
    <w:rsid w:val="00277FD1"/>
    <w:rsid w:val="00280145"/>
    <w:rsid w:val="002801DD"/>
    <w:rsid w:val="002816BD"/>
    <w:rsid w:val="0028171A"/>
    <w:rsid w:val="00281E22"/>
    <w:rsid w:val="002821DF"/>
    <w:rsid w:val="00282CDB"/>
    <w:rsid w:val="00282F8F"/>
    <w:rsid w:val="0028346F"/>
    <w:rsid w:val="00283CE6"/>
    <w:rsid w:val="00283D88"/>
    <w:rsid w:val="0028491B"/>
    <w:rsid w:val="00284EAD"/>
    <w:rsid w:val="00284FF0"/>
    <w:rsid w:val="0028506B"/>
    <w:rsid w:val="002857A0"/>
    <w:rsid w:val="00285E8E"/>
    <w:rsid w:val="0028609D"/>
    <w:rsid w:val="002860D3"/>
    <w:rsid w:val="00286530"/>
    <w:rsid w:val="00286553"/>
    <w:rsid w:val="00286643"/>
    <w:rsid w:val="002866A6"/>
    <w:rsid w:val="00286FEB"/>
    <w:rsid w:val="002871EE"/>
    <w:rsid w:val="00287673"/>
    <w:rsid w:val="00287D2D"/>
    <w:rsid w:val="00287D38"/>
    <w:rsid w:val="00287E57"/>
    <w:rsid w:val="002902E0"/>
    <w:rsid w:val="002907BD"/>
    <w:rsid w:val="00291198"/>
    <w:rsid w:val="00291346"/>
    <w:rsid w:val="00291D0C"/>
    <w:rsid w:val="0029283D"/>
    <w:rsid w:val="00292C50"/>
    <w:rsid w:val="00293574"/>
    <w:rsid w:val="00293889"/>
    <w:rsid w:val="00293A74"/>
    <w:rsid w:val="00293C8A"/>
    <w:rsid w:val="00293C9F"/>
    <w:rsid w:val="0029443F"/>
    <w:rsid w:val="00294ADF"/>
    <w:rsid w:val="00294E66"/>
    <w:rsid w:val="00294EE9"/>
    <w:rsid w:val="00294F3A"/>
    <w:rsid w:val="00295723"/>
    <w:rsid w:val="00295B0F"/>
    <w:rsid w:val="00295C37"/>
    <w:rsid w:val="00296740"/>
    <w:rsid w:val="002978C7"/>
    <w:rsid w:val="00297A19"/>
    <w:rsid w:val="002A03F1"/>
    <w:rsid w:val="002A0659"/>
    <w:rsid w:val="002A0AA4"/>
    <w:rsid w:val="002A0F24"/>
    <w:rsid w:val="002A29BE"/>
    <w:rsid w:val="002A36C3"/>
    <w:rsid w:val="002A3D7B"/>
    <w:rsid w:val="002A4479"/>
    <w:rsid w:val="002A4717"/>
    <w:rsid w:val="002A4CC6"/>
    <w:rsid w:val="002A57A5"/>
    <w:rsid w:val="002A60CD"/>
    <w:rsid w:val="002A61D5"/>
    <w:rsid w:val="002A66C6"/>
    <w:rsid w:val="002A67AA"/>
    <w:rsid w:val="002A6ACD"/>
    <w:rsid w:val="002A6EDB"/>
    <w:rsid w:val="002A7AC3"/>
    <w:rsid w:val="002A7B8A"/>
    <w:rsid w:val="002B0008"/>
    <w:rsid w:val="002B016E"/>
    <w:rsid w:val="002B0476"/>
    <w:rsid w:val="002B1ABE"/>
    <w:rsid w:val="002B25AD"/>
    <w:rsid w:val="002B27E0"/>
    <w:rsid w:val="002B292B"/>
    <w:rsid w:val="002B35B4"/>
    <w:rsid w:val="002B3AA2"/>
    <w:rsid w:val="002B3AEE"/>
    <w:rsid w:val="002B3D52"/>
    <w:rsid w:val="002B3EA6"/>
    <w:rsid w:val="002B4475"/>
    <w:rsid w:val="002B455E"/>
    <w:rsid w:val="002B4864"/>
    <w:rsid w:val="002B4B6E"/>
    <w:rsid w:val="002B4B9D"/>
    <w:rsid w:val="002B5615"/>
    <w:rsid w:val="002B5AED"/>
    <w:rsid w:val="002B5CA8"/>
    <w:rsid w:val="002B624D"/>
    <w:rsid w:val="002B65D4"/>
    <w:rsid w:val="002B660A"/>
    <w:rsid w:val="002B6770"/>
    <w:rsid w:val="002B6C79"/>
    <w:rsid w:val="002B6D4E"/>
    <w:rsid w:val="002B7864"/>
    <w:rsid w:val="002B7CC5"/>
    <w:rsid w:val="002C024F"/>
    <w:rsid w:val="002C04F8"/>
    <w:rsid w:val="002C099F"/>
    <w:rsid w:val="002C0D85"/>
    <w:rsid w:val="002C15B9"/>
    <w:rsid w:val="002C2790"/>
    <w:rsid w:val="002C2F6A"/>
    <w:rsid w:val="002C34ED"/>
    <w:rsid w:val="002C360C"/>
    <w:rsid w:val="002C4151"/>
    <w:rsid w:val="002C41C9"/>
    <w:rsid w:val="002C43E2"/>
    <w:rsid w:val="002C4688"/>
    <w:rsid w:val="002C47F7"/>
    <w:rsid w:val="002C4AA6"/>
    <w:rsid w:val="002C4BA6"/>
    <w:rsid w:val="002C502B"/>
    <w:rsid w:val="002C5082"/>
    <w:rsid w:val="002C54B2"/>
    <w:rsid w:val="002C5656"/>
    <w:rsid w:val="002C5B8B"/>
    <w:rsid w:val="002C6382"/>
    <w:rsid w:val="002C6E38"/>
    <w:rsid w:val="002C6E8A"/>
    <w:rsid w:val="002C6EA2"/>
    <w:rsid w:val="002C71B8"/>
    <w:rsid w:val="002C74E2"/>
    <w:rsid w:val="002C75D5"/>
    <w:rsid w:val="002C7611"/>
    <w:rsid w:val="002C7BAB"/>
    <w:rsid w:val="002D01C8"/>
    <w:rsid w:val="002D0385"/>
    <w:rsid w:val="002D088B"/>
    <w:rsid w:val="002D1014"/>
    <w:rsid w:val="002D1200"/>
    <w:rsid w:val="002D1567"/>
    <w:rsid w:val="002D2521"/>
    <w:rsid w:val="002D2629"/>
    <w:rsid w:val="002D327D"/>
    <w:rsid w:val="002D386B"/>
    <w:rsid w:val="002D4255"/>
    <w:rsid w:val="002D4570"/>
    <w:rsid w:val="002D45FE"/>
    <w:rsid w:val="002D46A2"/>
    <w:rsid w:val="002D509D"/>
    <w:rsid w:val="002D5213"/>
    <w:rsid w:val="002D52D6"/>
    <w:rsid w:val="002D5951"/>
    <w:rsid w:val="002D5D3D"/>
    <w:rsid w:val="002D5E9D"/>
    <w:rsid w:val="002D6068"/>
    <w:rsid w:val="002D72D8"/>
    <w:rsid w:val="002D7797"/>
    <w:rsid w:val="002D7E27"/>
    <w:rsid w:val="002D7E8E"/>
    <w:rsid w:val="002E02C2"/>
    <w:rsid w:val="002E09E3"/>
    <w:rsid w:val="002E1915"/>
    <w:rsid w:val="002E1B40"/>
    <w:rsid w:val="002E1B8E"/>
    <w:rsid w:val="002E20FB"/>
    <w:rsid w:val="002E2385"/>
    <w:rsid w:val="002E32E2"/>
    <w:rsid w:val="002E33A2"/>
    <w:rsid w:val="002E3C99"/>
    <w:rsid w:val="002E40F7"/>
    <w:rsid w:val="002E433B"/>
    <w:rsid w:val="002E4615"/>
    <w:rsid w:val="002E5015"/>
    <w:rsid w:val="002E50A8"/>
    <w:rsid w:val="002E5360"/>
    <w:rsid w:val="002E6394"/>
    <w:rsid w:val="002E6929"/>
    <w:rsid w:val="002E6E56"/>
    <w:rsid w:val="002E7209"/>
    <w:rsid w:val="002E744F"/>
    <w:rsid w:val="002E7A99"/>
    <w:rsid w:val="002E7B79"/>
    <w:rsid w:val="002E7EB7"/>
    <w:rsid w:val="002E7F95"/>
    <w:rsid w:val="002F0E64"/>
    <w:rsid w:val="002F1438"/>
    <w:rsid w:val="002F18FC"/>
    <w:rsid w:val="002F1DE0"/>
    <w:rsid w:val="002F235B"/>
    <w:rsid w:val="002F24AD"/>
    <w:rsid w:val="002F2D97"/>
    <w:rsid w:val="002F2EB3"/>
    <w:rsid w:val="002F3319"/>
    <w:rsid w:val="002F3C56"/>
    <w:rsid w:val="002F40A9"/>
    <w:rsid w:val="002F431F"/>
    <w:rsid w:val="002F43B2"/>
    <w:rsid w:val="002F49BF"/>
    <w:rsid w:val="002F5308"/>
    <w:rsid w:val="002F53D9"/>
    <w:rsid w:val="002F661E"/>
    <w:rsid w:val="002F6AE8"/>
    <w:rsid w:val="002F6C43"/>
    <w:rsid w:val="002F751F"/>
    <w:rsid w:val="002F7C5F"/>
    <w:rsid w:val="002F7E3C"/>
    <w:rsid w:val="002F7FF0"/>
    <w:rsid w:val="00300562"/>
    <w:rsid w:val="0030069F"/>
    <w:rsid w:val="00300787"/>
    <w:rsid w:val="0030094B"/>
    <w:rsid w:val="003010BC"/>
    <w:rsid w:val="003018E0"/>
    <w:rsid w:val="00301E5A"/>
    <w:rsid w:val="003020C5"/>
    <w:rsid w:val="00302BC9"/>
    <w:rsid w:val="003037FC"/>
    <w:rsid w:val="00303A7E"/>
    <w:rsid w:val="00303FF5"/>
    <w:rsid w:val="00305299"/>
    <w:rsid w:val="00305A6B"/>
    <w:rsid w:val="00306ECE"/>
    <w:rsid w:val="00310105"/>
    <w:rsid w:val="00310190"/>
    <w:rsid w:val="003102A6"/>
    <w:rsid w:val="00310CB2"/>
    <w:rsid w:val="003111C0"/>
    <w:rsid w:val="00311505"/>
    <w:rsid w:val="00311749"/>
    <w:rsid w:val="003117B3"/>
    <w:rsid w:val="00311A8E"/>
    <w:rsid w:val="00312537"/>
    <w:rsid w:val="00312C2A"/>
    <w:rsid w:val="003140B2"/>
    <w:rsid w:val="003142BA"/>
    <w:rsid w:val="0031483E"/>
    <w:rsid w:val="00315331"/>
    <w:rsid w:val="0031534C"/>
    <w:rsid w:val="0031626A"/>
    <w:rsid w:val="00316308"/>
    <w:rsid w:val="00316C5B"/>
    <w:rsid w:val="00316C6E"/>
    <w:rsid w:val="00316DF8"/>
    <w:rsid w:val="00317607"/>
    <w:rsid w:val="003176DB"/>
    <w:rsid w:val="00317BC6"/>
    <w:rsid w:val="003200F4"/>
    <w:rsid w:val="003204FA"/>
    <w:rsid w:val="00321445"/>
    <w:rsid w:val="0032276A"/>
    <w:rsid w:val="003227FE"/>
    <w:rsid w:val="00322A42"/>
    <w:rsid w:val="00322AE6"/>
    <w:rsid w:val="00322CAA"/>
    <w:rsid w:val="003231E5"/>
    <w:rsid w:val="00323501"/>
    <w:rsid w:val="00323946"/>
    <w:rsid w:val="00323C72"/>
    <w:rsid w:val="00323DAA"/>
    <w:rsid w:val="00323F97"/>
    <w:rsid w:val="00324AE9"/>
    <w:rsid w:val="00324CB5"/>
    <w:rsid w:val="0032516B"/>
    <w:rsid w:val="00325320"/>
    <w:rsid w:val="00325A16"/>
    <w:rsid w:val="00325BC8"/>
    <w:rsid w:val="00325BD8"/>
    <w:rsid w:val="00325D27"/>
    <w:rsid w:val="0032628F"/>
    <w:rsid w:val="00326BDF"/>
    <w:rsid w:val="0032745D"/>
    <w:rsid w:val="00327F9B"/>
    <w:rsid w:val="003303AA"/>
    <w:rsid w:val="0033055E"/>
    <w:rsid w:val="0033080C"/>
    <w:rsid w:val="00330E69"/>
    <w:rsid w:val="00331EDE"/>
    <w:rsid w:val="0033216F"/>
    <w:rsid w:val="00332B18"/>
    <w:rsid w:val="00332B65"/>
    <w:rsid w:val="00332E96"/>
    <w:rsid w:val="003330D1"/>
    <w:rsid w:val="00333223"/>
    <w:rsid w:val="0033349D"/>
    <w:rsid w:val="003334A4"/>
    <w:rsid w:val="003334C2"/>
    <w:rsid w:val="003343CB"/>
    <w:rsid w:val="00334D90"/>
    <w:rsid w:val="00335180"/>
    <w:rsid w:val="00336BC5"/>
    <w:rsid w:val="00337F4D"/>
    <w:rsid w:val="003401F3"/>
    <w:rsid w:val="00340A61"/>
    <w:rsid w:val="00341252"/>
    <w:rsid w:val="0034134D"/>
    <w:rsid w:val="00341598"/>
    <w:rsid w:val="00342BC2"/>
    <w:rsid w:val="003430A9"/>
    <w:rsid w:val="003438B9"/>
    <w:rsid w:val="00343C5F"/>
    <w:rsid w:val="003445F7"/>
    <w:rsid w:val="00344D6E"/>
    <w:rsid w:val="00344F59"/>
    <w:rsid w:val="00344FB8"/>
    <w:rsid w:val="0034535F"/>
    <w:rsid w:val="00346096"/>
    <w:rsid w:val="00346106"/>
    <w:rsid w:val="00346761"/>
    <w:rsid w:val="00346B71"/>
    <w:rsid w:val="0034721C"/>
    <w:rsid w:val="00347692"/>
    <w:rsid w:val="00347AFF"/>
    <w:rsid w:val="0035081B"/>
    <w:rsid w:val="00350968"/>
    <w:rsid w:val="003509BA"/>
    <w:rsid w:val="00350A05"/>
    <w:rsid w:val="00350D39"/>
    <w:rsid w:val="003514EB"/>
    <w:rsid w:val="003519DC"/>
    <w:rsid w:val="00351A78"/>
    <w:rsid w:val="00351C2E"/>
    <w:rsid w:val="0035258F"/>
    <w:rsid w:val="0035278F"/>
    <w:rsid w:val="00352864"/>
    <w:rsid w:val="00352AAF"/>
    <w:rsid w:val="0035332A"/>
    <w:rsid w:val="0035362E"/>
    <w:rsid w:val="00353640"/>
    <w:rsid w:val="00353D37"/>
    <w:rsid w:val="00354832"/>
    <w:rsid w:val="00354A58"/>
    <w:rsid w:val="00354AA2"/>
    <w:rsid w:val="00354DF7"/>
    <w:rsid w:val="003557B8"/>
    <w:rsid w:val="0035580E"/>
    <w:rsid w:val="00355876"/>
    <w:rsid w:val="0035654D"/>
    <w:rsid w:val="00357477"/>
    <w:rsid w:val="003577BF"/>
    <w:rsid w:val="0035795A"/>
    <w:rsid w:val="00357EA5"/>
    <w:rsid w:val="00360942"/>
    <w:rsid w:val="00360CE7"/>
    <w:rsid w:val="003612F5"/>
    <w:rsid w:val="0036184F"/>
    <w:rsid w:val="00361A89"/>
    <w:rsid w:val="00361DD9"/>
    <w:rsid w:val="00361DDB"/>
    <w:rsid w:val="00362B22"/>
    <w:rsid w:val="00362CD5"/>
    <w:rsid w:val="00362FDF"/>
    <w:rsid w:val="00363003"/>
    <w:rsid w:val="003630F4"/>
    <w:rsid w:val="0036324C"/>
    <w:rsid w:val="0036332E"/>
    <w:rsid w:val="003635EB"/>
    <w:rsid w:val="00364722"/>
    <w:rsid w:val="00364C26"/>
    <w:rsid w:val="00364CAE"/>
    <w:rsid w:val="00365506"/>
    <w:rsid w:val="00365760"/>
    <w:rsid w:val="00365782"/>
    <w:rsid w:val="00365BB1"/>
    <w:rsid w:val="00366152"/>
    <w:rsid w:val="003668C4"/>
    <w:rsid w:val="00366B89"/>
    <w:rsid w:val="00367441"/>
    <w:rsid w:val="00367770"/>
    <w:rsid w:val="00367BF1"/>
    <w:rsid w:val="00367FCE"/>
    <w:rsid w:val="00370336"/>
    <w:rsid w:val="00370FF9"/>
    <w:rsid w:val="00371180"/>
    <w:rsid w:val="0037129A"/>
    <w:rsid w:val="00371832"/>
    <w:rsid w:val="0037194E"/>
    <w:rsid w:val="00372B6B"/>
    <w:rsid w:val="00372BCD"/>
    <w:rsid w:val="00372C31"/>
    <w:rsid w:val="00372C6D"/>
    <w:rsid w:val="00373049"/>
    <w:rsid w:val="003737D9"/>
    <w:rsid w:val="003740DF"/>
    <w:rsid w:val="0037427C"/>
    <w:rsid w:val="00374378"/>
    <w:rsid w:val="003744CE"/>
    <w:rsid w:val="00374A74"/>
    <w:rsid w:val="00374D39"/>
    <w:rsid w:val="00374E31"/>
    <w:rsid w:val="00375133"/>
    <w:rsid w:val="00375563"/>
    <w:rsid w:val="00375BA3"/>
    <w:rsid w:val="00375C27"/>
    <w:rsid w:val="0037664B"/>
    <w:rsid w:val="003768F0"/>
    <w:rsid w:val="00376A12"/>
    <w:rsid w:val="00376B06"/>
    <w:rsid w:val="003777B7"/>
    <w:rsid w:val="00377C01"/>
    <w:rsid w:val="00377C5E"/>
    <w:rsid w:val="00380A36"/>
    <w:rsid w:val="00380DA1"/>
    <w:rsid w:val="003818CE"/>
    <w:rsid w:val="00382D51"/>
    <w:rsid w:val="003841A2"/>
    <w:rsid w:val="003847F0"/>
    <w:rsid w:val="00385F41"/>
    <w:rsid w:val="00386449"/>
    <w:rsid w:val="00386656"/>
    <w:rsid w:val="00386955"/>
    <w:rsid w:val="00386AEA"/>
    <w:rsid w:val="003871EF"/>
    <w:rsid w:val="00387DD9"/>
    <w:rsid w:val="003906DF"/>
    <w:rsid w:val="003915B1"/>
    <w:rsid w:val="0039189D"/>
    <w:rsid w:val="00391A2C"/>
    <w:rsid w:val="003920C9"/>
    <w:rsid w:val="00392522"/>
    <w:rsid w:val="00392CE0"/>
    <w:rsid w:val="00393913"/>
    <w:rsid w:val="0039419C"/>
    <w:rsid w:val="00394335"/>
    <w:rsid w:val="003943EE"/>
    <w:rsid w:val="00394C2C"/>
    <w:rsid w:val="00395332"/>
    <w:rsid w:val="00395495"/>
    <w:rsid w:val="003957B5"/>
    <w:rsid w:val="00395DF0"/>
    <w:rsid w:val="003975E1"/>
    <w:rsid w:val="00397A4F"/>
    <w:rsid w:val="00397D0A"/>
    <w:rsid w:val="003A0B96"/>
    <w:rsid w:val="003A0DED"/>
    <w:rsid w:val="003A10BA"/>
    <w:rsid w:val="003A12C0"/>
    <w:rsid w:val="003A1D9B"/>
    <w:rsid w:val="003A1E1C"/>
    <w:rsid w:val="003A25FC"/>
    <w:rsid w:val="003A2674"/>
    <w:rsid w:val="003A2C45"/>
    <w:rsid w:val="003A3833"/>
    <w:rsid w:val="003A38CC"/>
    <w:rsid w:val="003A39E9"/>
    <w:rsid w:val="003A4076"/>
    <w:rsid w:val="003A45BE"/>
    <w:rsid w:val="003A47DA"/>
    <w:rsid w:val="003A5A74"/>
    <w:rsid w:val="003A5D9D"/>
    <w:rsid w:val="003A6260"/>
    <w:rsid w:val="003A666E"/>
    <w:rsid w:val="003A67E8"/>
    <w:rsid w:val="003A73A3"/>
    <w:rsid w:val="003A765D"/>
    <w:rsid w:val="003A7B09"/>
    <w:rsid w:val="003A7D59"/>
    <w:rsid w:val="003A7F03"/>
    <w:rsid w:val="003B0A61"/>
    <w:rsid w:val="003B1257"/>
    <w:rsid w:val="003B144E"/>
    <w:rsid w:val="003B183D"/>
    <w:rsid w:val="003B197E"/>
    <w:rsid w:val="003B1B74"/>
    <w:rsid w:val="003B1BEC"/>
    <w:rsid w:val="003B2E5C"/>
    <w:rsid w:val="003B2FB9"/>
    <w:rsid w:val="003B357E"/>
    <w:rsid w:val="003B3A21"/>
    <w:rsid w:val="003B3B63"/>
    <w:rsid w:val="003B3B6D"/>
    <w:rsid w:val="003B4780"/>
    <w:rsid w:val="003B48C8"/>
    <w:rsid w:val="003B48FD"/>
    <w:rsid w:val="003B4D24"/>
    <w:rsid w:val="003B4FC1"/>
    <w:rsid w:val="003B5870"/>
    <w:rsid w:val="003B6339"/>
    <w:rsid w:val="003B655F"/>
    <w:rsid w:val="003B7204"/>
    <w:rsid w:val="003B7269"/>
    <w:rsid w:val="003B743E"/>
    <w:rsid w:val="003B7876"/>
    <w:rsid w:val="003C03F1"/>
    <w:rsid w:val="003C0D7A"/>
    <w:rsid w:val="003C1AD4"/>
    <w:rsid w:val="003C1B81"/>
    <w:rsid w:val="003C252E"/>
    <w:rsid w:val="003C2709"/>
    <w:rsid w:val="003C38D9"/>
    <w:rsid w:val="003C3E52"/>
    <w:rsid w:val="003C3EA6"/>
    <w:rsid w:val="003C443B"/>
    <w:rsid w:val="003C4602"/>
    <w:rsid w:val="003C4815"/>
    <w:rsid w:val="003C4E1F"/>
    <w:rsid w:val="003C4F11"/>
    <w:rsid w:val="003C5899"/>
    <w:rsid w:val="003C592F"/>
    <w:rsid w:val="003C5F6F"/>
    <w:rsid w:val="003C6044"/>
    <w:rsid w:val="003C663A"/>
    <w:rsid w:val="003C66AB"/>
    <w:rsid w:val="003C6A61"/>
    <w:rsid w:val="003C6F16"/>
    <w:rsid w:val="003C6F93"/>
    <w:rsid w:val="003D0B75"/>
    <w:rsid w:val="003D0E9D"/>
    <w:rsid w:val="003D0F03"/>
    <w:rsid w:val="003D1780"/>
    <w:rsid w:val="003D1D61"/>
    <w:rsid w:val="003D1D8C"/>
    <w:rsid w:val="003D1DB4"/>
    <w:rsid w:val="003D215E"/>
    <w:rsid w:val="003D2310"/>
    <w:rsid w:val="003D2642"/>
    <w:rsid w:val="003D266A"/>
    <w:rsid w:val="003D2916"/>
    <w:rsid w:val="003D2B6A"/>
    <w:rsid w:val="003D2FAA"/>
    <w:rsid w:val="003D2FBC"/>
    <w:rsid w:val="003D3239"/>
    <w:rsid w:val="003D3429"/>
    <w:rsid w:val="003D34B7"/>
    <w:rsid w:val="003D36F2"/>
    <w:rsid w:val="003D3AAC"/>
    <w:rsid w:val="003D3E5B"/>
    <w:rsid w:val="003D4759"/>
    <w:rsid w:val="003D4D1C"/>
    <w:rsid w:val="003D5135"/>
    <w:rsid w:val="003D5DC0"/>
    <w:rsid w:val="003D5F33"/>
    <w:rsid w:val="003D625C"/>
    <w:rsid w:val="003D6262"/>
    <w:rsid w:val="003D6479"/>
    <w:rsid w:val="003D6E32"/>
    <w:rsid w:val="003D6E66"/>
    <w:rsid w:val="003D6F23"/>
    <w:rsid w:val="003D7BF3"/>
    <w:rsid w:val="003E0586"/>
    <w:rsid w:val="003E0FA4"/>
    <w:rsid w:val="003E0FC2"/>
    <w:rsid w:val="003E19FC"/>
    <w:rsid w:val="003E1A69"/>
    <w:rsid w:val="003E2054"/>
    <w:rsid w:val="003E2155"/>
    <w:rsid w:val="003E250A"/>
    <w:rsid w:val="003E25E1"/>
    <w:rsid w:val="003E26D5"/>
    <w:rsid w:val="003E3379"/>
    <w:rsid w:val="003E38D9"/>
    <w:rsid w:val="003E3936"/>
    <w:rsid w:val="003E3B7D"/>
    <w:rsid w:val="003E4025"/>
    <w:rsid w:val="003E4BEC"/>
    <w:rsid w:val="003E4DB7"/>
    <w:rsid w:val="003E5098"/>
    <w:rsid w:val="003E57E5"/>
    <w:rsid w:val="003E6554"/>
    <w:rsid w:val="003E6589"/>
    <w:rsid w:val="003E6BCA"/>
    <w:rsid w:val="003E6E7C"/>
    <w:rsid w:val="003E6F27"/>
    <w:rsid w:val="003E72D3"/>
    <w:rsid w:val="003E79A2"/>
    <w:rsid w:val="003E7B09"/>
    <w:rsid w:val="003F01A1"/>
    <w:rsid w:val="003F05C7"/>
    <w:rsid w:val="003F0BC4"/>
    <w:rsid w:val="003F0CED"/>
    <w:rsid w:val="003F200C"/>
    <w:rsid w:val="003F2932"/>
    <w:rsid w:val="003F332B"/>
    <w:rsid w:val="003F3760"/>
    <w:rsid w:val="003F4360"/>
    <w:rsid w:val="003F4370"/>
    <w:rsid w:val="003F4455"/>
    <w:rsid w:val="003F47EA"/>
    <w:rsid w:val="003F4EE2"/>
    <w:rsid w:val="003F51B4"/>
    <w:rsid w:val="003F5348"/>
    <w:rsid w:val="003F59EB"/>
    <w:rsid w:val="003F5C3E"/>
    <w:rsid w:val="003F5E48"/>
    <w:rsid w:val="003F6F7E"/>
    <w:rsid w:val="003F7792"/>
    <w:rsid w:val="003F7799"/>
    <w:rsid w:val="003F77DA"/>
    <w:rsid w:val="003F78E6"/>
    <w:rsid w:val="00400451"/>
    <w:rsid w:val="00400AD7"/>
    <w:rsid w:val="004010A5"/>
    <w:rsid w:val="0040148C"/>
    <w:rsid w:val="00401C6D"/>
    <w:rsid w:val="00401E9F"/>
    <w:rsid w:val="004024F7"/>
    <w:rsid w:val="004026E5"/>
    <w:rsid w:val="00402A16"/>
    <w:rsid w:val="0040398A"/>
    <w:rsid w:val="00403AB4"/>
    <w:rsid w:val="004047AA"/>
    <w:rsid w:val="00405165"/>
    <w:rsid w:val="00405642"/>
    <w:rsid w:val="00405963"/>
    <w:rsid w:val="004059A9"/>
    <w:rsid w:val="0040603E"/>
    <w:rsid w:val="00406479"/>
    <w:rsid w:val="0040661B"/>
    <w:rsid w:val="00406720"/>
    <w:rsid w:val="004074B3"/>
    <w:rsid w:val="0040753A"/>
    <w:rsid w:val="00407568"/>
    <w:rsid w:val="00407B31"/>
    <w:rsid w:val="00407B59"/>
    <w:rsid w:val="0041062F"/>
    <w:rsid w:val="00410C73"/>
    <w:rsid w:val="00410F70"/>
    <w:rsid w:val="00411393"/>
    <w:rsid w:val="00411603"/>
    <w:rsid w:val="00411651"/>
    <w:rsid w:val="004118B3"/>
    <w:rsid w:val="00411919"/>
    <w:rsid w:val="00411BD2"/>
    <w:rsid w:val="00411FC9"/>
    <w:rsid w:val="00412B36"/>
    <w:rsid w:val="00412FC1"/>
    <w:rsid w:val="00413842"/>
    <w:rsid w:val="0041387F"/>
    <w:rsid w:val="00413BBC"/>
    <w:rsid w:val="004144D1"/>
    <w:rsid w:val="00414537"/>
    <w:rsid w:val="004147F6"/>
    <w:rsid w:val="004149EE"/>
    <w:rsid w:val="00414A29"/>
    <w:rsid w:val="00414A76"/>
    <w:rsid w:val="00414FD4"/>
    <w:rsid w:val="004150E3"/>
    <w:rsid w:val="00415231"/>
    <w:rsid w:val="00415257"/>
    <w:rsid w:val="00415755"/>
    <w:rsid w:val="00415773"/>
    <w:rsid w:val="00415E13"/>
    <w:rsid w:val="004167D8"/>
    <w:rsid w:val="004168BD"/>
    <w:rsid w:val="004170E4"/>
    <w:rsid w:val="004173B2"/>
    <w:rsid w:val="004175F5"/>
    <w:rsid w:val="004176D3"/>
    <w:rsid w:val="00420876"/>
    <w:rsid w:val="004209D4"/>
    <w:rsid w:val="00420A7A"/>
    <w:rsid w:val="00421429"/>
    <w:rsid w:val="0042144E"/>
    <w:rsid w:val="00421EA0"/>
    <w:rsid w:val="0042209B"/>
    <w:rsid w:val="004222DB"/>
    <w:rsid w:val="004223F8"/>
    <w:rsid w:val="00422744"/>
    <w:rsid w:val="0042290A"/>
    <w:rsid w:val="0042307D"/>
    <w:rsid w:val="004231DC"/>
    <w:rsid w:val="0042376C"/>
    <w:rsid w:val="00423BFD"/>
    <w:rsid w:val="004245FA"/>
    <w:rsid w:val="00424AA3"/>
    <w:rsid w:val="00424B97"/>
    <w:rsid w:val="0042517C"/>
    <w:rsid w:val="00425486"/>
    <w:rsid w:val="00425FF9"/>
    <w:rsid w:val="0042647D"/>
    <w:rsid w:val="004269B8"/>
    <w:rsid w:val="004273D6"/>
    <w:rsid w:val="0043007E"/>
    <w:rsid w:val="004302A9"/>
    <w:rsid w:val="004302AC"/>
    <w:rsid w:val="00430686"/>
    <w:rsid w:val="0043070E"/>
    <w:rsid w:val="00430ECB"/>
    <w:rsid w:val="004313E5"/>
    <w:rsid w:val="0043140B"/>
    <w:rsid w:val="0043191F"/>
    <w:rsid w:val="00431D51"/>
    <w:rsid w:val="004326A2"/>
    <w:rsid w:val="00432E52"/>
    <w:rsid w:val="00432F89"/>
    <w:rsid w:val="00433857"/>
    <w:rsid w:val="00433ACD"/>
    <w:rsid w:val="00433ED4"/>
    <w:rsid w:val="00434104"/>
    <w:rsid w:val="00434368"/>
    <w:rsid w:val="004345F3"/>
    <w:rsid w:val="00434788"/>
    <w:rsid w:val="00434ACD"/>
    <w:rsid w:val="004353C9"/>
    <w:rsid w:val="00435F73"/>
    <w:rsid w:val="00436842"/>
    <w:rsid w:val="00436C41"/>
    <w:rsid w:val="004375CE"/>
    <w:rsid w:val="00437B7C"/>
    <w:rsid w:val="00437F3A"/>
    <w:rsid w:val="00440219"/>
    <w:rsid w:val="00440386"/>
    <w:rsid w:val="00440559"/>
    <w:rsid w:val="00440868"/>
    <w:rsid w:val="004418EC"/>
    <w:rsid w:val="004419EA"/>
    <w:rsid w:val="00441BFB"/>
    <w:rsid w:val="00441C66"/>
    <w:rsid w:val="00441DA5"/>
    <w:rsid w:val="00441E35"/>
    <w:rsid w:val="004424F3"/>
    <w:rsid w:val="00442C9D"/>
    <w:rsid w:val="00442D33"/>
    <w:rsid w:val="00442F04"/>
    <w:rsid w:val="00443082"/>
    <w:rsid w:val="00445319"/>
    <w:rsid w:val="004457EC"/>
    <w:rsid w:val="00445C50"/>
    <w:rsid w:val="00446107"/>
    <w:rsid w:val="00446481"/>
    <w:rsid w:val="00446DF7"/>
    <w:rsid w:val="004474C9"/>
    <w:rsid w:val="00447864"/>
    <w:rsid w:val="00447B8E"/>
    <w:rsid w:val="00447D54"/>
    <w:rsid w:val="00450780"/>
    <w:rsid w:val="00451416"/>
    <w:rsid w:val="0045154C"/>
    <w:rsid w:val="00451C63"/>
    <w:rsid w:val="0045281C"/>
    <w:rsid w:val="0045294D"/>
    <w:rsid w:val="00452DC0"/>
    <w:rsid w:val="004538FC"/>
    <w:rsid w:val="00453DA5"/>
    <w:rsid w:val="00454134"/>
    <w:rsid w:val="00454AF8"/>
    <w:rsid w:val="00454D6A"/>
    <w:rsid w:val="00454EBD"/>
    <w:rsid w:val="00456D4B"/>
    <w:rsid w:val="004571BB"/>
    <w:rsid w:val="0045765D"/>
    <w:rsid w:val="004577D2"/>
    <w:rsid w:val="00457B72"/>
    <w:rsid w:val="0046079B"/>
    <w:rsid w:val="0046171D"/>
    <w:rsid w:val="00461D2D"/>
    <w:rsid w:val="004621E2"/>
    <w:rsid w:val="00462385"/>
    <w:rsid w:val="004627C7"/>
    <w:rsid w:val="004629AD"/>
    <w:rsid w:val="00462B5F"/>
    <w:rsid w:val="00463BEF"/>
    <w:rsid w:val="004640F9"/>
    <w:rsid w:val="00464618"/>
    <w:rsid w:val="00464C44"/>
    <w:rsid w:val="00464EA2"/>
    <w:rsid w:val="0046514A"/>
    <w:rsid w:val="004653F0"/>
    <w:rsid w:val="0046570E"/>
    <w:rsid w:val="00465C6B"/>
    <w:rsid w:val="00466216"/>
    <w:rsid w:val="004669AC"/>
    <w:rsid w:val="004679B2"/>
    <w:rsid w:val="00467A8F"/>
    <w:rsid w:val="00467C30"/>
    <w:rsid w:val="00467C50"/>
    <w:rsid w:val="004701A5"/>
    <w:rsid w:val="004708A8"/>
    <w:rsid w:val="00471145"/>
    <w:rsid w:val="004715FD"/>
    <w:rsid w:val="00471B60"/>
    <w:rsid w:val="004720DB"/>
    <w:rsid w:val="00472579"/>
    <w:rsid w:val="00472DA3"/>
    <w:rsid w:val="00472EDC"/>
    <w:rsid w:val="00473051"/>
    <w:rsid w:val="00473713"/>
    <w:rsid w:val="00473958"/>
    <w:rsid w:val="00473E1E"/>
    <w:rsid w:val="00474909"/>
    <w:rsid w:val="00474B1E"/>
    <w:rsid w:val="0047580B"/>
    <w:rsid w:val="00475EC2"/>
    <w:rsid w:val="00476A5D"/>
    <w:rsid w:val="00476AAB"/>
    <w:rsid w:val="00476BC3"/>
    <w:rsid w:val="00477173"/>
    <w:rsid w:val="00477B7E"/>
    <w:rsid w:val="004801EC"/>
    <w:rsid w:val="00480F2D"/>
    <w:rsid w:val="00480FDA"/>
    <w:rsid w:val="00481533"/>
    <w:rsid w:val="00481BA6"/>
    <w:rsid w:val="0048215D"/>
    <w:rsid w:val="004836EE"/>
    <w:rsid w:val="004853FD"/>
    <w:rsid w:val="00485A9C"/>
    <w:rsid w:val="00486236"/>
    <w:rsid w:val="00486753"/>
    <w:rsid w:val="00486DF8"/>
    <w:rsid w:val="00487079"/>
    <w:rsid w:val="0048741E"/>
    <w:rsid w:val="00487A5F"/>
    <w:rsid w:val="004903F5"/>
    <w:rsid w:val="00490A87"/>
    <w:rsid w:val="00490B13"/>
    <w:rsid w:val="0049120B"/>
    <w:rsid w:val="004914D8"/>
    <w:rsid w:val="00491C92"/>
    <w:rsid w:val="00492197"/>
    <w:rsid w:val="004926D0"/>
    <w:rsid w:val="00492888"/>
    <w:rsid w:val="00492E17"/>
    <w:rsid w:val="004931DF"/>
    <w:rsid w:val="00493FE2"/>
    <w:rsid w:val="0049462B"/>
    <w:rsid w:val="004947CB"/>
    <w:rsid w:val="00494D53"/>
    <w:rsid w:val="00494EF0"/>
    <w:rsid w:val="0049594B"/>
    <w:rsid w:val="00496160"/>
    <w:rsid w:val="00496DFB"/>
    <w:rsid w:val="00497A0C"/>
    <w:rsid w:val="004A0AE2"/>
    <w:rsid w:val="004A0D3E"/>
    <w:rsid w:val="004A0E13"/>
    <w:rsid w:val="004A170A"/>
    <w:rsid w:val="004A2375"/>
    <w:rsid w:val="004A2545"/>
    <w:rsid w:val="004A28E2"/>
    <w:rsid w:val="004A2D83"/>
    <w:rsid w:val="004A2E6F"/>
    <w:rsid w:val="004A325C"/>
    <w:rsid w:val="004A3F3A"/>
    <w:rsid w:val="004A4000"/>
    <w:rsid w:val="004A407E"/>
    <w:rsid w:val="004A4178"/>
    <w:rsid w:val="004A4583"/>
    <w:rsid w:val="004A4D37"/>
    <w:rsid w:val="004A4E53"/>
    <w:rsid w:val="004A538C"/>
    <w:rsid w:val="004A55E4"/>
    <w:rsid w:val="004A5C5B"/>
    <w:rsid w:val="004A6D58"/>
    <w:rsid w:val="004A6F71"/>
    <w:rsid w:val="004A7371"/>
    <w:rsid w:val="004B0599"/>
    <w:rsid w:val="004B0B7E"/>
    <w:rsid w:val="004B1625"/>
    <w:rsid w:val="004B1E1A"/>
    <w:rsid w:val="004B24D5"/>
    <w:rsid w:val="004B2A4F"/>
    <w:rsid w:val="004B2A70"/>
    <w:rsid w:val="004B2B73"/>
    <w:rsid w:val="004B2E4F"/>
    <w:rsid w:val="004B3724"/>
    <w:rsid w:val="004B3764"/>
    <w:rsid w:val="004B3C55"/>
    <w:rsid w:val="004B456B"/>
    <w:rsid w:val="004B46EE"/>
    <w:rsid w:val="004B47CC"/>
    <w:rsid w:val="004B4AD6"/>
    <w:rsid w:val="004B6016"/>
    <w:rsid w:val="004B6345"/>
    <w:rsid w:val="004B63E6"/>
    <w:rsid w:val="004B6484"/>
    <w:rsid w:val="004B71ED"/>
    <w:rsid w:val="004B72FF"/>
    <w:rsid w:val="004B747A"/>
    <w:rsid w:val="004B77CE"/>
    <w:rsid w:val="004B796A"/>
    <w:rsid w:val="004B7A25"/>
    <w:rsid w:val="004B7E04"/>
    <w:rsid w:val="004C0687"/>
    <w:rsid w:val="004C08E4"/>
    <w:rsid w:val="004C09D1"/>
    <w:rsid w:val="004C0A6C"/>
    <w:rsid w:val="004C10D2"/>
    <w:rsid w:val="004C1276"/>
    <w:rsid w:val="004C17FC"/>
    <w:rsid w:val="004C2886"/>
    <w:rsid w:val="004C2E1A"/>
    <w:rsid w:val="004C320B"/>
    <w:rsid w:val="004C37D9"/>
    <w:rsid w:val="004C3D32"/>
    <w:rsid w:val="004C3E24"/>
    <w:rsid w:val="004C526F"/>
    <w:rsid w:val="004C5358"/>
    <w:rsid w:val="004C58E2"/>
    <w:rsid w:val="004C6C29"/>
    <w:rsid w:val="004C6D8C"/>
    <w:rsid w:val="004C7051"/>
    <w:rsid w:val="004C73CA"/>
    <w:rsid w:val="004C7C44"/>
    <w:rsid w:val="004D0796"/>
    <w:rsid w:val="004D0C8E"/>
    <w:rsid w:val="004D0F7D"/>
    <w:rsid w:val="004D1364"/>
    <w:rsid w:val="004D16F4"/>
    <w:rsid w:val="004D261B"/>
    <w:rsid w:val="004D2810"/>
    <w:rsid w:val="004D2934"/>
    <w:rsid w:val="004D2ADB"/>
    <w:rsid w:val="004D2B63"/>
    <w:rsid w:val="004D2CFE"/>
    <w:rsid w:val="004D2DC8"/>
    <w:rsid w:val="004D31CE"/>
    <w:rsid w:val="004D3454"/>
    <w:rsid w:val="004D3CF7"/>
    <w:rsid w:val="004D3EBE"/>
    <w:rsid w:val="004D49D5"/>
    <w:rsid w:val="004D50F8"/>
    <w:rsid w:val="004D52E0"/>
    <w:rsid w:val="004D5601"/>
    <w:rsid w:val="004D5611"/>
    <w:rsid w:val="004D5B11"/>
    <w:rsid w:val="004D5F0E"/>
    <w:rsid w:val="004D5F50"/>
    <w:rsid w:val="004D60AE"/>
    <w:rsid w:val="004D6B0F"/>
    <w:rsid w:val="004D6DA3"/>
    <w:rsid w:val="004D6E92"/>
    <w:rsid w:val="004D77C0"/>
    <w:rsid w:val="004D791C"/>
    <w:rsid w:val="004D7A8E"/>
    <w:rsid w:val="004D7FBB"/>
    <w:rsid w:val="004E0B79"/>
    <w:rsid w:val="004E0E44"/>
    <w:rsid w:val="004E0F4B"/>
    <w:rsid w:val="004E1B01"/>
    <w:rsid w:val="004E234B"/>
    <w:rsid w:val="004E2E80"/>
    <w:rsid w:val="004E3682"/>
    <w:rsid w:val="004E36E7"/>
    <w:rsid w:val="004E3821"/>
    <w:rsid w:val="004E3B8E"/>
    <w:rsid w:val="004E3CDD"/>
    <w:rsid w:val="004E3D6B"/>
    <w:rsid w:val="004E3DE3"/>
    <w:rsid w:val="004E3F1F"/>
    <w:rsid w:val="004E43A8"/>
    <w:rsid w:val="004E4595"/>
    <w:rsid w:val="004E464A"/>
    <w:rsid w:val="004E46DC"/>
    <w:rsid w:val="004E48D2"/>
    <w:rsid w:val="004E4B6A"/>
    <w:rsid w:val="004E5172"/>
    <w:rsid w:val="004E58C1"/>
    <w:rsid w:val="004E59BE"/>
    <w:rsid w:val="004E6454"/>
    <w:rsid w:val="004E6632"/>
    <w:rsid w:val="004E6AB0"/>
    <w:rsid w:val="004E7657"/>
    <w:rsid w:val="004E785D"/>
    <w:rsid w:val="004E7C26"/>
    <w:rsid w:val="004E7E16"/>
    <w:rsid w:val="004F00F0"/>
    <w:rsid w:val="004F0335"/>
    <w:rsid w:val="004F0626"/>
    <w:rsid w:val="004F075A"/>
    <w:rsid w:val="004F097D"/>
    <w:rsid w:val="004F0B87"/>
    <w:rsid w:val="004F0FAB"/>
    <w:rsid w:val="004F13FD"/>
    <w:rsid w:val="004F1A59"/>
    <w:rsid w:val="004F1AB7"/>
    <w:rsid w:val="004F1AF7"/>
    <w:rsid w:val="004F22ED"/>
    <w:rsid w:val="004F23DB"/>
    <w:rsid w:val="004F2859"/>
    <w:rsid w:val="004F2CB8"/>
    <w:rsid w:val="004F2E95"/>
    <w:rsid w:val="004F35CD"/>
    <w:rsid w:val="004F4236"/>
    <w:rsid w:val="004F4464"/>
    <w:rsid w:val="004F45DB"/>
    <w:rsid w:val="004F45E7"/>
    <w:rsid w:val="004F4CB1"/>
    <w:rsid w:val="004F53B3"/>
    <w:rsid w:val="004F58A8"/>
    <w:rsid w:val="004F6185"/>
    <w:rsid w:val="004F6449"/>
    <w:rsid w:val="004F6677"/>
    <w:rsid w:val="004F6BB6"/>
    <w:rsid w:val="004F6C7A"/>
    <w:rsid w:val="004F7046"/>
    <w:rsid w:val="004F756C"/>
    <w:rsid w:val="004F7C1A"/>
    <w:rsid w:val="004F7D5A"/>
    <w:rsid w:val="004F874C"/>
    <w:rsid w:val="005006DF"/>
    <w:rsid w:val="00500727"/>
    <w:rsid w:val="005008EC"/>
    <w:rsid w:val="005009D5"/>
    <w:rsid w:val="00500AD0"/>
    <w:rsid w:val="00500D10"/>
    <w:rsid w:val="00500FB4"/>
    <w:rsid w:val="00501584"/>
    <w:rsid w:val="005018C8"/>
    <w:rsid w:val="00501C49"/>
    <w:rsid w:val="005021E2"/>
    <w:rsid w:val="0050277C"/>
    <w:rsid w:val="00502924"/>
    <w:rsid w:val="00502AFF"/>
    <w:rsid w:val="00502D3A"/>
    <w:rsid w:val="00503077"/>
    <w:rsid w:val="00503102"/>
    <w:rsid w:val="005034C9"/>
    <w:rsid w:val="005038D3"/>
    <w:rsid w:val="00503926"/>
    <w:rsid w:val="00503FD3"/>
    <w:rsid w:val="0050460A"/>
    <w:rsid w:val="005051D5"/>
    <w:rsid w:val="005051F0"/>
    <w:rsid w:val="00505416"/>
    <w:rsid w:val="00505483"/>
    <w:rsid w:val="00505E28"/>
    <w:rsid w:val="005062A6"/>
    <w:rsid w:val="005066BD"/>
    <w:rsid w:val="00507271"/>
    <w:rsid w:val="0050755F"/>
    <w:rsid w:val="0050785D"/>
    <w:rsid w:val="00510455"/>
    <w:rsid w:val="005104C6"/>
    <w:rsid w:val="00510695"/>
    <w:rsid w:val="00511A14"/>
    <w:rsid w:val="00512216"/>
    <w:rsid w:val="00514314"/>
    <w:rsid w:val="00514513"/>
    <w:rsid w:val="00514631"/>
    <w:rsid w:val="00514664"/>
    <w:rsid w:val="005146D7"/>
    <w:rsid w:val="00514A14"/>
    <w:rsid w:val="00514BB5"/>
    <w:rsid w:val="0051569F"/>
    <w:rsid w:val="00515A32"/>
    <w:rsid w:val="0051619C"/>
    <w:rsid w:val="005161BA"/>
    <w:rsid w:val="00516283"/>
    <w:rsid w:val="00516A01"/>
    <w:rsid w:val="00516AE8"/>
    <w:rsid w:val="00516BA6"/>
    <w:rsid w:val="00516F23"/>
    <w:rsid w:val="0051728C"/>
    <w:rsid w:val="00517696"/>
    <w:rsid w:val="005177C0"/>
    <w:rsid w:val="00517D74"/>
    <w:rsid w:val="00520290"/>
    <w:rsid w:val="005202A4"/>
    <w:rsid w:val="005205D0"/>
    <w:rsid w:val="0052162D"/>
    <w:rsid w:val="00521A3A"/>
    <w:rsid w:val="00521E99"/>
    <w:rsid w:val="005240CF"/>
    <w:rsid w:val="00524296"/>
    <w:rsid w:val="005244BE"/>
    <w:rsid w:val="0052452D"/>
    <w:rsid w:val="00524762"/>
    <w:rsid w:val="00524D6B"/>
    <w:rsid w:val="0052564A"/>
    <w:rsid w:val="005256FA"/>
    <w:rsid w:val="00525762"/>
    <w:rsid w:val="0052603D"/>
    <w:rsid w:val="00527D29"/>
    <w:rsid w:val="00530A03"/>
    <w:rsid w:val="00530A77"/>
    <w:rsid w:val="00530AFC"/>
    <w:rsid w:val="00530FEE"/>
    <w:rsid w:val="005311E4"/>
    <w:rsid w:val="0053184E"/>
    <w:rsid w:val="00531D17"/>
    <w:rsid w:val="00531E74"/>
    <w:rsid w:val="00532B48"/>
    <w:rsid w:val="00533075"/>
    <w:rsid w:val="00533533"/>
    <w:rsid w:val="00533D3D"/>
    <w:rsid w:val="00534FF6"/>
    <w:rsid w:val="00535872"/>
    <w:rsid w:val="00535A2B"/>
    <w:rsid w:val="00535B57"/>
    <w:rsid w:val="005360C1"/>
    <w:rsid w:val="00536149"/>
    <w:rsid w:val="00536312"/>
    <w:rsid w:val="005365CC"/>
    <w:rsid w:val="00536DC2"/>
    <w:rsid w:val="00537772"/>
    <w:rsid w:val="00537B82"/>
    <w:rsid w:val="00540136"/>
    <w:rsid w:val="00540180"/>
    <w:rsid w:val="0054069D"/>
    <w:rsid w:val="00540E24"/>
    <w:rsid w:val="005410A7"/>
    <w:rsid w:val="00541443"/>
    <w:rsid w:val="00541CA9"/>
    <w:rsid w:val="00541E89"/>
    <w:rsid w:val="00541F9D"/>
    <w:rsid w:val="00542445"/>
    <w:rsid w:val="005427F0"/>
    <w:rsid w:val="005439A2"/>
    <w:rsid w:val="00543ECF"/>
    <w:rsid w:val="00544011"/>
    <w:rsid w:val="005443AA"/>
    <w:rsid w:val="00544A3F"/>
    <w:rsid w:val="00544C2D"/>
    <w:rsid w:val="00544CAE"/>
    <w:rsid w:val="005453AA"/>
    <w:rsid w:val="00545601"/>
    <w:rsid w:val="00545A81"/>
    <w:rsid w:val="00545EC0"/>
    <w:rsid w:val="005461CD"/>
    <w:rsid w:val="005471B0"/>
    <w:rsid w:val="0054741C"/>
    <w:rsid w:val="0054785C"/>
    <w:rsid w:val="00547EBE"/>
    <w:rsid w:val="00551756"/>
    <w:rsid w:val="00552477"/>
    <w:rsid w:val="005526EC"/>
    <w:rsid w:val="00552997"/>
    <w:rsid w:val="005535B6"/>
    <w:rsid w:val="005547C8"/>
    <w:rsid w:val="00556632"/>
    <w:rsid w:val="00556B03"/>
    <w:rsid w:val="0055717F"/>
    <w:rsid w:val="0055776F"/>
    <w:rsid w:val="005601FF"/>
    <w:rsid w:val="00560993"/>
    <w:rsid w:val="00560F1A"/>
    <w:rsid w:val="00561119"/>
    <w:rsid w:val="00561540"/>
    <w:rsid w:val="005615A0"/>
    <w:rsid w:val="00561FCB"/>
    <w:rsid w:val="00563A8D"/>
    <w:rsid w:val="00563BF7"/>
    <w:rsid w:val="005642BA"/>
    <w:rsid w:val="0056523E"/>
    <w:rsid w:val="005653E2"/>
    <w:rsid w:val="005658E1"/>
    <w:rsid w:val="005664F0"/>
    <w:rsid w:val="00566C87"/>
    <w:rsid w:val="00567223"/>
    <w:rsid w:val="00567816"/>
    <w:rsid w:val="00567A7C"/>
    <w:rsid w:val="005700F9"/>
    <w:rsid w:val="005701C6"/>
    <w:rsid w:val="00570328"/>
    <w:rsid w:val="005703B5"/>
    <w:rsid w:val="00572272"/>
    <w:rsid w:val="005722CC"/>
    <w:rsid w:val="005725BB"/>
    <w:rsid w:val="0057313E"/>
    <w:rsid w:val="00573DE6"/>
    <w:rsid w:val="00573DEB"/>
    <w:rsid w:val="005740F6"/>
    <w:rsid w:val="0057419F"/>
    <w:rsid w:val="0057444F"/>
    <w:rsid w:val="0057464D"/>
    <w:rsid w:val="00574728"/>
    <w:rsid w:val="00574D31"/>
    <w:rsid w:val="00574F9F"/>
    <w:rsid w:val="00575FF3"/>
    <w:rsid w:val="0057721C"/>
    <w:rsid w:val="0057797B"/>
    <w:rsid w:val="00580083"/>
    <w:rsid w:val="0058060D"/>
    <w:rsid w:val="0058193F"/>
    <w:rsid w:val="00581A8E"/>
    <w:rsid w:val="00581FA7"/>
    <w:rsid w:val="005828D3"/>
    <w:rsid w:val="00582A93"/>
    <w:rsid w:val="00583126"/>
    <w:rsid w:val="00583314"/>
    <w:rsid w:val="00584036"/>
    <w:rsid w:val="0058516A"/>
    <w:rsid w:val="005852DB"/>
    <w:rsid w:val="00585317"/>
    <w:rsid w:val="00585AA6"/>
    <w:rsid w:val="00585C5E"/>
    <w:rsid w:val="00585F64"/>
    <w:rsid w:val="0058624D"/>
    <w:rsid w:val="005868C4"/>
    <w:rsid w:val="00587297"/>
    <w:rsid w:val="005874D9"/>
    <w:rsid w:val="005877CB"/>
    <w:rsid w:val="00587916"/>
    <w:rsid w:val="00587DED"/>
    <w:rsid w:val="0059058E"/>
    <w:rsid w:val="00590809"/>
    <w:rsid w:val="00590909"/>
    <w:rsid w:val="00590A82"/>
    <w:rsid w:val="00591094"/>
    <w:rsid w:val="00591129"/>
    <w:rsid w:val="00591471"/>
    <w:rsid w:val="00591591"/>
    <w:rsid w:val="005916B2"/>
    <w:rsid w:val="005916EB"/>
    <w:rsid w:val="005916FB"/>
    <w:rsid w:val="0059178F"/>
    <w:rsid w:val="0059193A"/>
    <w:rsid w:val="005921CC"/>
    <w:rsid w:val="005929FA"/>
    <w:rsid w:val="0059321A"/>
    <w:rsid w:val="005933EE"/>
    <w:rsid w:val="00593867"/>
    <w:rsid w:val="00593A56"/>
    <w:rsid w:val="00593DDD"/>
    <w:rsid w:val="005941A3"/>
    <w:rsid w:val="00594B2B"/>
    <w:rsid w:val="00594CAA"/>
    <w:rsid w:val="005959BC"/>
    <w:rsid w:val="0059618E"/>
    <w:rsid w:val="005A0B4D"/>
    <w:rsid w:val="005A150A"/>
    <w:rsid w:val="005A1723"/>
    <w:rsid w:val="005A17F8"/>
    <w:rsid w:val="005A1988"/>
    <w:rsid w:val="005A247D"/>
    <w:rsid w:val="005A2F31"/>
    <w:rsid w:val="005A4102"/>
    <w:rsid w:val="005A4B0D"/>
    <w:rsid w:val="005A4F03"/>
    <w:rsid w:val="005A5019"/>
    <w:rsid w:val="005A50FE"/>
    <w:rsid w:val="005A545C"/>
    <w:rsid w:val="005A579E"/>
    <w:rsid w:val="005A5E4C"/>
    <w:rsid w:val="005A6155"/>
    <w:rsid w:val="005A643E"/>
    <w:rsid w:val="005A6A94"/>
    <w:rsid w:val="005A6EEA"/>
    <w:rsid w:val="005A71A4"/>
    <w:rsid w:val="005A732E"/>
    <w:rsid w:val="005A7627"/>
    <w:rsid w:val="005A7A5B"/>
    <w:rsid w:val="005A7C66"/>
    <w:rsid w:val="005A7DDD"/>
    <w:rsid w:val="005B0582"/>
    <w:rsid w:val="005B09D9"/>
    <w:rsid w:val="005B1455"/>
    <w:rsid w:val="005B17E9"/>
    <w:rsid w:val="005B19F8"/>
    <w:rsid w:val="005B1C56"/>
    <w:rsid w:val="005B25EB"/>
    <w:rsid w:val="005B2EB3"/>
    <w:rsid w:val="005B35D3"/>
    <w:rsid w:val="005B3C12"/>
    <w:rsid w:val="005B404C"/>
    <w:rsid w:val="005B4664"/>
    <w:rsid w:val="005B4799"/>
    <w:rsid w:val="005B4EBD"/>
    <w:rsid w:val="005B536F"/>
    <w:rsid w:val="005B588C"/>
    <w:rsid w:val="005B607B"/>
    <w:rsid w:val="005B6BEB"/>
    <w:rsid w:val="005B6CB7"/>
    <w:rsid w:val="005B77EF"/>
    <w:rsid w:val="005B7822"/>
    <w:rsid w:val="005B78B4"/>
    <w:rsid w:val="005B7BC4"/>
    <w:rsid w:val="005B7E50"/>
    <w:rsid w:val="005C0564"/>
    <w:rsid w:val="005C0741"/>
    <w:rsid w:val="005C0F1D"/>
    <w:rsid w:val="005C1525"/>
    <w:rsid w:val="005C1591"/>
    <w:rsid w:val="005C1817"/>
    <w:rsid w:val="005C1B3F"/>
    <w:rsid w:val="005C1BE0"/>
    <w:rsid w:val="005C1D9E"/>
    <w:rsid w:val="005C2977"/>
    <w:rsid w:val="005C2D08"/>
    <w:rsid w:val="005C2D5B"/>
    <w:rsid w:val="005C30C2"/>
    <w:rsid w:val="005C362C"/>
    <w:rsid w:val="005C38D3"/>
    <w:rsid w:val="005C3FB8"/>
    <w:rsid w:val="005C430D"/>
    <w:rsid w:val="005C439A"/>
    <w:rsid w:val="005C520C"/>
    <w:rsid w:val="005C5E2C"/>
    <w:rsid w:val="005C6882"/>
    <w:rsid w:val="005C7315"/>
    <w:rsid w:val="005C77CB"/>
    <w:rsid w:val="005C79F8"/>
    <w:rsid w:val="005C7F0C"/>
    <w:rsid w:val="005D084C"/>
    <w:rsid w:val="005D0B99"/>
    <w:rsid w:val="005D0E82"/>
    <w:rsid w:val="005D0F7C"/>
    <w:rsid w:val="005D101A"/>
    <w:rsid w:val="005D1769"/>
    <w:rsid w:val="005D1AE4"/>
    <w:rsid w:val="005D2C6D"/>
    <w:rsid w:val="005D32F1"/>
    <w:rsid w:val="005D3BCD"/>
    <w:rsid w:val="005D3D5A"/>
    <w:rsid w:val="005D3DE1"/>
    <w:rsid w:val="005D430C"/>
    <w:rsid w:val="005D485A"/>
    <w:rsid w:val="005D4A29"/>
    <w:rsid w:val="005D4D4B"/>
    <w:rsid w:val="005D502E"/>
    <w:rsid w:val="005D5A16"/>
    <w:rsid w:val="005D60A8"/>
    <w:rsid w:val="005D6555"/>
    <w:rsid w:val="005D7639"/>
    <w:rsid w:val="005D7782"/>
    <w:rsid w:val="005D799C"/>
    <w:rsid w:val="005E0936"/>
    <w:rsid w:val="005E09A7"/>
    <w:rsid w:val="005E0E89"/>
    <w:rsid w:val="005E0EA1"/>
    <w:rsid w:val="005E12A2"/>
    <w:rsid w:val="005E130F"/>
    <w:rsid w:val="005E144C"/>
    <w:rsid w:val="005E2FF6"/>
    <w:rsid w:val="005E3641"/>
    <w:rsid w:val="005E4363"/>
    <w:rsid w:val="005E452A"/>
    <w:rsid w:val="005E4F0B"/>
    <w:rsid w:val="005E5033"/>
    <w:rsid w:val="005E5043"/>
    <w:rsid w:val="005E5159"/>
    <w:rsid w:val="005E53E9"/>
    <w:rsid w:val="005E58DF"/>
    <w:rsid w:val="005E5A8A"/>
    <w:rsid w:val="005E5BCA"/>
    <w:rsid w:val="005E663E"/>
    <w:rsid w:val="005E6C5A"/>
    <w:rsid w:val="005E7291"/>
    <w:rsid w:val="005E7A49"/>
    <w:rsid w:val="005F0329"/>
    <w:rsid w:val="005F077A"/>
    <w:rsid w:val="005F0CE9"/>
    <w:rsid w:val="005F0F12"/>
    <w:rsid w:val="005F0F47"/>
    <w:rsid w:val="005F0FB2"/>
    <w:rsid w:val="005F1C1E"/>
    <w:rsid w:val="005F21F1"/>
    <w:rsid w:val="005F27B4"/>
    <w:rsid w:val="005F2E5C"/>
    <w:rsid w:val="005F2FED"/>
    <w:rsid w:val="005F3458"/>
    <w:rsid w:val="005F3A76"/>
    <w:rsid w:val="005F3CF5"/>
    <w:rsid w:val="005F3EA7"/>
    <w:rsid w:val="005F418B"/>
    <w:rsid w:val="005F45A7"/>
    <w:rsid w:val="005F483F"/>
    <w:rsid w:val="005F4C31"/>
    <w:rsid w:val="005F5112"/>
    <w:rsid w:val="005F52C6"/>
    <w:rsid w:val="005F5368"/>
    <w:rsid w:val="005F5CAE"/>
    <w:rsid w:val="005F5D06"/>
    <w:rsid w:val="005F5D29"/>
    <w:rsid w:val="005F74BA"/>
    <w:rsid w:val="005F76E9"/>
    <w:rsid w:val="005F79D9"/>
    <w:rsid w:val="005F7D36"/>
    <w:rsid w:val="00600439"/>
    <w:rsid w:val="00600518"/>
    <w:rsid w:val="006009E3"/>
    <w:rsid w:val="00600DDC"/>
    <w:rsid w:val="00600F63"/>
    <w:rsid w:val="00601185"/>
    <w:rsid w:val="00601261"/>
    <w:rsid w:val="00601C13"/>
    <w:rsid w:val="0060247C"/>
    <w:rsid w:val="006024CD"/>
    <w:rsid w:val="006032CC"/>
    <w:rsid w:val="0060408D"/>
    <w:rsid w:val="0060462C"/>
    <w:rsid w:val="0060462D"/>
    <w:rsid w:val="00604A7D"/>
    <w:rsid w:val="006058A8"/>
    <w:rsid w:val="00605A2E"/>
    <w:rsid w:val="00605B41"/>
    <w:rsid w:val="00606263"/>
    <w:rsid w:val="0060685A"/>
    <w:rsid w:val="006068F3"/>
    <w:rsid w:val="00606F76"/>
    <w:rsid w:val="006076D1"/>
    <w:rsid w:val="00607A28"/>
    <w:rsid w:val="006101CF"/>
    <w:rsid w:val="00610821"/>
    <w:rsid w:val="00610BCE"/>
    <w:rsid w:val="00611F65"/>
    <w:rsid w:val="006121A4"/>
    <w:rsid w:val="00612A37"/>
    <w:rsid w:val="00612B27"/>
    <w:rsid w:val="00612DC7"/>
    <w:rsid w:val="006136A1"/>
    <w:rsid w:val="0061435D"/>
    <w:rsid w:val="00614691"/>
    <w:rsid w:val="006149E3"/>
    <w:rsid w:val="006157B2"/>
    <w:rsid w:val="0061593C"/>
    <w:rsid w:val="00615CAB"/>
    <w:rsid w:val="00616D8E"/>
    <w:rsid w:val="00616E4F"/>
    <w:rsid w:val="00617119"/>
    <w:rsid w:val="00617579"/>
    <w:rsid w:val="00617E4F"/>
    <w:rsid w:val="00617F81"/>
    <w:rsid w:val="00620269"/>
    <w:rsid w:val="0062063E"/>
    <w:rsid w:val="006207DC"/>
    <w:rsid w:val="00621110"/>
    <w:rsid w:val="006212FA"/>
    <w:rsid w:val="00621303"/>
    <w:rsid w:val="00621B0B"/>
    <w:rsid w:val="00621C1E"/>
    <w:rsid w:val="00621ED6"/>
    <w:rsid w:val="006224E8"/>
    <w:rsid w:val="00622F56"/>
    <w:rsid w:val="00623039"/>
    <w:rsid w:val="00623189"/>
    <w:rsid w:val="006236E4"/>
    <w:rsid w:val="006239F5"/>
    <w:rsid w:val="00623DB6"/>
    <w:rsid w:val="006245AA"/>
    <w:rsid w:val="00624B0F"/>
    <w:rsid w:val="006252B6"/>
    <w:rsid w:val="006257FC"/>
    <w:rsid w:val="006258A3"/>
    <w:rsid w:val="00625FED"/>
    <w:rsid w:val="00626440"/>
    <w:rsid w:val="006266F3"/>
    <w:rsid w:val="00626AD8"/>
    <w:rsid w:val="00627334"/>
    <w:rsid w:val="00627810"/>
    <w:rsid w:val="006302C6"/>
    <w:rsid w:val="00630A27"/>
    <w:rsid w:val="00630A3B"/>
    <w:rsid w:val="00630D04"/>
    <w:rsid w:val="0063119C"/>
    <w:rsid w:val="00631798"/>
    <w:rsid w:val="006317F5"/>
    <w:rsid w:val="00631996"/>
    <w:rsid w:val="00631F31"/>
    <w:rsid w:val="00632D57"/>
    <w:rsid w:val="00633500"/>
    <w:rsid w:val="006335BE"/>
    <w:rsid w:val="00633B0E"/>
    <w:rsid w:val="00634919"/>
    <w:rsid w:val="00634F00"/>
    <w:rsid w:val="006351EF"/>
    <w:rsid w:val="006359F3"/>
    <w:rsid w:val="00635EBE"/>
    <w:rsid w:val="00636154"/>
    <w:rsid w:val="00636859"/>
    <w:rsid w:val="0063731F"/>
    <w:rsid w:val="0063768D"/>
    <w:rsid w:val="006376F8"/>
    <w:rsid w:val="00637B34"/>
    <w:rsid w:val="006406AD"/>
    <w:rsid w:val="006406B7"/>
    <w:rsid w:val="006407A9"/>
    <w:rsid w:val="00640AA9"/>
    <w:rsid w:val="00640D4E"/>
    <w:rsid w:val="006410F5"/>
    <w:rsid w:val="00641140"/>
    <w:rsid w:val="006415F1"/>
    <w:rsid w:val="006418AD"/>
    <w:rsid w:val="00641B0A"/>
    <w:rsid w:val="00641D58"/>
    <w:rsid w:val="00641DE1"/>
    <w:rsid w:val="00642241"/>
    <w:rsid w:val="00642BCB"/>
    <w:rsid w:val="00642F71"/>
    <w:rsid w:val="00644884"/>
    <w:rsid w:val="00644E93"/>
    <w:rsid w:val="00645BBE"/>
    <w:rsid w:val="006464F9"/>
    <w:rsid w:val="006466AD"/>
    <w:rsid w:val="00646D8F"/>
    <w:rsid w:val="006478AC"/>
    <w:rsid w:val="00647A48"/>
    <w:rsid w:val="00647EFE"/>
    <w:rsid w:val="00647F54"/>
    <w:rsid w:val="006501BF"/>
    <w:rsid w:val="00650279"/>
    <w:rsid w:val="006505BA"/>
    <w:rsid w:val="00650F23"/>
    <w:rsid w:val="00651760"/>
    <w:rsid w:val="00651790"/>
    <w:rsid w:val="006521CE"/>
    <w:rsid w:val="006523A8"/>
    <w:rsid w:val="0065244F"/>
    <w:rsid w:val="0065259C"/>
    <w:rsid w:val="006526F7"/>
    <w:rsid w:val="0065323C"/>
    <w:rsid w:val="00653829"/>
    <w:rsid w:val="0065559B"/>
    <w:rsid w:val="00655FAD"/>
    <w:rsid w:val="0065642F"/>
    <w:rsid w:val="0065660E"/>
    <w:rsid w:val="006570B0"/>
    <w:rsid w:val="006575A3"/>
    <w:rsid w:val="00657C4D"/>
    <w:rsid w:val="006600B5"/>
    <w:rsid w:val="00660472"/>
    <w:rsid w:val="00660B42"/>
    <w:rsid w:val="00660B5C"/>
    <w:rsid w:val="00660E37"/>
    <w:rsid w:val="00661284"/>
    <w:rsid w:val="0066136B"/>
    <w:rsid w:val="006614C7"/>
    <w:rsid w:val="00661658"/>
    <w:rsid w:val="00661683"/>
    <w:rsid w:val="00661B0C"/>
    <w:rsid w:val="00661DF8"/>
    <w:rsid w:val="006622B5"/>
    <w:rsid w:val="00662555"/>
    <w:rsid w:val="0066289E"/>
    <w:rsid w:val="00663ECB"/>
    <w:rsid w:val="0066428D"/>
    <w:rsid w:val="00664AAE"/>
    <w:rsid w:val="00665124"/>
    <w:rsid w:val="006656FE"/>
    <w:rsid w:val="006667DD"/>
    <w:rsid w:val="00667487"/>
    <w:rsid w:val="0066772E"/>
    <w:rsid w:val="00667ACC"/>
    <w:rsid w:val="00670437"/>
    <w:rsid w:val="00670473"/>
    <w:rsid w:val="00670559"/>
    <w:rsid w:val="00670659"/>
    <w:rsid w:val="00670CFB"/>
    <w:rsid w:val="00670FC4"/>
    <w:rsid w:val="00671CC7"/>
    <w:rsid w:val="00672EE7"/>
    <w:rsid w:val="0067332D"/>
    <w:rsid w:val="006736DB"/>
    <w:rsid w:val="006737D1"/>
    <w:rsid w:val="00673AF1"/>
    <w:rsid w:val="006749B2"/>
    <w:rsid w:val="006751B4"/>
    <w:rsid w:val="00675F3C"/>
    <w:rsid w:val="006760AD"/>
    <w:rsid w:val="00676705"/>
    <w:rsid w:val="00676851"/>
    <w:rsid w:val="006769BF"/>
    <w:rsid w:val="00677003"/>
    <w:rsid w:val="0067728C"/>
    <w:rsid w:val="0067785D"/>
    <w:rsid w:val="00677C06"/>
    <w:rsid w:val="00677EB9"/>
    <w:rsid w:val="00680090"/>
    <w:rsid w:val="006802F6"/>
    <w:rsid w:val="0068096E"/>
    <w:rsid w:val="006816CA"/>
    <w:rsid w:val="00681D21"/>
    <w:rsid w:val="006822BE"/>
    <w:rsid w:val="00682E98"/>
    <w:rsid w:val="00683233"/>
    <w:rsid w:val="006833E4"/>
    <w:rsid w:val="0068398E"/>
    <w:rsid w:val="00684398"/>
    <w:rsid w:val="00684661"/>
    <w:rsid w:val="00684B5A"/>
    <w:rsid w:val="00684DC2"/>
    <w:rsid w:val="00684E89"/>
    <w:rsid w:val="006853FA"/>
    <w:rsid w:val="006857A4"/>
    <w:rsid w:val="00685B5C"/>
    <w:rsid w:val="00685FFA"/>
    <w:rsid w:val="00686016"/>
    <w:rsid w:val="00686276"/>
    <w:rsid w:val="006865BC"/>
    <w:rsid w:val="00686976"/>
    <w:rsid w:val="00686A33"/>
    <w:rsid w:val="00686CAA"/>
    <w:rsid w:val="00687431"/>
    <w:rsid w:val="0069026C"/>
    <w:rsid w:val="006903AE"/>
    <w:rsid w:val="0069058A"/>
    <w:rsid w:val="006905A3"/>
    <w:rsid w:val="00690A26"/>
    <w:rsid w:val="00690AE2"/>
    <w:rsid w:val="00690EF4"/>
    <w:rsid w:val="0069149A"/>
    <w:rsid w:val="00691A8A"/>
    <w:rsid w:val="00692044"/>
    <w:rsid w:val="00692E71"/>
    <w:rsid w:val="00693171"/>
    <w:rsid w:val="00693676"/>
    <w:rsid w:val="006937CF"/>
    <w:rsid w:val="00693E1F"/>
    <w:rsid w:val="00694221"/>
    <w:rsid w:val="0069449E"/>
    <w:rsid w:val="00694628"/>
    <w:rsid w:val="00694673"/>
    <w:rsid w:val="00694A39"/>
    <w:rsid w:val="00694CC6"/>
    <w:rsid w:val="006952EC"/>
    <w:rsid w:val="00695EA8"/>
    <w:rsid w:val="00696365"/>
    <w:rsid w:val="006963E1"/>
    <w:rsid w:val="006968C7"/>
    <w:rsid w:val="00696E91"/>
    <w:rsid w:val="0069750C"/>
    <w:rsid w:val="00697962"/>
    <w:rsid w:val="006A02FC"/>
    <w:rsid w:val="006A07E9"/>
    <w:rsid w:val="006A0A85"/>
    <w:rsid w:val="006A0E02"/>
    <w:rsid w:val="006A0F7C"/>
    <w:rsid w:val="006A0F84"/>
    <w:rsid w:val="006A1247"/>
    <w:rsid w:val="006A1268"/>
    <w:rsid w:val="006A1916"/>
    <w:rsid w:val="006A1E87"/>
    <w:rsid w:val="006A3709"/>
    <w:rsid w:val="006A39A0"/>
    <w:rsid w:val="006A3A36"/>
    <w:rsid w:val="006A3DC7"/>
    <w:rsid w:val="006A3F11"/>
    <w:rsid w:val="006A422F"/>
    <w:rsid w:val="006A4931"/>
    <w:rsid w:val="006A6028"/>
    <w:rsid w:val="006A61EB"/>
    <w:rsid w:val="006A6416"/>
    <w:rsid w:val="006A64A5"/>
    <w:rsid w:val="006A69E7"/>
    <w:rsid w:val="006A7B3A"/>
    <w:rsid w:val="006A7C8B"/>
    <w:rsid w:val="006B00FC"/>
    <w:rsid w:val="006B037D"/>
    <w:rsid w:val="006B19F1"/>
    <w:rsid w:val="006B1ADE"/>
    <w:rsid w:val="006B1D10"/>
    <w:rsid w:val="006B2327"/>
    <w:rsid w:val="006B2A74"/>
    <w:rsid w:val="006B2BED"/>
    <w:rsid w:val="006B2EDE"/>
    <w:rsid w:val="006B37DB"/>
    <w:rsid w:val="006B4413"/>
    <w:rsid w:val="006B474A"/>
    <w:rsid w:val="006B48B2"/>
    <w:rsid w:val="006B5DAF"/>
    <w:rsid w:val="006B6278"/>
    <w:rsid w:val="006B6376"/>
    <w:rsid w:val="006B6481"/>
    <w:rsid w:val="006B6688"/>
    <w:rsid w:val="006B668D"/>
    <w:rsid w:val="006B67AA"/>
    <w:rsid w:val="006B68BC"/>
    <w:rsid w:val="006B69B2"/>
    <w:rsid w:val="006B6B3C"/>
    <w:rsid w:val="006B6C7F"/>
    <w:rsid w:val="006B71E5"/>
    <w:rsid w:val="006B7637"/>
    <w:rsid w:val="006B7974"/>
    <w:rsid w:val="006C0383"/>
    <w:rsid w:val="006C061A"/>
    <w:rsid w:val="006C06DD"/>
    <w:rsid w:val="006C1576"/>
    <w:rsid w:val="006C1A45"/>
    <w:rsid w:val="006C1E2A"/>
    <w:rsid w:val="006C2179"/>
    <w:rsid w:val="006C2E83"/>
    <w:rsid w:val="006C2ECF"/>
    <w:rsid w:val="006C301F"/>
    <w:rsid w:val="006C42CC"/>
    <w:rsid w:val="006C49ED"/>
    <w:rsid w:val="006C4AE9"/>
    <w:rsid w:val="006C4CB5"/>
    <w:rsid w:val="006C506A"/>
    <w:rsid w:val="006C54F8"/>
    <w:rsid w:val="006C7B92"/>
    <w:rsid w:val="006D0068"/>
    <w:rsid w:val="006D03AF"/>
    <w:rsid w:val="006D0618"/>
    <w:rsid w:val="006D06C4"/>
    <w:rsid w:val="006D0CD6"/>
    <w:rsid w:val="006D1214"/>
    <w:rsid w:val="006D140C"/>
    <w:rsid w:val="006D159D"/>
    <w:rsid w:val="006D167D"/>
    <w:rsid w:val="006D20CA"/>
    <w:rsid w:val="006D313A"/>
    <w:rsid w:val="006D375C"/>
    <w:rsid w:val="006D39B9"/>
    <w:rsid w:val="006D3A2F"/>
    <w:rsid w:val="006D3E74"/>
    <w:rsid w:val="006D4652"/>
    <w:rsid w:val="006D4B07"/>
    <w:rsid w:val="006D4B71"/>
    <w:rsid w:val="006D5423"/>
    <w:rsid w:val="006D5867"/>
    <w:rsid w:val="006D6558"/>
    <w:rsid w:val="006D65DC"/>
    <w:rsid w:val="006D68DD"/>
    <w:rsid w:val="006D701C"/>
    <w:rsid w:val="006D715A"/>
    <w:rsid w:val="006D722C"/>
    <w:rsid w:val="006E04AB"/>
    <w:rsid w:val="006E08F5"/>
    <w:rsid w:val="006E105E"/>
    <w:rsid w:val="006E1312"/>
    <w:rsid w:val="006E14B0"/>
    <w:rsid w:val="006E1596"/>
    <w:rsid w:val="006E1E4E"/>
    <w:rsid w:val="006E288D"/>
    <w:rsid w:val="006E3814"/>
    <w:rsid w:val="006E38DB"/>
    <w:rsid w:val="006E3A9E"/>
    <w:rsid w:val="006E590A"/>
    <w:rsid w:val="006E6279"/>
    <w:rsid w:val="006E663C"/>
    <w:rsid w:val="006E6663"/>
    <w:rsid w:val="006E68BE"/>
    <w:rsid w:val="006E72E2"/>
    <w:rsid w:val="006E7844"/>
    <w:rsid w:val="006E7ACA"/>
    <w:rsid w:val="006E7DA5"/>
    <w:rsid w:val="006E7F41"/>
    <w:rsid w:val="006F05C2"/>
    <w:rsid w:val="006F0979"/>
    <w:rsid w:val="006F12A0"/>
    <w:rsid w:val="006F14DA"/>
    <w:rsid w:val="006F15B5"/>
    <w:rsid w:val="006F17E2"/>
    <w:rsid w:val="006F18A5"/>
    <w:rsid w:val="006F1ADD"/>
    <w:rsid w:val="006F1D3D"/>
    <w:rsid w:val="006F1E2F"/>
    <w:rsid w:val="006F1EFD"/>
    <w:rsid w:val="006F1F8D"/>
    <w:rsid w:val="006F212D"/>
    <w:rsid w:val="006F2BC9"/>
    <w:rsid w:val="006F2C3E"/>
    <w:rsid w:val="006F2D06"/>
    <w:rsid w:val="006F2F59"/>
    <w:rsid w:val="006F3CBB"/>
    <w:rsid w:val="006F3E0C"/>
    <w:rsid w:val="006F4194"/>
    <w:rsid w:val="006F45A0"/>
    <w:rsid w:val="006F4D2B"/>
    <w:rsid w:val="006F4DDD"/>
    <w:rsid w:val="006F5C4B"/>
    <w:rsid w:val="006F623D"/>
    <w:rsid w:val="006F6CCA"/>
    <w:rsid w:val="006F704A"/>
    <w:rsid w:val="006F7D89"/>
    <w:rsid w:val="006F7E46"/>
    <w:rsid w:val="007013A5"/>
    <w:rsid w:val="00701595"/>
    <w:rsid w:val="00701BE5"/>
    <w:rsid w:val="00702503"/>
    <w:rsid w:val="0070251A"/>
    <w:rsid w:val="00702C97"/>
    <w:rsid w:val="00702DB9"/>
    <w:rsid w:val="00703322"/>
    <w:rsid w:val="00703665"/>
    <w:rsid w:val="00704BC9"/>
    <w:rsid w:val="0070537D"/>
    <w:rsid w:val="007054DF"/>
    <w:rsid w:val="00705C28"/>
    <w:rsid w:val="00705D63"/>
    <w:rsid w:val="0070664D"/>
    <w:rsid w:val="0070670E"/>
    <w:rsid w:val="007069A1"/>
    <w:rsid w:val="00706A05"/>
    <w:rsid w:val="007101A7"/>
    <w:rsid w:val="00710443"/>
    <w:rsid w:val="00711948"/>
    <w:rsid w:val="00711D3F"/>
    <w:rsid w:val="00711E6B"/>
    <w:rsid w:val="007121CB"/>
    <w:rsid w:val="00713B11"/>
    <w:rsid w:val="00714855"/>
    <w:rsid w:val="00714BCA"/>
    <w:rsid w:val="00714EBB"/>
    <w:rsid w:val="00714F95"/>
    <w:rsid w:val="00714F98"/>
    <w:rsid w:val="007153E0"/>
    <w:rsid w:val="007154BA"/>
    <w:rsid w:val="00715595"/>
    <w:rsid w:val="00715A75"/>
    <w:rsid w:val="00715CF0"/>
    <w:rsid w:val="00715DEB"/>
    <w:rsid w:val="00715EBE"/>
    <w:rsid w:val="007166B1"/>
    <w:rsid w:val="00716FC1"/>
    <w:rsid w:val="00717CC1"/>
    <w:rsid w:val="00720548"/>
    <w:rsid w:val="00720ABA"/>
    <w:rsid w:val="00721164"/>
    <w:rsid w:val="00721969"/>
    <w:rsid w:val="00721E2A"/>
    <w:rsid w:val="00721EEA"/>
    <w:rsid w:val="007223F0"/>
    <w:rsid w:val="00722AF7"/>
    <w:rsid w:val="00722BA2"/>
    <w:rsid w:val="00722D2B"/>
    <w:rsid w:val="00722D6F"/>
    <w:rsid w:val="00723102"/>
    <w:rsid w:val="00724337"/>
    <w:rsid w:val="00724D2F"/>
    <w:rsid w:val="00724D63"/>
    <w:rsid w:val="00724F0D"/>
    <w:rsid w:val="00724FC6"/>
    <w:rsid w:val="00725ABB"/>
    <w:rsid w:val="00725D0E"/>
    <w:rsid w:val="0072695B"/>
    <w:rsid w:val="00726A4A"/>
    <w:rsid w:val="00726A66"/>
    <w:rsid w:val="007271E1"/>
    <w:rsid w:val="00727611"/>
    <w:rsid w:val="00727D77"/>
    <w:rsid w:val="00730224"/>
    <w:rsid w:val="00730D33"/>
    <w:rsid w:val="007316BA"/>
    <w:rsid w:val="00731B18"/>
    <w:rsid w:val="00731B95"/>
    <w:rsid w:val="00731DDB"/>
    <w:rsid w:val="00731DF4"/>
    <w:rsid w:val="00731E19"/>
    <w:rsid w:val="007320B4"/>
    <w:rsid w:val="00732454"/>
    <w:rsid w:val="007324DE"/>
    <w:rsid w:val="00733263"/>
    <w:rsid w:val="007335B9"/>
    <w:rsid w:val="00733D5C"/>
    <w:rsid w:val="007344E1"/>
    <w:rsid w:val="00734D1F"/>
    <w:rsid w:val="00734F67"/>
    <w:rsid w:val="0073582F"/>
    <w:rsid w:val="00735BA1"/>
    <w:rsid w:val="00735E4D"/>
    <w:rsid w:val="00736019"/>
    <w:rsid w:val="0073606B"/>
    <w:rsid w:val="00736853"/>
    <w:rsid w:val="00736932"/>
    <w:rsid w:val="00736C2C"/>
    <w:rsid w:val="00740542"/>
    <w:rsid w:val="0074230D"/>
    <w:rsid w:val="007425C3"/>
    <w:rsid w:val="007429BD"/>
    <w:rsid w:val="00742BC7"/>
    <w:rsid w:val="007430AE"/>
    <w:rsid w:val="00743114"/>
    <w:rsid w:val="0074382B"/>
    <w:rsid w:val="00744169"/>
    <w:rsid w:val="0074457C"/>
    <w:rsid w:val="007448EF"/>
    <w:rsid w:val="00744D77"/>
    <w:rsid w:val="00745207"/>
    <w:rsid w:val="007457E2"/>
    <w:rsid w:val="00745C55"/>
    <w:rsid w:val="00746781"/>
    <w:rsid w:val="00746DE5"/>
    <w:rsid w:val="0074767B"/>
    <w:rsid w:val="0074E9FA"/>
    <w:rsid w:val="00750136"/>
    <w:rsid w:val="007508B7"/>
    <w:rsid w:val="00750D30"/>
    <w:rsid w:val="00751630"/>
    <w:rsid w:val="00751AE0"/>
    <w:rsid w:val="00751F47"/>
    <w:rsid w:val="00752087"/>
    <w:rsid w:val="00752C8A"/>
    <w:rsid w:val="00753035"/>
    <w:rsid w:val="00753999"/>
    <w:rsid w:val="00753F2A"/>
    <w:rsid w:val="0075530E"/>
    <w:rsid w:val="00755F41"/>
    <w:rsid w:val="0075658B"/>
    <w:rsid w:val="0075742E"/>
    <w:rsid w:val="0075778C"/>
    <w:rsid w:val="00757C09"/>
    <w:rsid w:val="00757E5F"/>
    <w:rsid w:val="0076018F"/>
    <w:rsid w:val="00760710"/>
    <w:rsid w:val="00760967"/>
    <w:rsid w:val="00760F6A"/>
    <w:rsid w:val="007611F4"/>
    <w:rsid w:val="00761291"/>
    <w:rsid w:val="00761527"/>
    <w:rsid w:val="007617CE"/>
    <w:rsid w:val="007619FB"/>
    <w:rsid w:val="00761AC7"/>
    <w:rsid w:val="007626FC"/>
    <w:rsid w:val="00762E2C"/>
    <w:rsid w:val="0076321D"/>
    <w:rsid w:val="00763604"/>
    <w:rsid w:val="007636A2"/>
    <w:rsid w:val="00764010"/>
    <w:rsid w:val="00764056"/>
    <w:rsid w:val="0076456F"/>
    <w:rsid w:val="00764920"/>
    <w:rsid w:val="00764A76"/>
    <w:rsid w:val="00764C10"/>
    <w:rsid w:val="00765CF1"/>
    <w:rsid w:val="00765D81"/>
    <w:rsid w:val="00765DFE"/>
    <w:rsid w:val="007663CD"/>
    <w:rsid w:val="00766411"/>
    <w:rsid w:val="00766549"/>
    <w:rsid w:val="0076683C"/>
    <w:rsid w:val="007668FB"/>
    <w:rsid w:val="00766AF9"/>
    <w:rsid w:val="00766BB2"/>
    <w:rsid w:val="00766FA1"/>
    <w:rsid w:val="00770055"/>
    <w:rsid w:val="00771543"/>
    <w:rsid w:val="0077198E"/>
    <w:rsid w:val="00771A1D"/>
    <w:rsid w:val="00771DF7"/>
    <w:rsid w:val="00772030"/>
    <w:rsid w:val="00772CB8"/>
    <w:rsid w:val="007732C6"/>
    <w:rsid w:val="00773B8D"/>
    <w:rsid w:val="00773FB1"/>
    <w:rsid w:val="0077444C"/>
    <w:rsid w:val="0077487F"/>
    <w:rsid w:val="00774C90"/>
    <w:rsid w:val="007756EE"/>
    <w:rsid w:val="00775710"/>
    <w:rsid w:val="00775757"/>
    <w:rsid w:val="00776615"/>
    <w:rsid w:val="0077688B"/>
    <w:rsid w:val="00776C3C"/>
    <w:rsid w:val="0077732D"/>
    <w:rsid w:val="00778C4F"/>
    <w:rsid w:val="00780C0A"/>
    <w:rsid w:val="007810A6"/>
    <w:rsid w:val="00781107"/>
    <w:rsid w:val="00781C53"/>
    <w:rsid w:val="00781D6A"/>
    <w:rsid w:val="0078218C"/>
    <w:rsid w:val="007824F8"/>
    <w:rsid w:val="007836A1"/>
    <w:rsid w:val="007836CA"/>
    <w:rsid w:val="00783C53"/>
    <w:rsid w:val="00783E7E"/>
    <w:rsid w:val="007840E5"/>
    <w:rsid w:val="007857D5"/>
    <w:rsid w:val="007857FB"/>
    <w:rsid w:val="00785B93"/>
    <w:rsid w:val="00785C76"/>
    <w:rsid w:val="00786989"/>
    <w:rsid w:val="00786DE5"/>
    <w:rsid w:val="00787088"/>
    <w:rsid w:val="0078710E"/>
    <w:rsid w:val="00787845"/>
    <w:rsid w:val="00787A57"/>
    <w:rsid w:val="00787CCB"/>
    <w:rsid w:val="00790058"/>
    <w:rsid w:val="007909FD"/>
    <w:rsid w:val="007911D8"/>
    <w:rsid w:val="007918C7"/>
    <w:rsid w:val="00791CA0"/>
    <w:rsid w:val="00791D4B"/>
    <w:rsid w:val="00792CD4"/>
    <w:rsid w:val="00793342"/>
    <w:rsid w:val="00794413"/>
    <w:rsid w:val="0079453D"/>
    <w:rsid w:val="007951C7"/>
    <w:rsid w:val="007958BF"/>
    <w:rsid w:val="00795957"/>
    <w:rsid w:val="00795EA5"/>
    <w:rsid w:val="00795F35"/>
    <w:rsid w:val="00796099"/>
    <w:rsid w:val="00796BD2"/>
    <w:rsid w:val="00796D66"/>
    <w:rsid w:val="0079717E"/>
    <w:rsid w:val="00797ACA"/>
    <w:rsid w:val="00797AFA"/>
    <w:rsid w:val="00797D16"/>
    <w:rsid w:val="007A117C"/>
    <w:rsid w:val="007A1377"/>
    <w:rsid w:val="007A13C3"/>
    <w:rsid w:val="007A1C69"/>
    <w:rsid w:val="007A2040"/>
    <w:rsid w:val="007A204E"/>
    <w:rsid w:val="007A2B24"/>
    <w:rsid w:val="007A2CA8"/>
    <w:rsid w:val="007A2F36"/>
    <w:rsid w:val="007A2F3E"/>
    <w:rsid w:val="007A2FF3"/>
    <w:rsid w:val="007A35CF"/>
    <w:rsid w:val="007A3BF2"/>
    <w:rsid w:val="007A3E26"/>
    <w:rsid w:val="007A3F82"/>
    <w:rsid w:val="007A45D7"/>
    <w:rsid w:val="007A4CAA"/>
    <w:rsid w:val="007A540A"/>
    <w:rsid w:val="007A5641"/>
    <w:rsid w:val="007A59DA"/>
    <w:rsid w:val="007A61F2"/>
    <w:rsid w:val="007A6DAC"/>
    <w:rsid w:val="007A77CD"/>
    <w:rsid w:val="007B0291"/>
    <w:rsid w:val="007B031F"/>
    <w:rsid w:val="007B0F0B"/>
    <w:rsid w:val="007B1970"/>
    <w:rsid w:val="007B2014"/>
    <w:rsid w:val="007B25BD"/>
    <w:rsid w:val="007B27BA"/>
    <w:rsid w:val="007B2E0B"/>
    <w:rsid w:val="007B36C7"/>
    <w:rsid w:val="007B3EC6"/>
    <w:rsid w:val="007B4824"/>
    <w:rsid w:val="007B4CB4"/>
    <w:rsid w:val="007B4DB8"/>
    <w:rsid w:val="007B538A"/>
    <w:rsid w:val="007B66AA"/>
    <w:rsid w:val="007B6E7D"/>
    <w:rsid w:val="007B6FFE"/>
    <w:rsid w:val="007B72B6"/>
    <w:rsid w:val="007B73AE"/>
    <w:rsid w:val="007B7FE5"/>
    <w:rsid w:val="007C0071"/>
    <w:rsid w:val="007C00C4"/>
    <w:rsid w:val="007C056B"/>
    <w:rsid w:val="007C0C5C"/>
    <w:rsid w:val="007C1B6B"/>
    <w:rsid w:val="007C1F8D"/>
    <w:rsid w:val="007C20CA"/>
    <w:rsid w:val="007C211F"/>
    <w:rsid w:val="007C2281"/>
    <w:rsid w:val="007C22FE"/>
    <w:rsid w:val="007C2631"/>
    <w:rsid w:val="007C26C2"/>
    <w:rsid w:val="007C2968"/>
    <w:rsid w:val="007C2D6F"/>
    <w:rsid w:val="007C2DA7"/>
    <w:rsid w:val="007C347C"/>
    <w:rsid w:val="007C3669"/>
    <w:rsid w:val="007C3B90"/>
    <w:rsid w:val="007C41C9"/>
    <w:rsid w:val="007C435C"/>
    <w:rsid w:val="007C479B"/>
    <w:rsid w:val="007C47D8"/>
    <w:rsid w:val="007C49C5"/>
    <w:rsid w:val="007C4CB8"/>
    <w:rsid w:val="007C4CD9"/>
    <w:rsid w:val="007C4FEF"/>
    <w:rsid w:val="007C510E"/>
    <w:rsid w:val="007C5753"/>
    <w:rsid w:val="007C58B7"/>
    <w:rsid w:val="007C5900"/>
    <w:rsid w:val="007C593D"/>
    <w:rsid w:val="007C5986"/>
    <w:rsid w:val="007C5D69"/>
    <w:rsid w:val="007C6030"/>
    <w:rsid w:val="007C62E7"/>
    <w:rsid w:val="007C66A8"/>
    <w:rsid w:val="007C6CEC"/>
    <w:rsid w:val="007C7299"/>
    <w:rsid w:val="007C7B99"/>
    <w:rsid w:val="007C7D98"/>
    <w:rsid w:val="007C7FD4"/>
    <w:rsid w:val="007D0694"/>
    <w:rsid w:val="007D07CD"/>
    <w:rsid w:val="007D0AF8"/>
    <w:rsid w:val="007D0FEC"/>
    <w:rsid w:val="007D1058"/>
    <w:rsid w:val="007D137F"/>
    <w:rsid w:val="007D17A7"/>
    <w:rsid w:val="007D1864"/>
    <w:rsid w:val="007D1CB8"/>
    <w:rsid w:val="007D26D3"/>
    <w:rsid w:val="007D3153"/>
    <w:rsid w:val="007D32BB"/>
    <w:rsid w:val="007D3E4E"/>
    <w:rsid w:val="007D42E9"/>
    <w:rsid w:val="007D445C"/>
    <w:rsid w:val="007D4A05"/>
    <w:rsid w:val="007D4F92"/>
    <w:rsid w:val="007D5A0E"/>
    <w:rsid w:val="007D6588"/>
    <w:rsid w:val="007D6C3F"/>
    <w:rsid w:val="007E090E"/>
    <w:rsid w:val="007E1470"/>
    <w:rsid w:val="007E2939"/>
    <w:rsid w:val="007E2C00"/>
    <w:rsid w:val="007E35E2"/>
    <w:rsid w:val="007E4612"/>
    <w:rsid w:val="007E4CA6"/>
    <w:rsid w:val="007E56FF"/>
    <w:rsid w:val="007E60BC"/>
    <w:rsid w:val="007E61EA"/>
    <w:rsid w:val="007E636D"/>
    <w:rsid w:val="007E6B30"/>
    <w:rsid w:val="007E707F"/>
    <w:rsid w:val="007E76FE"/>
    <w:rsid w:val="007E7F4A"/>
    <w:rsid w:val="007EE162"/>
    <w:rsid w:val="007F1A16"/>
    <w:rsid w:val="007F21A5"/>
    <w:rsid w:val="007F24BE"/>
    <w:rsid w:val="007F24C3"/>
    <w:rsid w:val="007F2654"/>
    <w:rsid w:val="007F28E9"/>
    <w:rsid w:val="007F312E"/>
    <w:rsid w:val="007F3705"/>
    <w:rsid w:val="007F377B"/>
    <w:rsid w:val="007F3805"/>
    <w:rsid w:val="007F3F69"/>
    <w:rsid w:val="007F4048"/>
    <w:rsid w:val="007F4377"/>
    <w:rsid w:val="007F465E"/>
    <w:rsid w:val="007F4909"/>
    <w:rsid w:val="007F4D8A"/>
    <w:rsid w:val="007F4EA3"/>
    <w:rsid w:val="007F4F44"/>
    <w:rsid w:val="007F524F"/>
    <w:rsid w:val="007F5339"/>
    <w:rsid w:val="007F533C"/>
    <w:rsid w:val="007F5418"/>
    <w:rsid w:val="007F583B"/>
    <w:rsid w:val="007F5B89"/>
    <w:rsid w:val="007F6548"/>
    <w:rsid w:val="007F65C0"/>
    <w:rsid w:val="007F665A"/>
    <w:rsid w:val="007F670B"/>
    <w:rsid w:val="007F6849"/>
    <w:rsid w:val="007F6B8C"/>
    <w:rsid w:val="007F7E95"/>
    <w:rsid w:val="007F7FDC"/>
    <w:rsid w:val="008007FF"/>
    <w:rsid w:val="00800ED8"/>
    <w:rsid w:val="00801433"/>
    <w:rsid w:val="00801805"/>
    <w:rsid w:val="00801C80"/>
    <w:rsid w:val="00801E7F"/>
    <w:rsid w:val="00801F7A"/>
    <w:rsid w:val="00801FDA"/>
    <w:rsid w:val="00802152"/>
    <w:rsid w:val="0080244D"/>
    <w:rsid w:val="00802534"/>
    <w:rsid w:val="0080290B"/>
    <w:rsid w:val="008037F9"/>
    <w:rsid w:val="00803ABA"/>
    <w:rsid w:val="00803EDC"/>
    <w:rsid w:val="008043D9"/>
    <w:rsid w:val="008043F7"/>
    <w:rsid w:val="0080463C"/>
    <w:rsid w:val="00804809"/>
    <w:rsid w:val="00805298"/>
    <w:rsid w:val="008052A2"/>
    <w:rsid w:val="00805768"/>
    <w:rsid w:val="00805A70"/>
    <w:rsid w:val="00806377"/>
    <w:rsid w:val="008065F4"/>
    <w:rsid w:val="00806607"/>
    <w:rsid w:val="0080700B"/>
    <w:rsid w:val="0080747C"/>
    <w:rsid w:val="008101EC"/>
    <w:rsid w:val="00810239"/>
    <w:rsid w:val="008109D2"/>
    <w:rsid w:val="00810A57"/>
    <w:rsid w:val="0081134C"/>
    <w:rsid w:val="008115EC"/>
    <w:rsid w:val="00811E08"/>
    <w:rsid w:val="0081323C"/>
    <w:rsid w:val="0081377B"/>
    <w:rsid w:val="0081407C"/>
    <w:rsid w:val="00814336"/>
    <w:rsid w:val="008153B6"/>
    <w:rsid w:val="008157C3"/>
    <w:rsid w:val="00816D25"/>
    <w:rsid w:val="008171BA"/>
    <w:rsid w:val="0081724C"/>
    <w:rsid w:val="008175AD"/>
    <w:rsid w:val="008203E7"/>
    <w:rsid w:val="00820970"/>
    <w:rsid w:val="00820A5C"/>
    <w:rsid w:val="00821040"/>
    <w:rsid w:val="00821071"/>
    <w:rsid w:val="00821B49"/>
    <w:rsid w:val="00822113"/>
    <w:rsid w:val="008221E7"/>
    <w:rsid w:val="0082295A"/>
    <w:rsid w:val="00823261"/>
    <w:rsid w:val="00823306"/>
    <w:rsid w:val="008235A1"/>
    <w:rsid w:val="0082377A"/>
    <w:rsid w:val="0082440C"/>
    <w:rsid w:val="00824681"/>
    <w:rsid w:val="008246A3"/>
    <w:rsid w:val="00824C26"/>
    <w:rsid w:val="00824D4D"/>
    <w:rsid w:val="008250D8"/>
    <w:rsid w:val="00825642"/>
    <w:rsid w:val="00825B82"/>
    <w:rsid w:val="008265BE"/>
    <w:rsid w:val="00826816"/>
    <w:rsid w:val="00827381"/>
    <w:rsid w:val="00827429"/>
    <w:rsid w:val="0082754F"/>
    <w:rsid w:val="00827692"/>
    <w:rsid w:val="00827948"/>
    <w:rsid w:val="00827A99"/>
    <w:rsid w:val="00827E58"/>
    <w:rsid w:val="0083067B"/>
    <w:rsid w:val="00830C04"/>
    <w:rsid w:val="00830F2F"/>
    <w:rsid w:val="00831127"/>
    <w:rsid w:val="0083135F"/>
    <w:rsid w:val="008315FF"/>
    <w:rsid w:val="0083160B"/>
    <w:rsid w:val="00831F78"/>
    <w:rsid w:val="00832EA9"/>
    <w:rsid w:val="008335BC"/>
    <w:rsid w:val="008339E9"/>
    <w:rsid w:val="008340A3"/>
    <w:rsid w:val="0083416E"/>
    <w:rsid w:val="0083471B"/>
    <w:rsid w:val="00835137"/>
    <w:rsid w:val="008351F7"/>
    <w:rsid w:val="008353E9"/>
    <w:rsid w:val="008354CE"/>
    <w:rsid w:val="00836601"/>
    <w:rsid w:val="00836F8D"/>
    <w:rsid w:val="00836FF6"/>
    <w:rsid w:val="00837069"/>
    <w:rsid w:val="0083734A"/>
    <w:rsid w:val="00837479"/>
    <w:rsid w:val="00837498"/>
    <w:rsid w:val="0083753B"/>
    <w:rsid w:val="0083795D"/>
    <w:rsid w:val="0083799A"/>
    <w:rsid w:val="00837BDB"/>
    <w:rsid w:val="00837DF5"/>
    <w:rsid w:val="00840B4A"/>
    <w:rsid w:val="00840CF7"/>
    <w:rsid w:val="00840FBA"/>
    <w:rsid w:val="00841A96"/>
    <w:rsid w:val="00842287"/>
    <w:rsid w:val="00842878"/>
    <w:rsid w:val="008431BC"/>
    <w:rsid w:val="0084370F"/>
    <w:rsid w:val="00843982"/>
    <w:rsid w:val="00843EC2"/>
    <w:rsid w:val="0084437D"/>
    <w:rsid w:val="00845386"/>
    <w:rsid w:val="00845B4B"/>
    <w:rsid w:val="00845C28"/>
    <w:rsid w:val="00845C91"/>
    <w:rsid w:val="0084604E"/>
    <w:rsid w:val="00846BF2"/>
    <w:rsid w:val="008470F3"/>
    <w:rsid w:val="008472CB"/>
    <w:rsid w:val="00847320"/>
    <w:rsid w:val="0084742B"/>
    <w:rsid w:val="008477A8"/>
    <w:rsid w:val="00850120"/>
    <w:rsid w:val="00850155"/>
    <w:rsid w:val="0085016A"/>
    <w:rsid w:val="00850223"/>
    <w:rsid w:val="00850297"/>
    <w:rsid w:val="008503A5"/>
    <w:rsid w:val="008510D4"/>
    <w:rsid w:val="008525EA"/>
    <w:rsid w:val="008532A7"/>
    <w:rsid w:val="00853852"/>
    <w:rsid w:val="00853CA3"/>
    <w:rsid w:val="008543CC"/>
    <w:rsid w:val="00854BEF"/>
    <w:rsid w:val="00855058"/>
    <w:rsid w:val="008552F7"/>
    <w:rsid w:val="008567B5"/>
    <w:rsid w:val="00856A94"/>
    <w:rsid w:val="00856DAF"/>
    <w:rsid w:val="00856ED8"/>
    <w:rsid w:val="00857C20"/>
    <w:rsid w:val="00857FFA"/>
    <w:rsid w:val="008601BA"/>
    <w:rsid w:val="00860558"/>
    <w:rsid w:val="00860650"/>
    <w:rsid w:val="008608A2"/>
    <w:rsid w:val="008608B4"/>
    <w:rsid w:val="008610F2"/>
    <w:rsid w:val="0086114F"/>
    <w:rsid w:val="00861D9D"/>
    <w:rsid w:val="00861FBD"/>
    <w:rsid w:val="008620D6"/>
    <w:rsid w:val="008621D8"/>
    <w:rsid w:val="008624E7"/>
    <w:rsid w:val="0086337A"/>
    <w:rsid w:val="008633A8"/>
    <w:rsid w:val="00863463"/>
    <w:rsid w:val="0086439D"/>
    <w:rsid w:val="0086440A"/>
    <w:rsid w:val="008646B8"/>
    <w:rsid w:val="00864B1B"/>
    <w:rsid w:val="00865BEF"/>
    <w:rsid w:val="008665C9"/>
    <w:rsid w:val="00866AC4"/>
    <w:rsid w:val="00867158"/>
    <w:rsid w:val="008671F4"/>
    <w:rsid w:val="00867527"/>
    <w:rsid w:val="0086792D"/>
    <w:rsid w:val="008679FF"/>
    <w:rsid w:val="00867AB4"/>
    <w:rsid w:val="00867AFD"/>
    <w:rsid w:val="0087006C"/>
    <w:rsid w:val="00870418"/>
    <w:rsid w:val="008709E2"/>
    <w:rsid w:val="00871031"/>
    <w:rsid w:val="00871324"/>
    <w:rsid w:val="0087145A"/>
    <w:rsid w:val="00872414"/>
    <w:rsid w:val="00872863"/>
    <w:rsid w:val="008728E5"/>
    <w:rsid w:val="0087360A"/>
    <w:rsid w:val="008736FD"/>
    <w:rsid w:val="0087435E"/>
    <w:rsid w:val="008745D5"/>
    <w:rsid w:val="00874EE4"/>
    <w:rsid w:val="00875330"/>
    <w:rsid w:val="00875335"/>
    <w:rsid w:val="008757A7"/>
    <w:rsid w:val="008759BA"/>
    <w:rsid w:val="00875D15"/>
    <w:rsid w:val="00875E98"/>
    <w:rsid w:val="00875F29"/>
    <w:rsid w:val="00876E4F"/>
    <w:rsid w:val="00876F03"/>
    <w:rsid w:val="00876FDE"/>
    <w:rsid w:val="0087716F"/>
    <w:rsid w:val="008775D8"/>
    <w:rsid w:val="0087777F"/>
    <w:rsid w:val="008778BF"/>
    <w:rsid w:val="00877A72"/>
    <w:rsid w:val="00877C3A"/>
    <w:rsid w:val="00877EDE"/>
    <w:rsid w:val="008803A6"/>
    <w:rsid w:val="00880A63"/>
    <w:rsid w:val="00882261"/>
    <w:rsid w:val="008827C3"/>
    <w:rsid w:val="00883566"/>
    <w:rsid w:val="008835D2"/>
    <w:rsid w:val="00884601"/>
    <w:rsid w:val="008854DA"/>
    <w:rsid w:val="008855E5"/>
    <w:rsid w:val="00885975"/>
    <w:rsid w:val="008861B2"/>
    <w:rsid w:val="00886C0F"/>
    <w:rsid w:val="008903BC"/>
    <w:rsid w:val="0089046F"/>
    <w:rsid w:val="00890522"/>
    <w:rsid w:val="0089102B"/>
    <w:rsid w:val="0089104D"/>
    <w:rsid w:val="008912BC"/>
    <w:rsid w:val="00891429"/>
    <w:rsid w:val="008914D1"/>
    <w:rsid w:val="00891797"/>
    <w:rsid w:val="0089208D"/>
    <w:rsid w:val="00892B97"/>
    <w:rsid w:val="008930A1"/>
    <w:rsid w:val="008936D9"/>
    <w:rsid w:val="008943C9"/>
    <w:rsid w:val="0089443B"/>
    <w:rsid w:val="00894CE4"/>
    <w:rsid w:val="00894FCF"/>
    <w:rsid w:val="008951FA"/>
    <w:rsid w:val="00895532"/>
    <w:rsid w:val="00895646"/>
    <w:rsid w:val="008957E5"/>
    <w:rsid w:val="00896003"/>
    <w:rsid w:val="00896B38"/>
    <w:rsid w:val="00896FE9"/>
    <w:rsid w:val="008970A8"/>
    <w:rsid w:val="008972E7"/>
    <w:rsid w:val="00897DE9"/>
    <w:rsid w:val="008A0021"/>
    <w:rsid w:val="008A0669"/>
    <w:rsid w:val="008A06C7"/>
    <w:rsid w:val="008A130C"/>
    <w:rsid w:val="008A20AB"/>
    <w:rsid w:val="008A27BD"/>
    <w:rsid w:val="008A29AC"/>
    <w:rsid w:val="008A29E5"/>
    <w:rsid w:val="008A2D0E"/>
    <w:rsid w:val="008A2F6A"/>
    <w:rsid w:val="008A4A74"/>
    <w:rsid w:val="008A4F15"/>
    <w:rsid w:val="008A6716"/>
    <w:rsid w:val="008A7B7F"/>
    <w:rsid w:val="008A7DAD"/>
    <w:rsid w:val="008B0352"/>
    <w:rsid w:val="008B0494"/>
    <w:rsid w:val="008B0FB3"/>
    <w:rsid w:val="008B12E5"/>
    <w:rsid w:val="008B1844"/>
    <w:rsid w:val="008B18E1"/>
    <w:rsid w:val="008B1ACD"/>
    <w:rsid w:val="008B1F84"/>
    <w:rsid w:val="008B2C97"/>
    <w:rsid w:val="008B3191"/>
    <w:rsid w:val="008B319E"/>
    <w:rsid w:val="008B3C72"/>
    <w:rsid w:val="008B4076"/>
    <w:rsid w:val="008B42F3"/>
    <w:rsid w:val="008B48E1"/>
    <w:rsid w:val="008B4A03"/>
    <w:rsid w:val="008B5A62"/>
    <w:rsid w:val="008B5C64"/>
    <w:rsid w:val="008B649C"/>
    <w:rsid w:val="008B6607"/>
    <w:rsid w:val="008B6775"/>
    <w:rsid w:val="008B6988"/>
    <w:rsid w:val="008B71F7"/>
    <w:rsid w:val="008B7782"/>
    <w:rsid w:val="008B77AE"/>
    <w:rsid w:val="008B7AB1"/>
    <w:rsid w:val="008C0864"/>
    <w:rsid w:val="008C09EB"/>
    <w:rsid w:val="008C0B9D"/>
    <w:rsid w:val="008C0C6D"/>
    <w:rsid w:val="008C12A0"/>
    <w:rsid w:val="008C1592"/>
    <w:rsid w:val="008C18EF"/>
    <w:rsid w:val="008C2F36"/>
    <w:rsid w:val="008C30A0"/>
    <w:rsid w:val="008C35E9"/>
    <w:rsid w:val="008C3735"/>
    <w:rsid w:val="008C3831"/>
    <w:rsid w:val="008C3CC4"/>
    <w:rsid w:val="008C3D59"/>
    <w:rsid w:val="008C410C"/>
    <w:rsid w:val="008C4F3F"/>
    <w:rsid w:val="008C595F"/>
    <w:rsid w:val="008C6189"/>
    <w:rsid w:val="008C6368"/>
    <w:rsid w:val="008C68DD"/>
    <w:rsid w:val="008C6AD0"/>
    <w:rsid w:val="008C709D"/>
    <w:rsid w:val="008C7474"/>
    <w:rsid w:val="008C7F7C"/>
    <w:rsid w:val="008D06C4"/>
    <w:rsid w:val="008D0CD5"/>
    <w:rsid w:val="008D0DE4"/>
    <w:rsid w:val="008D0F0C"/>
    <w:rsid w:val="008D11C9"/>
    <w:rsid w:val="008D1B31"/>
    <w:rsid w:val="008D2446"/>
    <w:rsid w:val="008D256B"/>
    <w:rsid w:val="008D294B"/>
    <w:rsid w:val="008D29B3"/>
    <w:rsid w:val="008D2C47"/>
    <w:rsid w:val="008D3553"/>
    <w:rsid w:val="008D3724"/>
    <w:rsid w:val="008D374F"/>
    <w:rsid w:val="008D45CB"/>
    <w:rsid w:val="008D4D8D"/>
    <w:rsid w:val="008D4DEA"/>
    <w:rsid w:val="008D551E"/>
    <w:rsid w:val="008D5AB3"/>
    <w:rsid w:val="008D62B9"/>
    <w:rsid w:val="008D6614"/>
    <w:rsid w:val="008D6D32"/>
    <w:rsid w:val="008D6E3F"/>
    <w:rsid w:val="008D7E35"/>
    <w:rsid w:val="008E01AD"/>
    <w:rsid w:val="008E0210"/>
    <w:rsid w:val="008E0874"/>
    <w:rsid w:val="008E0A8F"/>
    <w:rsid w:val="008E0D31"/>
    <w:rsid w:val="008E1326"/>
    <w:rsid w:val="008E1E59"/>
    <w:rsid w:val="008E2642"/>
    <w:rsid w:val="008E2FB8"/>
    <w:rsid w:val="008E304C"/>
    <w:rsid w:val="008E3846"/>
    <w:rsid w:val="008E4170"/>
    <w:rsid w:val="008E4176"/>
    <w:rsid w:val="008E43C5"/>
    <w:rsid w:val="008E4658"/>
    <w:rsid w:val="008E4AA7"/>
    <w:rsid w:val="008E4B16"/>
    <w:rsid w:val="008E5142"/>
    <w:rsid w:val="008E53C2"/>
    <w:rsid w:val="008E593B"/>
    <w:rsid w:val="008E5B8A"/>
    <w:rsid w:val="008E63F7"/>
    <w:rsid w:val="008E6959"/>
    <w:rsid w:val="008E6B40"/>
    <w:rsid w:val="008E7890"/>
    <w:rsid w:val="008E792D"/>
    <w:rsid w:val="008F0AD7"/>
    <w:rsid w:val="008F0C67"/>
    <w:rsid w:val="008F11E9"/>
    <w:rsid w:val="008F2A78"/>
    <w:rsid w:val="008F2D44"/>
    <w:rsid w:val="008F2D8D"/>
    <w:rsid w:val="008F34B0"/>
    <w:rsid w:val="008F4418"/>
    <w:rsid w:val="008F5296"/>
    <w:rsid w:val="008F6CF3"/>
    <w:rsid w:val="008F7710"/>
    <w:rsid w:val="008F799E"/>
    <w:rsid w:val="00900921"/>
    <w:rsid w:val="00900B7F"/>
    <w:rsid w:val="00900CEA"/>
    <w:rsid w:val="0090100A"/>
    <w:rsid w:val="0090102E"/>
    <w:rsid w:val="009013D9"/>
    <w:rsid w:val="00901722"/>
    <w:rsid w:val="00901C80"/>
    <w:rsid w:val="00901CA1"/>
    <w:rsid w:val="00901E5C"/>
    <w:rsid w:val="009026FF"/>
    <w:rsid w:val="0090283C"/>
    <w:rsid w:val="00902944"/>
    <w:rsid w:val="00902CF3"/>
    <w:rsid w:val="00902CF9"/>
    <w:rsid w:val="00902E18"/>
    <w:rsid w:val="00902EA6"/>
    <w:rsid w:val="00903155"/>
    <w:rsid w:val="009036AF"/>
    <w:rsid w:val="00903891"/>
    <w:rsid w:val="00904232"/>
    <w:rsid w:val="00904D52"/>
    <w:rsid w:val="00904FE7"/>
    <w:rsid w:val="00905084"/>
    <w:rsid w:val="00905481"/>
    <w:rsid w:val="00905A21"/>
    <w:rsid w:val="0090665E"/>
    <w:rsid w:val="00906A10"/>
    <w:rsid w:val="009075CB"/>
    <w:rsid w:val="00907701"/>
    <w:rsid w:val="009079DD"/>
    <w:rsid w:val="00907C16"/>
    <w:rsid w:val="009101F8"/>
    <w:rsid w:val="00910A0C"/>
    <w:rsid w:val="009115AE"/>
    <w:rsid w:val="009116DC"/>
    <w:rsid w:val="009117EE"/>
    <w:rsid w:val="00911AB6"/>
    <w:rsid w:val="00911B51"/>
    <w:rsid w:val="00912211"/>
    <w:rsid w:val="0091236B"/>
    <w:rsid w:val="0091253D"/>
    <w:rsid w:val="00912585"/>
    <w:rsid w:val="00912BC9"/>
    <w:rsid w:val="00912E7D"/>
    <w:rsid w:val="009134E8"/>
    <w:rsid w:val="00913999"/>
    <w:rsid w:val="0091460C"/>
    <w:rsid w:val="00914828"/>
    <w:rsid w:val="009149BD"/>
    <w:rsid w:val="00914A01"/>
    <w:rsid w:val="00914DCC"/>
    <w:rsid w:val="00915B06"/>
    <w:rsid w:val="00916167"/>
    <w:rsid w:val="00916FE3"/>
    <w:rsid w:val="00917094"/>
    <w:rsid w:val="009170A9"/>
    <w:rsid w:val="0091728D"/>
    <w:rsid w:val="0091740A"/>
    <w:rsid w:val="0091740C"/>
    <w:rsid w:val="00917626"/>
    <w:rsid w:val="00920934"/>
    <w:rsid w:val="00920A7A"/>
    <w:rsid w:val="00921ED5"/>
    <w:rsid w:val="00922195"/>
    <w:rsid w:val="00922238"/>
    <w:rsid w:val="00922333"/>
    <w:rsid w:val="00922359"/>
    <w:rsid w:val="00922F29"/>
    <w:rsid w:val="0092319C"/>
    <w:rsid w:val="00923369"/>
    <w:rsid w:val="00923D37"/>
    <w:rsid w:val="00924820"/>
    <w:rsid w:val="0092491B"/>
    <w:rsid w:val="00924DBD"/>
    <w:rsid w:val="009256AC"/>
    <w:rsid w:val="00925CBD"/>
    <w:rsid w:val="0092624C"/>
    <w:rsid w:val="009262EA"/>
    <w:rsid w:val="00926410"/>
    <w:rsid w:val="00926415"/>
    <w:rsid w:val="00926672"/>
    <w:rsid w:val="009266C9"/>
    <w:rsid w:val="00926937"/>
    <w:rsid w:val="00926AA6"/>
    <w:rsid w:val="00926E05"/>
    <w:rsid w:val="009270EA"/>
    <w:rsid w:val="009277A8"/>
    <w:rsid w:val="009302A4"/>
    <w:rsid w:val="00930447"/>
    <w:rsid w:val="00930733"/>
    <w:rsid w:val="009309E8"/>
    <w:rsid w:val="00930A39"/>
    <w:rsid w:val="00930C1C"/>
    <w:rsid w:val="009313A6"/>
    <w:rsid w:val="009315BB"/>
    <w:rsid w:val="009315ED"/>
    <w:rsid w:val="0093190A"/>
    <w:rsid w:val="00932DB8"/>
    <w:rsid w:val="00932E72"/>
    <w:rsid w:val="0093307B"/>
    <w:rsid w:val="00934B0C"/>
    <w:rsid w:val="00934B56"/>
    <w:rsid w:val="00934BB0"/>
    <w:rsid w:val="00934FFB"/>
    <w:rsid w:val="009351F4"/>
    <w:rsid w:val="00935517"/>
    <w:rsid w:val="00936229"/>
    <w:rsid w:val="00936968"/>
    <w:rsid w:val="00936C9C"/>
    <w:rsid w:val="00937271"/>
    <w:rsid w:val="009373A2"/>
    <w:rsid w:val="00937B06"/>
    <w:rsid w:val="0093E672"/>
    <w:rsid w:val="00940944"/>
    <w:rsid w:val="00940C73"/>
    <w:rsid w:val="00941AB1"/>
    <w:rsid w:val="00941FC9"/>
    <w:rsid w:val="00941FE9"/>
    <w:rsid w:val="00942313"/>
    <w:rsid w:val="009429E7"/>
    <w:rsid w:val="00942D56"/>
    <w:rsid w:val="0094337A"/>
    <w:rsid w:val="009446F5"/>
    <w:rsid w:val="009447F0"/>
    <w:rsid w:val="00945368"/>
    <w:rsid w:val="009459F2"/>
    <w:rsid w:val="00945A0B"/>
    <w:rsid w:val="00945AF8"/>
    <w:rsid w:val="00946685"/>
    <w:rsid w:val="00946C07"/>
    <w:rsid w:val="00947172"/>
    <w:rsid w:val="00947690"/>
    <w:rsid w:val="00947A53"/>
    <w:rsid w:val="00947B27"/>
    <w:rsid w:val="00947EB1"/>
    <w:rsid w:val="00950113"/>
    <w:rsid w:val="00950638"/>
    <w:rsid w:val="00950CEE"/>
    <w:rsid w:val="00951134"/>
    <w:rsid w:val="00951F2C"/>
    <w:rsid w:val="00952206"/>
    <w:rsid w:val="00953854"/>
    <w:rsid w:val="009539F1"/>
    <w:rsid w:val="00953D4D"/>
    <w:rsid w:val="00954190"/>
    <w:rsid w:val="009546A9"/>
    <w:rsid w:val="0095564D"/>
    <w:rsid w:val="009559F6"/>
    <w:rsid w:val="00955E5E"/>
    <w:rsid w:val="009566CF"/>
    <w:rsid w:val="00956BF5"/>
    <w:rsid w:val="00956C9E"/>
    <w:rsid w:val="009608B7"/>
    <w:rsid w:val="0096175C"/>
    <w:rsid w:val="0096178B"/>
    <w:rsid w:val="00961FAE"/>
    <w:rsid w:val="009625DA"/>
    <w:rsid w:val="0096269A"/>
    <w:rsid w:val="00963293"/>
    <w:rsid w:val="00963302"/>
    <w:rsid w:val="009634F7"/>
    <w:rsid w:val="00963DEE"/>
    <w:rsid w:val="00963FD2"/>
    <w:rsid w:val="00965351"/>
    <w:rsid w:val="00965432"/>
    <w:rsid w:val="00965882"/>
    <w:rsid w:val="00965D3D"/>
    <w:rsid w:val="00965D9B"/>
    <w:rsid w:val="00966A36"/>
    <w:rsid w:val="00966B6F"/>
    <w:rsid w:val="00966F68"/>
    <w:rsid w:val="00967728"/>
    <w:rsid w:val="00970028"/>
    <w:rsid w:val="00970903"/>
    <w:rsid w:val="00970CFF"/>
    <w:rsid w:val="00970FE8"/>
    <w:rsid w:val="009714C9"/>
    <w:rsid w:val="009716A0"/>
    <w:rsid w:val="00971CAC"/>
    <w:rsid w:val="009724AB"/>
    <w:rsid w:val="009724E8"/>
    <w:rsid w:val="00972DBC"/>
    <w:rsid w:val="00973856"/>
    <w:rsid w:val="00974329"/>
    <w:rsid w:val="009746DD"/>
    <w:rsid w:val="0097521B"/>
    <w:rsid w:val="00975686"/>
    <w:rsid w:val="009759F3"/>
    <w:rsid w:val="00976231"/>
    <w:rsid w:val="009762F9"/>
    <w:rsid w:val="009763FB"/>
    <w:rsid w:val="00976C3F"/>
    <w:rsid w:val="009777AF"/>
    <w:rsid w:val="009800F2"/>
    <w:rsid w:val="0098081A"/>
    <w:rsid w:val="00980830"/>
    <w:rsid w:val="00981F05"/>
    <w:rsid w:val="00982AEB"/>
    <w:rsid w:val="00982C4E"/>
    <w:rsid w:val="00982DB1"/>
    <w:rsid w:val="00983F94"/>
    <w:rsid w:val="00985051"/>
    <w:rsid w:val="0098532A"/>
    <w:rsid w:val="00985357"/>
    <w:rsid w:val="009855DE"/>
    <w:rsid w:val="00985646"/>
    <w:rsid w:val="00987057"/>
    <w:rsid w:val="009872FE"/>
    <w:rsid w:val="00987430"/>
    <w:rsid w:val="00990D5B"/>
    <w:rsid w:val="00991384"/>
    <w:rsid w:val="009916F8"/>
    <w:rsid w:val="00992A9A"/>
    <w:rsid w:val="00992AD0"/>
    <w:rsid w:val="00993E4F"/>
    <w:rsid w:val="00994A3A"/>
    <w:rsid w:val="0099513A"/>
    <w:rsid w:val="009960FF"/>
    <w:rsid w:val="0099659D"/>
    <w:rsid w:val="00997231"/>
    <w:rsid w:val="009976CD"/>
    <w:rsid w:val="00997CC7"/>
    <w:rsid w:val="009A012C"/>
    <w:rsid w:val="009A0448"/>
    <w:rsid w:val="009A0501"/>
    <w:rsid w:val="009A0CEF"/>
    <w:rsid w:val="009A1226"/>
    <w:rsid w:val="009A1641"/>
    <w:rsid w:val="009A1E0F"/>
    <w:rsid w:val="009A2476"/>
    <w:rsid w:val="009A25E7"/>
    <w:rsid w:val="009A27DA"/>
    <w:rsid w:val="009A329C"/>
    <w:rsid w:val="009A3B05"/>
    <w:rsid w:val="009A3E5E"/>
    <w:rsid w:val="009A429B"/>
    <w:rsid w:val="009A46BB"/>
    <w:rsid w:val="009A5486"/>
    <w:rsid w:val="009A556B"/>
    <w:rsid w:val="009A600B"/>
    <w:rsid w:val="009A6238"/>
    <w:rsid w:val="009A6B0D"/>
    <w:rsid w:val="009A6B32"/>
    <w:rsid w:val="009A7551"/>
    <w:rsid w:val="009A7758"/>
    <w:rsid w:val="009A7945"/>
    <w:rsid w:val="009A7A4F"/>
    <w:rsid w:val="009B059F"/>
    <w:rsid w:val="009B06C6"/>
    <w:rsid w:val="009B083A"/>
    <w:rsid w:val="009B0D16"/>
    <w:rsid w:val="009B1373"/>
    <w:rsid w:val="009B194B"/>
    <w:rsid w:val="009B1F03"/>
    <w:rsid w:val="009B1F7B"/>
    <w:rsid w:val="009B205D"/>
    <w:rsid w:val="009B211E"/>
    <w:rsid w:val="009B2855"/>
    <w:rsid w:val="009B2A39"/>
    <w:rsid w:val="009B3D2F"/>
    <w:rsid w:val="009B3E2F"/>
    <w:rsid w:val="009B43E3"/>
    <w:rsid w:val="009B44AE"/>
    <w:rsid w:val="009B47D6"/>
    <w:rsid w:val="009B4DA0"/>
    <w:rsid w:val="009B528D"/>
    <w:rsid w:val="009B5F08"/>
    <w:rsid w:val="009B5F5E"/>
    <w:rsid w:val="009B6137"/>
    <w:rsid w:val="009B6675"/>
    <w:rsid w:val="009B702F"/>
    <w:rsid w:val="009B787E"/>
    <w:rsid w:val="009B7A0D"/>
    <w:rsid w:val="009C0F23"/>
    <w:rsid w:val="009C2168"/>
    <w:rsid w:val="009C2715"/>
    <w:rsid w:val="009C29AB"/>
    <w:rsid w:val="009C58B2"/>
    <w:rsid w:val="009C6C49"/>
    <w:rsid w:val="009C7098"/>
    <w:rsid w:val="009C72B9"/>
    <w:rsid w:val="009D04AB"/>
    <w:rsid w:val="009D054D"/>
    <w:rsid w:val="009D0A99"/>
    <w:rsid w:val="009D0DCA"/>
    <w:rsid w:val="009D0E4D"/>
    <w:rsid w:val="009D11AD"/>
    <w:rsid w:val="009D1475"/>
    <w:rsid w:val="009D23B5"/>
    <w:rsid w:val="009D3109"/>
    <w:rsid w:val="009D393D"/>
    <w:rsid w:val="009D3B40"/>
    <w:rsid w:val="009D3DA1"/>
    <w:rsid w:val="009D40A3"/>
    <w:rsid w:val="009D4656"/>
    <w:rsid w:val="009D5352"/>
    <w:rsid w:val="009D5A11"/>
    <w:rsid w:val="009D5C0A"/>
    <w:rsid w:val="009D5C95"/>
    <w:rsid w:val="009D5CC3"/>
    <w:rsid w:val="009D5E96"/>
    <w:rsid w:val="009D61A0"/>
    <w:rsid w:val="009D664B"/>
    <w:rsid w:val="009D6A1B"/>
    <w:rsid w:val="009D6D31"/>
    <w:rsid w:val="009D6E57"/>
    <w:rsid w:val="009E036D"/>
    <w:rsid w:val="009E0D8C"/>
    <w:rsid w:val="009E11CB"/>
    <w:rsid w:val="009E3103"/>
    <w:rsid w:val="009E3255"/>
    <w:rsid w:val="009E3C53"/>
    <w:rsid w:val="009E3E5B"/>
    <w:rsid w:val="009E4037"/>
    <w:rsid w:val="009E4144"/>
    <w:rsid w:val="009E42AE"/>
    <w:rsid w:val="009E4556"/>
    <w:rsid w:val="009E47E1"/>
    <w:rsid w:val="009E48FD"/>
    <w:rsid w:val="009E4ABD"/>
    <w:rsid w:val="009E590F"/>
    <w:rsid w:val="009E62FE"/>
    <w:rsid w:val="009E65BC"/>
    <w:rsid w:val="009E660D"/>
    <w:rsid w:val="009E6B84"/>
    <w:rsid w:val="009E6C30"/>
    <w:rsid w:val="009E705C"/>
    <w:rsid w:val="009E781A"/>
    <w:rsid w:val="009E7BBA"/>
    <w:rsid w:val="009F05C6"/>
    <w:rsid w:val="009F05C7"/>
    <w:rsid w:val="009F080E"/>
    <w:rsid w:val="009F1040"/>
    <w:rsid w:val="009F1647"/>
    <w:rsid w:val="009F1BFC"/>
    <w:rsid w:val="009F226F"/>
    <w:rsid w:val="009F2585"/>
    <w:rsid w:val="009F270B"/>
    <w:rsid w:val="009F28E0"/>
    <w:rsid w:val="009F2962"/>
    <w:rsid w:val="009F2BF4"/>
    <w:rsid w:val="009F2FFE"/>
    <w:rsid w:val="009F3AA1"/>
    <w:rsid w:val="009F3D3E"/>
    <w:rsid w:val="009F3E8A"/>
    <w:rsid w:val="009F4047"/>
    <w:rsid w:val="009F44CE"/>
    <w:rsid w:val="009F4E6A"/>
    <w:rsid w:val="009F52C2"/>
    <w:rsid w:val="009F532B"/>
    <w:rsid w:val="009F555C"/>
    <w:rsid w:val="009F604F"/>
    <w:rsid w:val="009F6D65"/>
    <w:rsid w:val="009F6E6B"/>
    <w:rsid w:val="009F6E84"/>
    <w:rsid w:val="009F72A1"/>
    <w:rsid w:val="009F7487"/>
    <w:rsid w:val="009F77F9"/>
    <w:rsid w:val="009F7858"/>
    <w:rsid w:val="00A00222"/>
    <w:rsid w:val="00A0082F"/>
    <w:rsid w:val="00A016E7"/>
    <w:rsid w:val="00A0197B"/>
    <w:rsid w:val="00A01FC8"/>
    <w:rsid w:val="00A020F8"/>
    <w:rsid w:val="00A023C1"/>
    <w:rsid w:val="00A0299F"/>
    <w:rsid w:val="00A02C61"/>
    <w:rsid w:val="00A02C85"/>
    <w:rsid w:val="00A02CA7"/>
    <w:rsid w:val="00A02E97"/>
    <w:rsid w:val="00A03200"/>
    <w:rsid w:val="00A032E8"/>
    <w:rsid w:val="00A038F6"/>
    <w:rsid w:val="00A03D97"/>
    <w:rsid w:val="00A03EF3"/>
    <w:rsid w:val="00A04B0E"/>
    <w:rsid w:val="00A051D9"/>
    <w:rsid w:val="00A05E72"/>
    <w:rsid w:val="00A05EB7"/>
    <w:rsid w:val="00A06002"/>
    <w:rsid w:val="00A06665"/>
    <w:rsid w:val="00A06E01"/>
    <w:rsid w:val="00A07494"/>
    <w:rsid w:val="00A10458"/>
    <w:rsid w:val="00A1055F"/>
    <w:rsid w:val="00A10CC3"/>
    <w:rsid w:val="00A122E9"/>
    <w:rsid w:val="00A123E6"/>
    <w:rsid w:val="00A12CFC"/>
    <w:rsid w:val="00A12D4E"/>
    <w:rsid w:val="00A14176"/>
    <w:rsid w:val="00A14E67"/>
    <w:rsid w:val="00A14F49"/>
    <w:rsid w:val="00A1530A"/>
    <w:rsid w:val="00A1562F"/>
    <w:rsid w:val="00A15B45"/>
    <w:rsid w:val="00A15C40"/>
    <w:rsid w:val="00A15C5D"/>
    <w:rsid w:val="00A161AE"/>
    <w:rsid w:val="00A1624B"/>
    <w:rsid w:val="00A16356"/>
    <w:rsid w:val="00A174A2"/>
    <w:rsid w:val="00A200FB"/>
    <w:rsid w:val="00A20B22"/>
    <w:rsid w:val="00A20BF0"/>
    <w:rsid w:val="00A20C17"/>
    <w:rsid w:val="00A211F3"/>
    <w:rsid w:val="00A21BD3"/>
    <w:rsid w:val="00A21DC4"/>
    <w:rsid w:val="00A21DF9"/>
    <w:rsid w:val="00A21EB1"/>
    <w:rsid w:val="00A22351"/>
    <w:rsid w:val="00A2276B"/>
    <w:rsid w:val="00A22C63"/>
    <w:rsid w:val="00A22C9E"/>
    <w:rsid w:val="00A24952"/>
    <w:rsid w:val="00A24B6E"/>
    <w:rsid w:val="00A24C13"/>
    <w:rsid w:val="00A25770"/>
    <w:rsid w:val="00A25B46"/>
    <w:rsid w:val="00A25E11"/>
    <w:rsid w:val="00A25FA8"/>
    <w:rsid w:val="00A26861"/>
    <w:rsid w:val="00A26E43"/>
    <w:rsid w:val="00A30198"/>
    <w:rsid w:val="00A3023E"/>
    <w:rsid w:val="00A30B37"/>
    <w:rsid w:val="00A312DE"/>
    <w:rsid w:val="00A31390"/>
    <w:rsid w:val="00A329DC"/>
    <w:rsid w:val="00A33597"/>
    <w:rsid w:val="00A33EAD"/>
    <w:rsid w:val="00A33EC4"/>
    <w:rsid w:val="00A34278"/>
    <w:rsid w:val="00A34CA5"/>
    <w:rsid w:val="00A34D7D"/>
    <w:rsid w:val="00A350BE"/>
    <w:rsid w:val="00A352A4"/>
    <w:rsid w:val="00A35BBA"/>
    <w:rsid w:val="00A35BE4"/>
    <w:rsid w:val="00A35CDE"/>
    <w:rsid w:val="00A35D6C"/>
    <w:rsid w:val="00A367B3"/>
    <w:rsid w:val="00A36D3D"/>
    <w:rsid w:val="00A36EE3"/>
    <w:rsid w:val="00A3792A"/>
    <w:rsid w:val="00A37B4B"/>
    <w:rsid w:val="00A37D9A"/>
    <w:rsid w:val="00A40C0E"/>
    <w:rsid w:val="00A40D64"/>
    <w:rsid w:val="00A4126C"/>
    <w:rsid w:val="00A4164C"/>
    <w:rsid w:val="00A41E3D"/>
    <w:rsid w:val="00A4232E"/>
    <w:rsid w:val="00A424D5"/>
    <w:rsid w:val="00A42CB9"/>
    <w:rsid w:val="00A42E82"/>
    <w:rsid w:val="00A43138"/>
    <w:rsid w:val="00A43D9C"/>
    <w:rsid w:val="00A44895"/>
    <w:rsid w:val="00A448EA"/>
    <w:rsid w:val="00A45319"/>
    <w:rsid w:val="00A45369"/>
    <w:rsid w:val="00A45E7E"/>
    <w:rsid w:val="00A4617C"/>
    <w:rsid w:val="00A4692D"/>
    <w:rsid w:val="00A46E56"/>
    <w:rsid w:val="00A4711F"/>
    <w:rsid w:val="00A50450"/>
    <w:rsid w:val="00A5080D"/>
    <w:rsid w:val="00A5129F"/>
    <w:rsid w:val="00A51995"/>
    <w:rsid w:val="00A51B1C"/>
    <w:rsid w:val="00A52283"/>
    <w:rsid w:val="00A527E9"/>
    <w:rsid w:val="00A52FB2"/>
    <w:rsid w:val="00A533D1"/>
    <w:rsid w:val="00A53D1F"/>
    <w:rsid w:val="00A54647"/>
    <w:rsid w:val="00A54B1C"/>
    <w:rsid w:val="00A54BE4"/>
    <w:rsid w:val="00A55068"/>
    <w:rsid w:val="00A558F2"/>
    <w:rsid w:val="00A55B13"/>
    <w:rsid w:val="00A55B14"/>
    <w:rsid w:val="00A55E85"/>
    <w:rsid w:val="00A55F9C"/>
    <w:rsid w:val="00A56919"/>
    <w:rsid w:val="00A56950"/>
    <w:rsid w:val="00A56B4F"/>
    <w:rsid w:val="00A57008"/>
    <w:rsid w:val="00A576DD"/>
    <w:rsid w:val="00A57AD9"/>
    <w:rsid w:val="00A6008C"/>
    <w:rsid w:val="00A60217"/>
    <w:rsid w:val="00A60337"/>
    <w:rsid w:val="00A6064A"/>
    <w:rsid w:val="00A60DC0"/>
    <w:rsid w:val="00A61219"/>
    <w:rsid w:val="00A61714"/>
    <w:rsid w:val="00A63FAA"/>
    <w:rsid w:val="00A642F4"/>
    <w:rsid w:val="00A64998"/>
    <w:rsid w:val="00A64ABC"/>
    <w:rsid w:val="00A65884"/>
    <w:rsid w:val="00A66BD6"/>
    <w:rsid w:val="00A67077"/>
    <w:rsid w:val="00A677C2"/>
    <w:rsid w:val="00A67863"/>
    <w:rsid w:val="00A70D15"/>
    <w:rsid w:val="00A70E36"/>
    <w:rsid w:val="00A70E45"/>
    <w:rsid w:val="00A70EBB"/>
    <w:rsid w:val="00A717ED"/>
    <w:rsid w:val="00A717F3"/>
    <w:rsid w:val="00A719F4"/>
    <w:rsid w:val="00A724BE"/>
    <w:rsid w:val="00A72753"/>
    <w:rsid w:val="00A728E7"/>
    <w:rsid w:val="00A72DAE"/>
    <w:rsid w:val="00A73C0D"/>
    <w:rsid w:val="00A73F9B"/>
    <w:rsid w:val="00A7463C"/>
    <w:rsid w:val="00A751B5"/>
    <w:rsid w:val="00A7562E"/>
    <w:rsid w:val="00A75AF9"/>
    <w:rsid w:val="00A76153"/>
    <w:rsid w:val="00A7627D"/>
    <w:rsid w:val="00A764E8"/>
    <w:rsid w:val="00A76EB4"/>
    <w:rsid w:val="00A76F4D"/>
    <w:rsid w:val="00A76F52"/>
    <w:rsid w:val="00A77CD6"/>
    <w:rsid w:val="00A80481"/>
    <w:rsid w:val="00A807B9"/>
    <w:rsid w:val="00A80845"/>
    <w:rsid w:val="00A80D63"/>
    <w:rsid w:val="00A80F8E"/>
    <w:rsid w:val="00A811EC"/>
    <w:rsid w:val="00A811F2"/>
    <w:rsid w:val="00A812A6"/>
    <w:rsid w:val="00A81416"/>
    <w:rsid w:val="00A82AE8"/>
    <w:rsid w:val="00A82B16"/>
    <w:rsid w:val="00A83568"/>
    <w:rsid w:val="00A83A11"/>
    <w:rsid w:val="00A83ADD"/>
    <w:rsid w:val="00A83C58"/>
    <w:rsid w:val="00A84B58"/>
    <w:rsid w:val="00A84BA0"/>
    <w:rsid w:val="00A84E73"/>
    <w:rsid w:val="00A855A9"/>
    <w:rsid w:val="00A8574F"/>
    <w:rsid w:val="00A85FCC"/>
    <w:rsid w:val="00A865AA"/>
    <w:rsid w:val="00A86830"/>
    <w:rsid w:val="00A86C94"/>
    <w:rsid w:val="00A86EE9"/>
    <w:rsid w:val="00A8734D"/>
    <w:rsid w:val="00A90071"/>
    <w:rsid w:val="00A90373"/>
    <w:rsid w:val="00A90467"/>
    <w:rsid w:val="00A90507"/>
    <w:rsid w:val="00A90725"/>
    <w:rsid w:val="00A9075D"/>
    <w:rsid w:val="00A92103"/>
    <w:rsid w:val="00A928B6"/>
    <w:rsid w:val="00A94999"/>
    <w:rsid w:val="00A95118"/>
    <w:rsid w:val="00A95280"/>
    <w:rsid w:val="00A955EB"/>
    <w:rsid w:val="00A95DAA"/>
    <w:rsid w:val="00A964D2"/>
    <w:rsid w:val="00A96894"/>
    <w:rsid w:val="00A96BA2"/>
    <w:rsid w:val="00A97217"/>
    <w:rsid w:val="00A974F5"/>
    <w:rsid w:val="00A97A0B"/>
    <w:rsid w:val="00AA0011"/>
    <w:rsid w:val="00AA0430"/>
    <w:rsid w:val="00AA0467"/>
    <w:rsid w:val="00AA077F"/>
    <w:rsid w:val="00AA1020"/>
    <w:rsid w:val="00AA1AFD"/>
    <w:rsid w:val="00AA2CD4"/>
    <w:rsid w:val="00AA342B"/>
    <w:rsid w:val="00AA3690"/>
    <w:rsid w:val="00AA3B0A"/>
    <w:rsid w:val="00AA3D76"/>
    <w:rsid w:val="00AA4094"/>
    <w:rsid w:val="00AA447B"/>
    <w:rsid w:val="00AA471E"/>
    <w:rsid w:val="00AA4911"/>
    <w:rsid w:val="00AA4AD5"/>
    <w:rsid w:val="00AA5420"/>
    <w:rsid w:val="00AA5593"/>
    <w:rsid w:val="00AA56D6"/>
    <w:rsid w:val="00AA6149"/>
    <w:rsid w:val="00AA68FA"/>
    <w:rsid w:val="00AA6D32"/>
    <w:rsid w:val="00AA6DC3"/>
    <w:rsid w:val="00AA763F"/>
    <w:rsid w:val="00AA848D"/>
    <w:rsid w:val="00AB10C9"/>
    <w:rsid w:val="00AB13B9"/>
    <w:rsid w:val="00AB16D6"/>
    <w:rsid w:val="00AB3368"/>
    <w:rsid w:val="00AB3564"/>
    <w:rsid w:val="00AB37C6"/>
    <w:rsid w:val="00AB3EFD"/>
    <w:rsid w:val="00AB41FC"/>
    <w:rsid w:val="00AB4535"/>
    <w:rsid w:val="00AB52C1"/>
    <w:rsid w:val="00AB549C"/>
    <w:rsid w:val="00AB5ACE"/>
    <w:rsid w:val="00AB5BFA"/>
    <w:rsid w:val="00AB6F14"/>
    <w:rsid w:val="00AB76FD"/>
    <w:rsid w:val="00AB7AA7"/>
    <w:rsid w:val="00AB7E27"/>
    <w:rsid w:val="00AB7ECC"/>
    <w:rsid w:val="00AC0414"/>
    <w:rsid w:val="00AC0518"/>
    <w:rsid w:val="00AC087E"/>
    <w:rsid w:val="00AC0E09"/>
    <w:rsid w:val="00AC1377"/>
    <w:rsid w:val="00AC1679"/>
    <w:rsid w:val="00AC175F"/>
    <w:rsid w:val="00AC1B8D"/>
    <w:rsid w:val="00AC1D66"/>
    <w:rsid w:val="00AC234F"/>
    <w:rsid w:val="00AC23FC"/>
    <w:rsid w:val="00AC24C2"/>
    <w:rsid w:val="00AC28AC"/>
    <w:rsid w:val="00AC2D6B"/>
    <w:rsid w:val="00AC33CB"/>
    <w:rsid w:val="00AC3639"/>
    <w:rsid w:val="00AC3CEC"/>
    <w:rsid w:val="00AC3DA6"/>
    <w:rsid w:val="00AC468A"/>
    <w:rsid w:val="00AC4EFD"/>
    <w:rsid w:val="00AC4F7B"/>
    <w:rsid w:val="00AC5057"/>
    <w:rsid w:val="00AC55F3"/>
    <w:rsid w:val="00AC5954"/>
    <w:rsid w:val="00AC5EB5"/>
    <w:rsid w:val="00AC61E3"/>
    <w:rsid w:val="00AC648E"/>
    <w:rsid w:val="00AC68DB"/>
    <w:rsid w:val="00AC70E4"/>
    <w:rsid w:val="00AC71AD"/>
    <w:rsid w:val="00AC776C"/>
    <w:rsid w:val="00AC7B94"/>
    <w:rsid w:val="00AD0C7B"/>
    <w:rsid w:val="00AD0D1B"/>
    <w:rsid w:val="00AD19D1"/>
    <w:rsid w:val="00AD1A8F"/>
    <w:rsid w:val="00AD1AE8"/>
    <w:rsid w:val="00AD1FD4"/>
    <w:rsid w:val="00AD26A1"/>
    <w:rsid w:val="00AD27B9"/>
    <w:rsid w:val="00AD2A1C"/>
    <w:rsid w:val="00AD2AA1"/>
    <w:rsid w:val="00AD2D90"/>
    <w:rsid w:val="00AD2DE4"/>
    <w:rsid w:val="00AD3245"/>
    <w:rsid w:val="00AD4C05"/>
    <w:rsid w:val="00AD4D86"/>
    <w:rsid w:val="00AD5D91"/>
    <w:rsid w:val="00AD5EE4"/>
    <w:rsid w:val="00AD6093"/>
    <w:rsid w:val="00AD631E"/>
    <w:rsid w:val="00AD6352"/>
    <w:rsid w:val="00AD68FB"/>
    <w:rsid w:val="00AD6B5C"/>
    <w:rsid w:val="00AD724D"/>
    <w:rsid w:val="00AD757D"/>
    <w:rsid w:val="00AD75EB"/>
    <w:rsid w:val="00AD7614"/>
    <w:rsid w:val="00AE01E8"/>
    <w:rsid w:val="00AE069F"/>
    <w:rsid w:val="00AE0D01"/>
    <w:rsid w:val="00AE1342"/>
    <w:rsid w:val="00AE16C2"/>
    <w:rsid w:val="00AE16E2"/>
    <w:rsid w:val="00AE176D"/>
    <w:rsid w:val="00AE2EB2"/>
    <w:rsid w:val="00AE370D"/>
    <w:rsid w:val="00AE37B5"/>
    <w:rsid w:val="00AE3A61"/>
    <w:rsid w:val="00AE3B7F"/>
    <w:rsid w:val="00AE43BA"/>
    <w:rsid w:val="00AE48D8"/>
    <w:rsid w:val="00AE4ACA"/>
    <w:rsid w:val="00AE5AFB"/>
    <w:rsid w:val="00AE5CF7"/>
    <w:rsid w:val="00AE62D9"/>
    <w:rsid w:val="00AE6797"/>
    <w:rsid w:val="00AE6C07"/>
    <w:rsid w:val="00AE6EDC"/>
    <w:rsid w:val="00AE6F72"/>
    <w:rsid w:val="00AE7538"/>
    <w:rsid w:val="00AE7762"/>
    <w:rsid w:val="00AE791B"/>
    <w:rsid w:val="00AE7AC1"/>
    <w:rsid w:val="00AE7C73"/>
    <w:rsid w:val="00AE7DA6"/>
    <w:rsid w:val="00AE7DC1"/>
    <w:rsid w:val="00AF070D"/>
    <w:rsid w:val="00AF0965"/>
    <w:rsid w:val="00AF0B6F"/>
    <w:rsid w:val="00AF0BDD"/>
    <w:rsid w:val="00AF12FD"/>
    <w:rsid w:val="00AF28BF"/>
    <w:rsid w:val="00AF2EBD"/>
    <w:rsid w:val="00AF304A"/>
    <w:rsid w:val="00AF33E4"/>
    <w:rsid w:val="00AF345B"/>
    <w:rsid w:val="00AF3483"/>
    <w:rsid w:val="00AF382B"/>
    <w:rsid w:val="00AF43F9"/>
    <w:rsid w:val="00AF4412"/>
    <w:rsid w:val="00AF4BB0"/>
    <w:rsid w:val="00AF4E89"/>
    <w:rsid w:val="00AF5455"/>
    <w:rsid w:val="00AF5809"/>
    <w:rsid w:val="00AF5D40"/>
    <w:rsid w:val="00AF635C"/>
    <w:rsid w:val="00AF67C1"/>
    <w:rsid w:val="00AF6D73"/>
    <w:rsid w:val="00AF7162"/>
    <w:rsid w:val="00AF762D"/>
    <w:rsid w:val="00AF7CC8"/>
    <w:rsid w:val="00B0042F"/>
    <w:rsid w:val="00B00FDC"/>
    <w:rsid w:val="00B010EA"/>
    <w:rsid w:val="00B013F7"/>
    <w:rsid w:val="00B013FA"/>
    <w:rsid w:val="00B01578"/>
    <w:rsid w:val="00B029A5"/>
    <w:rsid w:val="00B029A7"/>
    <w:rsid w:val="00B03079"/>
    <w:rsid w:val="00B031A4"/>
    <w:rsid w:val="00B03960"/>
    <w:rsid w:val="00B03BA1"/>
    <w:rsid w:val="00B04D8D"/>
    <w:rsid w:val="00B053A5"/>
    <w:rsid w:val="00B05D9F"/>
    <w:rsid w:val="00B05F4F"/>
    <w:rsid w:val="00B0659F"/>
    <w:rsid w:val="00B075AF"/>
    <w:rsid w:val="00B07995"/>
    <w:rsid w:val="00B106D2"/>
    <w:rsid w:val="00B112E9"/>
    <w:rsid w:val="00B11F04"/>
    <w:rsid w:val="00B12675"/>
    <w:rsid w:val="00B12AB9"/>
    <w:rsid w:val="00B12B44"/>
    <w:rsid w:val="00B12E32"/>
    <w:rsid w:val="00B12E4C"/>
    <w:rsid w:val="00B13A39"/>
    <w:rsid w:val="00B13C09"/>
    <w:rsid w:val="00B13D24"/>
    <w:rsid w:val="00B145E6"/>
    <w:rsid w:val="00B16AA5"/>
    <w:rsid w:val="00B1743A"/>
    <w:rsid w:val="00B17B88"/>
    <w:rsid w:val="00B17E54"/>
    <w:rsid w:val="00B17F23"/>
    <w:rsid w:val="00B17FC0"/>
    <w:rsid w:val="00B2024E"/>
    <w:rsid w:val="00B20298"/>
    <w:rsid w:val="00B203B1"/>
    <w:rsid w:val="00B2091A"/>
    <w:rsid w:val="00B2126A"/>
    <w:rsid w:val="00B212D2"/>
    <w:rsid w:val="00B2150E"/>
    <w:rsid w:val="00B2192D"/>
    <w:rsid w:val="00B21E8F"/>
    <w:rsid w:val="00B22564"/>
    <w:rsid w:val="00B23256"/>
    <w:rsid w:val="00B233E1"/>
    <w:rsid w:val="00B23E4B"/>
    <w:rsid w:val="00B24D84"/>
    <w:rsid w:val="00B25789"/>
    <w:rsid w:val="00B257A4"/>
    <w:rsid w:val="00B26D5B"/>
    <w:rsid w:val="00B27630"/>
    <w:rsid w:val="00B27B85"/>
    <w:rsid w:val="00B304A3"/>
    <w:rsid w:val="00B3068B"/>
    <w:rsid w:val="00B30795"/>
    <w:rsid w:val="00B3089D"/>
    <w:rsid w:val="00B30CA0"/>
    <w:rsid w:val="00B30DA8"/>
    <w:rsid w:val="00B30DD0"/>
    <w:rsid w:val="00B30DDF"/>
    <w:rsid w:val="00B31276"/>
    <w:rsid w:val="00B31383"/>
    <w:rsid w:val="00B3138D"/>
    <w:rsid w:val="00B3146F"/>
    <w:rsid w:val="00B314A2"/>
    <w:rsid w:val="00B327E5"/>
    <w:rsid w:val="00B32927"/>
    <w:rsid w:val="00B32954"/>
    <w:rsid w:val="00B33381"/>
    <w:rsid w:val="00B3368E"/>
    <w:rsid w:val="00B33D95"/>
    <w:rsid w:val="00B3493F"/>
    <w:rsid w:val="00B34943"/>
    <w:rsid w:val="00B35155"/>
    <w:rsid w:val="00B353EA"/>
    <w:rsid w:val="00B3584E"/>
    <w:rsid w:val="00B360EA"/>
    <w:rsid w:val="00B36339"/>
    <w:rsid w:val="00B36D58"/>
    <w:rsid w:val="00B3748D"/>
    <w:rsid w:val="00B3752A"/>
    <w:rsid w:val="00B3765B"/>
    <w:rsid w:val="00B377C3"/>
    <w:rsid w:val="00B378E4"/>
    <w:rsid w:val="00B37AF3"/>
    <w:rsid w:val="00B37BC6"/>
    <w:rsid w:val="00B37F87"/>
    <w:rsid w:val="00B40077"/>
    <w:rsid w:val="00B4072C"/>
    <w:rsid w:val="00B40B54"/>
    <w:rsid w:val="00B4126B"/>
    <w:rsid w:val="00B41356"/>
    <w:rsid w:val="00B41C87"/>
    <w:rsid w:val="00B42281"/>
    <w:rsid w:val="00B423A1"/>
    <w:rsid w:val="00B42E85"/>
    <w:rsid w:val="00B431A7"/>
    <w:rsid w:val="00B438B9"/>
    <w:rsid w:val="00B44F8B"/>
    <w:rsid w:val="00B452C4"/>
    <w:rsid w:val="00B45844"/>
    <w:rsid w:val="00B45EE0"/>
    <w:rsid w:val="00B4657E"/>
    <w:rsid w:val="00B46BAB"/>
    <w:rsid w:val="00B473C2"/>
    <w:rsid w:val="00B47811"/>
    <w:rsid w:val="00B479DA"/>
    <w:rsid w:val="00B47FE4"/>
    <w:rsid w:val="00B50F67"/>
    <w:rsid w:val="00B517D7"/>
    <w:rsid w:val="00B51B6F"/>
    <w:rsid w:val="00B51F26"/>
    <w:rsid w:val="00B52244"/>
    <w:rsid w:val="00B52618"/>
    <w:rsid w:val="00B53067"/>
    <w:rsid w:val="00B530C9"/>
    <w:rsid w:val="00B53F72"/>
    <w:rsid w:val="00B54956"/>
    <w:rsid w:val="00B55253"/>
    <w:rsid w:val="00B55707"/>
    <w:rsid w:val="00B55C1E"/>
    <w:rsid w:val="00B55C70"/>
    <w:rsid w:val="00B55CC0"/>
    <w:rsid w:val="00B55D4B"/>
    <w:rsid w:val="00B5637F"/>
    <w:rsid w:val="00B5669C"/>
    <w:rsid w:val="00B57618"/>
    <w:rsid w:val="00B6069D"/>
    <w:rsid w:val="00B60889"/>
    <w:rsid w:val="00B60E0A"/>
    <w:rsid w:val="00B61408"/>
    <w:rsid w:val="00B614C8"/>
    <w:rsid w:val="00B61861"/>
    <w:rsid w:val="00B62493"/>
    <w:rsid w:val="00B637D0"/>
    <w:rsid w:val="00B63844"/>
    <w:rsid w:val="00B63920"/>
    <w:rsid w:val="00B639E3"/>
    <w:rsid w:val="00B63CBE"/>
    <w:rsid w:val="00B63F8D"/>
    <w:rsid w:val="00B6412C"/>
    <w:rsid w:val="00B6425D"/>
    <w:rsid w:val="00B642E8"/>
    <w:rsid w:val="00B6495A"/>
    <w:rsid w:val="00B64F4E"/>
    <w:rsid w:val="00B6558C"/>
    <w:rsid w:val="00B66347"/>
    <w:rsid w:val="00B676D3"/>
    <w:rsid w:val="00B6777A"/>
    <w:rsid w:val="00B67E6E"/>
    <w:rsid w:val="00B70672"/>
    <w:rsid w:val="00B70B59"/>
    <w:rsid w:val="00B7123C"/>
    <w:rsid w:val="00B713F0"/>
    <w:rsid w:val="00B71965"/>
    <w:rsid w:val="00B720B4"/>
    <w:rsid w:val="00B726F6"/>
    <w:rsid w:val="00B72765"/>
    <w:rsid w:val="00B72A18"/>
    <w:rsid w:val="00B72E9C"/>
    <w:rsid w:val="00B72E9F"/>
    <w:rsid w:val="00B72F0E"/>
    <w:rsid w:val="00B735F3"/>
    <w:rsid w:val="00B738DA"/>
    <w:rsid w:val="00B73C44"/>
    <w:rsid w:val="00B740B5"/>
    <w:rsid w:val="00B74CBE"/>
    <w:rsid w:val="00B7552F"/>
    <w:rsid w:val="00B763B5"/>
    <w:rsid w:val="00B7684F"/>
    <w:rsid w:val="00B7767F"/>
    <w:rsid w:val="00B77786"/>
    <w:rsid w:val="00B800A4"/>
    <w:rsid w:val="00B80444"/>
    <w:rsid w:val="00B80CA0"/>
    <w:rsid w:val="00B80E41"/>
    <w:rsid w:val="00B81A53"/>
    <w:rsid w:val="00B81BF6"/>
    <w:rsid w:val="00B82405"/>
    <w:rsid w:val="00B8244F"/>
    <w:rsid w:val="00B82CE9"/>
    <w:rsid w:val="00B82D37"/>
    <w:rsid w:val="00B82F1D"/>
    <w:rsid w:val="00B83AE9"/>
    <w:rsid w:val="00B8455A"/>
    <w:rsid w:val="00B84789"/>
    <w:rsid w:val="00B8497A"/>
    <w:rsid w:val="00B849F5"/>
    <w:rsid w:val="00B84E29"/>
    <w:rsid w:val="00B850B5"/>
    <w:rsid w:val="00B8584B"/>
    <w:rsid w:val="00B864CE"/>
    <w:rsid w:val="00B86671"/>
    <w:rsid w:val="00B86802"/>
    <w:rsid w:val="00B8692E"/>
    <w:rsid w:val="00B86F90"/>
    <w:rsid w:val="00B87153"/>
    <w:rsid w:val="00B87348"/>
    <w:rsid w:val="00B8743D"/>
    <w:rsid w:val="00B87FB4"/>
    <w:rsid w:val="00B902B3"/>
    <w:rsid w:val="00B907FF"/>
    <w:rsid w:val="00B90FE5"/>
    <w:rsid w:val="00B911E0"/>
    <w:rsid w:val="00B914AF"/>
    <w:rsid w:val="00B91C4E"/>
    <w:rsid w:val="00B91EA6"/>
    <w:rsid w:val="00B92135"/>
    <w:rsid w:val="00B923A3"/>
    <w:rsid w:val="00B925A2"/>
    <w:rsid w:val="00B92BC7"/>
    <w:rsid w:val="00B930DD"/>
    <w:rsid w:val="00B933A9"/>
    <w:rsid w:val="00B93675"/>
    <w:rsid w:val="00B938EB"/>
    <w:rsid w:val="00B93AB2"/>
    <w:rsid w:val="00B93FF8"/>
    <w:rsid w:val="00B94CB4"/>
    <w:rsid w:val="00B94E49"/>
    <w:rsid w:val="00B95124"/>
    <w:rsid w:val="00B95522"/>
    <w:rsid w:val="00B95EE9"/>
    <w:rsid w:val="00B96584"/>
    <w:rsid w:val="00B96E15"/>
    <w:rsid w:val="00BA0528"/>
    <w:rsid w:val="00BA0772"/>
    <w:rsid w:val="00BA086A"/>
    <w:rsid w:val="00BA130A"/>
    <w:rsid w:val="00BA1B55"/>
    <w:rsid w:val="00BA2438"/>
    <w:rsid w:val="00BA29F6"/>
    <w:rsid w:val="00BA2C51"/>
    <w:rsid w:val="00BA2DA7"/>
    <w:rsid w:val="00BA4124"/>
    <w:rsid w:val="00BA4C2F"/>
    <w:rsid w:val="00BA4ECA"/>
    <w:rsid w:val="00BA51E1"/>
    <w:rsid w:val="00BA5DDC"/>
    <w:rsid w:val="00BA5E83"/>
    <w:rsid w:val="00BA60D5"/>
    <w:rsid w:val="00BA611D"/>
    <w:rsid w:val="00BA61BD"/>
    <w:rsid w:val="00BA67FB"/>
    <w:rsid w:val="00BA6881"/>
    <w:rsid w:val="00BA6952"/>
    <w:rsid w:val="00BA6A88"/>
    <w:rsid w:val="00BA73BD"/>
    <w:rsid w:val="00BA74E9"/>
    <w:rsid w:val="00BA7A83"/>
    <w:rsid w:val="00BA7A88"/>
    <w:rsid w:val="00BA7E59"/>
    <w:rsid w:val="00BB09F6"/>
    <w:rsid w:val="00BB0B80"/>
    <w:rsid w:val="00BB102C"/>
    <w:rsid w:val="00BB117C"/>
    <w:rsid w:val="00BB2144"/>
    <w:rsid w:val="00BB2B81"/>
    <w:rsid w:val="00BB2F50"/>
    <w:rsid w:val="00BB303F"/>
    <w:rsid w:val="00BB3FDD"/>
    <w:rsid w:val="00BB430B"/>
    <w:rsid w:val="00BB46FB"/>
    <w:rsid w:val="00BB49BD"/>
    <w:rsid w:val="00BB4B62"/>
    <w:rsid w:val="00BB5000"/>
    <w:rsid w:val="00BB5252"/>
    <w:rsid w:val="00BB5AB6"/>
    <w:rsid w:val="00BB5AFB"/>
    <w:rsid w:val="00BB60A7"/>
    <w:rsid w:val="00BB6341"/>
    <w:rsid w:val="00BB67B9"/>
    <w:rsid w:val="00BB6B22"/>
    <w:rsid w:val="00BB6DB5"/>
    <w:rsid w:val="00BB7129"/>
    <w:rsid w:val="00BB73CF"/>
    <w:rsid w:val="00BB7CDC"/>
    <w:rsid w:val="00BC12A2"/>
    <w:rsid w:val="00BC1471"/>
    <w:rsid w:val="00BC20BB"/>
    <w:rsid w:val="00BC22B5"/>
    <w:rsid w:val="00BC22EC"/>
    <w:rsid w:val="00BC27A3"/>
    <w:rsid w:val="00BC2974"/>
    <w:rsid w:val="00BC3D0D"/>
    <w:rsid w:val="00BC425A"/>
    <w:rsid w:val="00BC467D"/>
    <w:rsid w:val="00BC4B23"/>
    <w:rsid w:val="00BC524E"/>
    <w:rsid w:val="00BC543D"/>
    <w:rsid w:val="00BC5C2D"/>
    <w:rsid w:val="00BC5E64"/>
    <w:rsid w:val="00BC6CB1"/>
    <w:rsid w:val="00BC6FA6"/>
    <w:rsid w:val="00BC71EF"/>
    <w:rsid w:val="00BD002A"/>
    <w:rsid w:val="00BD115A"/>
    <w:rsid w:val="00BD1504"/>
    <w:rsid w:val="00BD173F"/>
    <w:rsid w:val="00BD240E"/>
    <w:rsid w:val="00BD28EE"/>
    <w:rsid w:val="00BD2A9C"/>
    <w:rsid w:val="00BD38E0"/>
    <w:rsid w:val="00BD3F47"/>
    <w:rsid w:val="00BD4003"/>
    <w:rsid w:val="00BD456D"/>
    <w:rsid w:val="00BD4979"/>
    <w:rsid w:val="00BD4E1F"/>
    <w:rsid w:val="00BD5092"/>
    <w:rsid w:val="00BD533D"/>
    <w:rsid w:val="00BD6284"/>
    <w:rsid w:val="00BD629C"/>
    <w:rsid w:val="00BD667F"/>
    <w:rsid w:val="00BD669D"/>
    <w:rsid w:val="00BD6C52"/>
    <w:rsid w:val="00BD6CF5"/>
    <w:rsid w:val="00BD7F3F"/>
    <w:rsid w:val="00BE0523"/>
    <w:rsid w:val="00BE08C2"/>
    <w:rsid w:val="00BE1144"/>
    <w:rsid w:val="00BE12D9"/>
    <w:rsid w:val="00BE2267"/>
    <w:rsid w:val="00BE236A"/>
    <w:rsid w:val="00BE2720"/>
    <w:rsid w:val="00BE28E9"/>
    <w:rsid w:val="00BE3043"/>
    <w:rsid w:val="00BE3443"/>
    <w:rsid w:val="00BE35B0"/>
    <w:rsid w:val="00BE3E91"/>
    <w:rsid w:val="00BE45D5"/>
    <w:rsid w:val="00BE45F1"/>
    <w:rsid w:val="00BE49C1"/>
    <w:rsid w:val="00BE4E64"/>
    <w:rsid w:val="00BE502E"/>
    <w:rsid w:val="00BE5E6A"/>
    <w:rsid w:val="00BE6440"/>
    <w:rsid w:val="00BE6B8A"/>
    <w:rsid w:val="00BE6BA1"/>
    <w:rsid w:val="00BE6D53"/>
    <w:rsid w:val="00BE6DBE"/>
    <w:rsid w:val="00BE70AE"/>
    <w:rsid w:val="00BE7418"/>
    <w:rsid w:val="00BE7BFC"/>
    <w:rsid w:val="00BE7E26"/>
    <w:rsid w:val="00BF0161"/>
    <w:rsid w:val="00BF0FDF"/>
    <w:rsid w:val="00BF11FC"/>
    <w:rsid w:val="00BF145B"/>
    <w:rsid w:val="00BF1948"/>
    <w:rsid w:val="00BF1C33"/>
    <w:rsid w:val="00BF27C2"/>
    <w:rsid w:val="00BF2B08"/>
    <w:rsid w:val="00BF2C47"/>
    <w:rsid w:val="00BF2C79"/>
    <w:rsid w:val="00BF30D7"/>
    <w:rsid w:val="00BF3552"/>
    <w:rsid w:val="00BF39CC"/>
    <w:rsid w:val="00BF39D0"/>
    <w:rsid w:val="00BF3E9A"/>
    <w:rsid w:val="00BF4069"/>
    <w:rsid w:val="00BF4DC4"/>
    <w:rsid w:val="00BF5142"/>
    <w:rsid w:val="00BF5992"/>
    <w:rsid w:val="00BF5AA8"/>
    <w:rsid w:val="00BF5F95"/>
    <w:rsid w:val="00BF63CB"/>
    <w:rsid w:val="00BF65AD"/>
    <w:rsid w:val="00BF680F"/>
    <w:rsid w:val="00BF6C31"/>
    <w:rsid w:val="00BF6C87"/>
    <w:rsid w:val="00BF6DFE"/>
    <w:rsid w:val="00BF6E13"/>
    <w:rsid w:val="00BF70C7"/>
    <w:rsid w:val="00BF757A"/>
    <w:rsid w:val="00BF7A19"/>
    <w:rsid w:val="00BF7BA1"/>
    <w:rsid w:val="00BF7E1F"/>
    <w:rsid w:val="00BFF7E3"/>
    <w:rsid w:val="00C00066"/>
    <w:rsid w:val="00C00136"/>
    <w:rsid w:val="00C00900"/>
    <w:rsid w:val="00C01DCF"/>
    <w:rsid w:val="00C0258A"/>
    <w:rsid w:val="00C02717"/>
    <w:rsid w:val="00C0292E"/>
    <w:rsid w:val="00C02A26"/>
    <w:rsid w:val="00C02FA7"/>
    <w:rsid w:val="00C037CD"/>
    <w:rsid w:val="00C039DC"/>
    <w:rsid w:val="00C03A69"/>
    <w:rsid w:val="00C03EE0"/>
    <w:rsid w:val="00C0443E"/>
    <w:rsid w:val="00C044DA"/>
    <w:rsid w:val="00C047E1"/>
    <w:rsid w:val="00C04B1F"/>
    <w:rsid w:val="00C04D28"/>
    <w:rsid w:val="00C04FA7"/>
    <w:rsid w:val="00C0503B"/>
    <w:rsid w:val="00C05BBE"/>
    <w:rsid w:val="00C065D4"/>
    <w:rsid w:val="00C0738F"/>
    <w:rsid w:val="00C078F2"/>
    <w:rsid w:val="00C10064"/>
    <w:rsid w:val="00C100A2"/>
    <w:rsid w:val="00C1072F"/>
    <w:rsid w:val="00C108C3"/>
    <w:rsid w:val="00C11C79"/>
    <w:rsid w:val="00C122F7"/>
    <w:rsid w:val="00C123C4"/>
    <w:rsid w:val="00C12676"/>
    <w:rsid w:val="00C13134"/>
    <w:rsid w:val="00C13AF6"/>
    <w:rsid w:val="00C13C17"/>
    <w:rsid w:val="00C13CD7"/>
    <w:rsid w:val="00C13E33"/>
    <w:rsid w:val="00C142DD"/>
    <w:rsid w:val="00C151D7"/>
    <w:rsid w:val="00C15929"/>
    <w:rsid w:val="00C15F4D"/>
    <w:rsid w:val="00C16731"/>
    <w:rsid w:val="00C1696A"/>
    <w:rsid w:val="00C17837"/>
    <w:rsid w:val="00C17DE5"/>
    <w:rsid w:val="00C17FD0"/>
    <w:rsid w:val="00C203C3"/>
    <w:rsid w:val="00C2064A"/>
    <w:rsid w:val="00C20DF4"/>
    <w:rsid w:val="00C20ECB"/>
    <w:rsid w:val="00C21562"/>
    <w:rsid w:val="00C21955"/>
    <w:rsid w:val="00C21B04"/>
    <w:rsid w:val="00C21FD2"/>
    <w:rsid w:val="00C22643"/>
    <w:rsid w:val="00C2276E"/>
    <w:rsid w:val="00C22CC9"/>
    <w:rsid w:val="00C22D48"/>
    <w:rsid w:val="00C233B1"/>
    <w:rsid w:val="00C2396B"/>
    <w:rsid w:val="00C24F3F"/>
    <w:rsid w:val="00C2533F"/>
    <w:rsid w:val="00C2542D"/>
    <w:rsid w:val="00C255F9"/>
    <w:rsid w:val="00C25A13"/>
    <w:rsid w:val="00C26639"/>
    <w:rsid w:val="00C26CBA"/>
    <w:rsid w:val="00C2794B"/>
    <w:rsid w:val="00C3071A"/>
    <w:rsid w:val="00C30B97"/>
    <w:rsid w:val="00C30C9F"/>
    <w:rsid w:val="00C30D8F"/>
    <w:rsid w:val="00C31150"/>
    <w:rsid w:val="00C3122D"/>
    <w:rsid w:val="00C313C2"/>
    <w:rsid w:val="00C3184F"/>
    <w:rsid w:val="00C31E40"/>
    <w:rsid w:val="00C31FFB"/>
    <w:rsid w:val="00C3201C"/>
    <w:rsid w:val="00C327D0"/>
    <w:rsid w:val="00C33416"/>
    <w:rsid w:val="00C3362F"/>
    <w:rsid w:val="00C33C3C"/>
    <w:rsid w:val="00C349F9"/>
    <w:rsid w:val="00C35352"/>
    <w:rsid w:val="00C35743"/>
    <w:rsid w:val="00C35B47"/>
    <w:rsid w:val="00C35E69"/>
    <w:rsid w:val="00C36372"/>
    <w:rsid w:val="00C36795"/>
    <w:rsid w:val="00C369B8"/>
    <w:rsid w:val="00C40082"/>
    <w:rsid w:val="00C405EC"/>
    <w:rsid w:val="00C40B99"/>
    <w:rsid w:val="00C4116E"/>
    <w:rsid w:val="00C414A5"/>
    <w:rsid w:val="00C414D9"/>
    <w:rsid w:val="00C41748"/>
    <w:rsid w:val="00C41E9A"/>
    <w:rsid w:val="00C42292"/>
    <w:rsid w:val="00C42397"/>
    <w:rsid w:val="00C42B00"/>
    <w:rsid w:val="00C43030"/>
    <w:rsid w:val="00C438C9"/>
    <w:rsid w:val="00C43C36"/>
    <w:rsid w:val="00C4407C"/>
    <w:rsid w:val="00C44A55"/>
    <w:rsid w:val="00C44CE6"/>
    <w:rsid w:val="00C44FAC"/>
    <w:rsid w:val="00C451FA"/>
    <w:rsid w:val="00C4520D"/>
    <w:rsid w:val="00C46160"/>
    <w:rsid w:val="00C462B6"/>
    <w:rsid w:val="00C475F6"/>
    <w:rsid w:val="00C501FE"/>
    <w:rsid w:val="00C507D9"/>
    <w:rsid w:val="00C50D0C"/>
    <w:rsid w:val="00C51265"/>
    <w:rsid w:val="00C518EB"/>
    <w:rsid w:val="00C5192C"/>
    <w:rsid w:val="00C51B93"/>
    <w:rsid w:val="00C5215E"/>
    <w:rsid w:val="00C52466"/>
    <w:rsid w:val="00C526DC"/>
    <w:rsid w:val="00C52B03"/>
    <w:rsid w:val="00C53154"/>
    <w:rsid w:val="00C53F24"/>
    <w:rsid w:val="00C54A95"/>
    <w:rsid w:val="00C55268"/>
    <w:rsid w:val="00C558C8"/>
    <w:rsid w:val="00C55BD3"/>
    <w:rsid w:val="00C55C2B"/>
    <w:rsid w:val="00C56514"/>
    <w:rsid w:val="00C56CFB"/>
    <w:rsid w:val="00C5727F"/>
    <w:rsid w:val="00C5769F"/>
    <w:rsid w:val="00C601E6"/>
    <w:rsid w:val="00C60845"/>
    <w:rsid w:val="00C60B8B"/>
    <w:rsid w:val="00C60FE1"/>
    <w:rsid w:val="00C627FD"/>
    <w:rsid w:val="00C62BBC"/>
    <w:rsid w:val="00C63087"/>
    <w:rsid w:val="00C63844"/>
    <w:rsid w:val="00C641D7"/>
    <w:rsid w:val="00C647BE"/>
    <w:rsid w:val="00C64B96"/>
    <w:rsid w:val="00C64BEB"/>
    <w:rsid w:val="00C64E7D"/>
    <w:rsid w:val="00C65411"/>
    <w:rsid w:val="00C654AB"/>
    <w:rsid w:val="00C657D4"/>
    <w:rsid w:val="00C65D68"/>
    <w:rsid w:val="00C662E6"/>
    <w:rsid w:val="00C664B8"/>
    <w:rsid w:val="00C664E7"/>
    <w:rsid w:val="00C66E1D"/>
    <w:rsid w:val="00C672A9"/>
    <w:rsid w:val="00C67FF6"/>
    <w:rsid w:val="00C701A1"/>
    <w:rsid w:val="00C7129B"/>
    <w:rsid w:val="00C71378"/>
    <w:rsid w:val="00C71D88"/>
    <w:rsid w:val="00C730BA"/>
    <w:rsid w:val="00C7391F"/>
    <w:rsid w:val="00C73DC4"/>
    <w:rsid w:val="00C746FE"/>
    <w:rsid w:val="00C74BDF"/>
    <w:rsid w:val="00C7575E"/>
    <w:rsid w:val="00C75A62"/>
    <w:rsid w:val="00C75A64"/>
    <w:rsid w:val="00C7631F"/>
    <w:rsid w:val="00C77261"/>
    <w:rsid w:val="00C77C43"/>
    <w:rsid w:val="00C77FA7"/>
    <w:rsid w:val="00C809F3"/>
    <w:rsid w:val="00C80C24"/>
    <w:rsid w:val="00C81328"/>
    <w:rsid w:val="00C81498"/>
    <w:rsid w:val="00C82A95"/>
    <w:rsid w:val="00C8309A"/>
    <w:rsid w:val="00C8354D"/>
    <w:rsid w:val="00C8362E"/>
    <w:rsid w:val="00C83C2C"/>
    <w:rsid w:val="00C83D45"/>
    <w:rsid w:val="00C840AC"/>
    <w:rsid w:val="00C845D7"/>
    <w:rsid w:val="00C845F9"/>
    <w:rsid w:val="00C84F23"/>
    <w:rsid w:val="00C8564F"/>
    <w:rsid w:val="00C8673E"/>
    <w:rsid w:val="00C868AB"/>
    <w:rsid w:val="00C868B0"/>
    <w:rsid w:val="00C869A1"/>
    <w:rsid w:val="00C87AE4"/>
    <w:rsid w:val="00C9002D"/>
    <w:rsid w:val="00C9113F"/>
    <w:rsid w:val="00C9153A"/>
    <w:rsid w:val="00C915AA"/>
    <w:rsid w:val="00C91623"/>
    <w:rsid w:val="00C91D52"/>
    <w:rsid w:val="00C92949"/>
    <w:rsid w:val="00C92977"/>
    <w:rsid w:val="00C92993"/>
    <w:rsid w:val="00C92D93"/>
    <w:rsid w:val="00C92F42"/>
    <w:rsid w:val="00C93420"/>
    <w:rsid w:val="00C9342F"/>
    <w:rsid w:val="00C93A74"/>
    <w:rsid w:val="00C945B2"/>
    <w:rsid w:val="00C945DF"/>
    <w:rsid w:val="00C949B7"/>
    <w:rsid w:val="00C94AEF"/>
    <w:rsid w:val="00C958DC"/>
    <w:rsid w:val="00C95A68"/>
    <w:rsid w:val="00C95CC1"/>
    <w:rsid w:val="00C95D8F"/>
    <w:rsid w:val="00C96704"/>
    <w:rsid w:val="00C96B2D"/>
    <w:rsid w:val="00C96E45"/>
    <w:rsid w:val="00C9716F"/>
    <w:rsid w:val="00CA025B"/>
    <w:rsid w:val="00CA0FB0"/>
    <w:rsid w:val="00CA162B"/>
    <w:rsid w:val="00CA1AFD"/>
    <w:rsid w:val="00CA1E31"/>
    <w:rsid w:val="00CA23CF"/>
    <w:rsid w:val="00CA24DE"/>
    <w:rsid w:val="00CA2A40"/>
    <w:rsid w:val="00CA30F6"/>
    <w:rsid w:val="00CA3466"/>
    <w:rsid w:val="00CA34DA"/>
    <w:rsid w:val="00CA39F4"/>
    <w:rsid w:val="00CA3A9C"/>
    <w:rsid w:val="00CA3B8F"/>
    <w:rsid w:val="00CA3D8A"/>
    <w:rsid w:val="00CA43A9"/>
    <w:rsid w:val="00CA4879"/>
    <w:rsid w:val="00CA4BD5"/>
    <w:rsid w:val="00CA5021"/>
    <w:rsid w:val="00CA60DC"/>
    <w:rsid w:val="00CA6698"/>
    <w:rsid w:val="00CA6902"/>
    <w:rsid w:val="00CA7430"/>
    <w:rsid w:val="00CA762B"/>
    <w:rsid w:val="00CA7A12"/>
    <w:rsid w:val="00CA7B24"/>
    <w:rsid w:val="00CA7B87"/>
    <w:rsid w:val="00CA7DF7"/>
    <w:rsid w:val="00CA7E03"/>
    <w:rsid w:val="00CB0018"/>
    <w:rsid w:val="00CB01D4"/>
    <w:rsid w:val="00CB06F9"/>
    <w:rsid w:val="00CB0BBF"/>
    <w:rsid w:val="00CB0F00"/>
    <w:rsid w:val="00CB0F3A"/>
    <w:rsid w:val="00CB158E"/>
    <w:rsid w:val="00CB15F6"/>
    <w:rsid w:val="00CB1EAC"/>
    <w:rsid w:val="00CB1F7F"/>
    <w:rsid w:val="00CB27BC"/>
    <w:rsid w:val="00CB2A4B"/>
    <w:rsid w:val="00CB2C7A"/>
    <w:rsid w:val="00CB3055"/>
    <w:rsid w:val="00CB33E6"/>
    <w:rsid w:val="00CB33FF"/>
    <w:rsid w:val="00CB39F6"/>
    <w:rsid w:val="00CB3D40"/>
    <w:rsid w:val="00CB4118"/>
    <w:rsid w:val="00CB4177"/>
    <w:rsid w:val="00CB4563"/>
    <w:rsid w:val="00CB4ABC"/>
    <w:rsid w:val="00CB4D6F"/>
    <w:rsid w:val="00CB5A7E"/>
    <w:rsid w:val="00CB651C"/>
    <w:rsid w:val="00CB70CD"/>
    <w:rsid w:val="00CB729C"/>
    <w:rsid w:val="00CB7749"/>
    <w:rsid w:val="00CB78DD"/>
    <w:rsid w:val="00CB79AE"/>
    <w:rsid w:val="00CB7D31"/>
    <w:rsid w:val="00CC0024"/>
    <w:rsid w:val="00CC03BC"/>
    <w:rsid w:val="00CC0586"/>
    <w:rsid w:val="00CC06C1"/>
    <w:rsid w:val="00CC075F"/>
    <w:rsid w:val="00CC0D15"/>
    <w:rsid w:val="00CC0DFF"/>
    <w:rsid w:val="00CC0ECC"/>
    <w:rsid w:val="00CC16E5"/>
    <w:rsid w:val="00CC172C"/>
    <w:rsid w:val="00CC177A"/>
    <w:rsid w:val="00CC192F"/>
    <w:rsid w:val="00CC209C"/>
    <w:rsid w:val="00CC20C9"/>
    <w:rsid w:val="00CC235F"/>
    <w:rsid w:val="00CC2667"/>
    <w:rsid w:val="00CC2E5C"/>
    <w:rsid w:val="00CC322F"/>
    <w:rsid w:val="00CC35E9"/>
    <w:rsid w:val="00CC3C14"/>
    <w:rsid w:val="00CC456E"/>
    <w:rsid w:val="00CC48C1"/>
    <w:rsid w:val="00CC4DE7"/>
    <w:rsid w:val="00CC5C2F"/>
    <w:rsid w:val="00CC5FED"/>
    <w:rsid w:val="00CC6410"/>
    <w:rsid w:val="00CC6630"/>
    <w:rsid w:val="00CC6AD9"/>
    <w:rsid w:val="00CC6F3E"/>
    <w:rsid w:val="00CC77B0"/>
    <w:rsid w:val="00CD004E"/>
    <w:rsid w:val="00CD0685"/>
    <w:rsid w:val="00CD0732"/>
    <w:rsid w:val="00CD092F"/>
    <w:rsid w:val="00CD106C"/>
    <w:rsid w:val="00CD1195"/>
    <w:rsid w:val="00CD1A59"/>
    <w:rsid w:val="00CD1D21"/>
    <w:rsid w:val="00CD1DB0"/>
    <w:rsid w:val="00CD1E33"/>
    <w:rsid w:val="00CD20EA"/>
    <w:rsid w:val="00CD258B"/>
    <w:rsid w:val="00CD2B7F"/>
    <w:rsid w:val="00CD3759"/>
    <w:rsid w:val="00CD3DDF"/>
    <w:rsid w:val="00CD3FF9"/>
    <w:rsid w:val="00CD4302"/>
    <w:rsid w:val="00CD431A"/>
    <w:rsid w:val="00CD4FBE"/>
    <w:rsid w:val="00CD5282"/>
    <w:rsid w:val="00CD5307"/>
    <w:rsid w:val="00CD536D"/>
    <w:rsid w:val="00CD568F"/>
    <w:rsid w:val="00CD5C7E"/>
    <w:rsid w:val="00CD5D81"/>
    <w:rsid w:val="00CD5F37"/>
    <w:rsid w:val="00CD60FB"/>
    <w:rsid w:val="00CD7704"/>
    <w:rsid w:val="00CD7889"/>
    <w:rsid w:val="00CD7BA5"/>
    <w:rsid w:val="00CD7CE9"/>
    <w:rsid w:val="00CE12E4"/>
    <w:rsid w:val="00CE14AA"/>
    <w:rsid w:val="00CE1780"/>
    <w:rsid w:val="00CE1A60"/>
    <w:rsid w:val="00CE25AF"/>
    <w:rsid w:val="00CE286A"/>
    <w:rsid w:val="00CE2C5E"/>
    <w:rsid w:val="00CE31F1"/>
    <w:rsid w:val="00CE3597"/>
    <w:rsid w:val="00CE36E9"/>
    <w:rsid w:val="00CE37E2"/>
    <w:rsid w:val="00CE3804"/>
    <w:rsid w:val="00CE42BC"/>
    <w:rsid w:val="00CE4544"/>
    <w:rsid w:val="00CE5220"/>
    <w:rsid w:val="00CE532D"/>
    <w:rsid w:val="00CE5CC7"/>
    <w:rsid w:val="00CE5D52"/>
    <w:rsid w:val="00CE6A3D"/>
    <w:rsid w:val="00CE7049"/>
    <w:rsid w:val="00CF0531"/>
    <w:rsid w:val="00CF1BB8"/>
    <w:rsid w:val="00CF1BED"/>
    <w:rsid w:val="00CF220E"/>
    <w:rsid w:val="00CF26C0"/>
    <w:rsid w:val="00CF2930"/>
    <w:rsid w:val="00CF2B19"/>
    <w:rsid w:val="00CF2CD7"/>
    <w:rsid w:val="00CF32D8"/>
    <w:rsid w:val="00CF3442"/>
    <w:rsid w:val="00CF3DA3"/>
    <w:rsid w:val="00CF41A3"/>
    <w:rsid w:val="00CF4296"/>
    <w:rsid w:val="00CF4BF3"/>
    <w:rsid w:val="00CF4E51"/>
    <w:rsid w:val="00CF5E5F"/>
    <w:rsid w:val="00CF63E1"/>
    <w:rsid w:val="00CF6670"/>
    <w:rsid w:val="00CF6939"/>
    <w:rsid w:val="00CF6DC3"/>
    <w:rsid w:val="00D0004E"/>
    <w:rsid w:val="00D001C4"/>
    <w:rsid w:val="00D00D4D"/>
    <w:rsid w:val="00D01AE1"/>
    <w:rsid w:val="00D01E70"/>
    <w:rsid w:val="00D01EB0"/>
    <w:rsid w:val="00D025E2"/>
    <w:rsid w:val="00D02E09"/>
    <w:rsid w:val="00D041D8"/>
    <w:rsid w:val="00D0428D"/>
    <w:rsid w:val="00D05379"/>
    <w:rsid w:val="00D05404"/>
    <w:rsid w:val="00D058D7"/>
    <w:rsid w:val="00D05D9E"/>
    <w:rsid w:val="00D05F00"/>
    <w:rsid w:val="00D064A2"/>
    <w:rsid w:val="00D07AE2"/>
    <w:rsid w:val="00D10047"/>
    <w:rsid w:val="00D102EC"/>
    <w:rsid w:val="00D10622"/>
    <w:rsid w:val="00D106EE"/>
    <w:rsid w:val="00D10839"/>
    <w:rsid w:val="00D10C50"/>
    <w:rsid w:val="00D113BF"/>
    <w:rsid w:val="00D1268A"/>
    <w:rsid w:val="00D1281C"/>
    <w:rsid w:val="00D12E05"/>
    <w:rsid w:val="00D140AD"/>
    <w:rsid w:val="00D14696"/>
    <w:rsid w:val="00D149B7"/>
    <w:rsid w:val="00D149D6"/>
    <w:rsid w:val="00D14D06"/>
    <w:rsid w:val="00D15040"/>
    <w:rsid w:val="00D1572A"/>
    <w:rsid w:val="00D15C60"/>
    <w:rsid w:val="00D170C4"/>
    <w:rsid w:val="00D171E3"/>
    <w:rsid w:val="00D17208"/>
    <w:rsid w:val="00D175F9"/>
    <w:rsid w:val="00D20F1C"/>
    <w:rsid w:val="00D20FB7"/>
    <w:rsid w:val="00D21103"/>
    <w:rsid w:val="00D2119D"/>
    <w:rsid w:val="00D21202"/>
    <w:rsid w:val="00D214D9"/>
    <w:rsid w:val="00D214F5"/>
    <w:rsid w:val="00D21774"/>
    <w:rsid w:val="00D21B83"/>
    <w:rsid w:val="00D21FB8"/>
    <w:rsid w:val="00D239B6"/>
    <w:rsid w:val="00D23C64"/>
    <w:rsid w:val="00D23DC1"/>
    <w:rsid w:val="00D24644"/>
    <w:rsid w:val="00D24F1C"/>
    <w:rsid w:val="00D252DD"/>
    <w:rsid w:val="00D253BD"/>
    <w:rsid w:val="00D25430"/>
    <w:rsid w:val="00D257DC"/>
    <w:rsid w:val="00D2644F"/>
    <w:rsid w:val="00D266CE"/>
    <w:rsid w:val="00D2695D"/>
    <w:rsid w:val="00D2697A"/>
    <w:rsid w:val="00D30132"/>
    <w:rsid w:val="00D304A0"/>
    <w:rsid w:val="00D306BA"/>
    <w:rsid w:val="00D30CFF"/>
    <w:rsid w:val="00D30D26"/>
    <w:rsid w:val="00D30DB5"/>
    <w:rsid w:val="00D317F3"/>
    <w:rsid w:val="00D3199C"/>
    <w:rsid w:val="00D3222C"/>
    <w:rsid w:val="00D325F2"/>
    <w:rsid w:val="00D326F2"/>
    <w:rsid w:val="00D32856"/>
    <w:rsid w:val="00D3292B"/>
    <w:rsid w:val="00D32B95"/>
    <w:rsid w:val="00D32C59"/>
    <w:rsid w:val="00D32DCB"/>
    <w:rsid w:val="00D33110"/>
    <w:rsid w:val="00D335F2"/>
    <w:rsid w:val="00D338B6"/>
    <w:rsid w:val="00D33ABD"/>
    <w:rsid w:val="00D33FEE"/>
    <w:rsid w:val="00D3419A"/>
    <w:rsid w:val="00D34335"/>
    <w:rsid w:val="00D34CB9"/>
    <w:rsid w:val="00D34CDE"/>
    <w:rsid w:val="00D3513E"/>
    <w:rsid w:val="00D353F2"/>
    <w:rsid w:val="00D35B0E"/>
    <w:rsid w:val="00D35DEC"/>
    <w:rsid w:val="00D361B9"/>
    <w:rsid w:val="00D36CAC"/>
    <w:rsid w:val="00D36D2C"/>
    <w:rsid w:val="00D36E33"/>
    <w:rsid w:val="00D37306"/>
    <w:rsid w:val="00D37353"/>
    <w:rsid w:val="00D37894"/>
    <w:rsid w:val="00D37A9C"/>
    <w:rsid w:val="00D40200"/>
    <w:rsid w:val="00D40948"/>
    <w:rsid w:val="00D40E3D"/>
    <w:rsid w:val="00D40E6C"/>
    <w:rsid w:val="00D41547"/>
    <w:rsid w:val="00D429F6"/>
    <w:rsid w:val="00D42BD3"/>
    <w:rsid w:val="00D4323D"/>
    <w:rsid w:val="00D43636"/>
    <w:rsid w:val="00D442C7"/>
    <w:rsid w:val="00D44554"/>
    <w:rsid w:val="00D44B40"/>
    <w:rsid w:val="00D44E21"/>
    <w:rsid w:val="00D44FCC"/>
    <w:rsid w:val="00D4548D"/>
    <w:rsid w:val="00D46446"/>
    <w:rsid w:val="00D46A07"/>
    <w:rsid w:val="00D46B7C"/>
    <w:rsid w:val="00D46EF2"/>
    <w:rsid w:val="00D47114"/>
    <w:rsid w:val="00D4717F"/>
    <w:rsid w:val="00D50524"/>
    <w:rsid w:val="00D511C3"/>
    <w:rsid w:val="00D51929"/>
    <w:rsid w:val="00D51F7E"/>
    <w:rsid w:val="00D52272"/>
    <w:rsid w:val="00D5265A"/>
    <w:rsid w:val="00D52E5C"/>
    <w:rsid w:val="00D5373F"/>
    <w:rsid w:val="00D53BAE"/>
    <w:rsid w:val="00D53C8D"/>
    <w:rsid w:val="00D53E78"/>
    <w:rsid w:val="00D54456"/>
    <w:rsid w:val="00D54A89"/>
    <w:rsid w:val="00D54E09"/>
    <w:rsid w:val="00D54EFB"/>
    <w:rsid w:val="00D55094"/>
    <w:rsid w:val="00D551C3"/>
    <w:rsid w:val="00D56225"/>
    <w:rsid w:val="00D56468"/>
    <w:rsid w:val="00D5650B"/>
    <w:rsid w:val="00D56C97"/>
    <w:rsid w:val="00D56D52"/>
    <w:rsid w:val="00D56EB3"/>
    <w:rsid w:val="00D57043"/>
    <w:rsid w:val="00D571D9"/>
    <w:rsid w:val="00D57BCC"/>
    <w:rsid w:val="00D57CEA"/>
    <w:rsid w:val="00D57E11"/>
    <w:rsid w:val="00D57E80"/>
    <w:rsid w:val="00D60933"/>
    <w:rsid w:val="00D60EED"/>
    <w:rsid w:val="00D60FF7"/>
    <w:rsid w:val="00D60FFA"/>
    <w:rsid w:val="00D616A6"/>
    <w:rsid w:val="00D61B81"/>
    <w:rsid w:val="00D621FB"/>
    <w:rsid w:val="00D6241A"/>
    <w:rsid w:val="00D62697"/>
    <w:rsid w:val="00D6278B"/>
    <w:rsid w:val="00D62D48"/>
    <w:rsid w:val="00D62F3C"/>
    <w:rsid w:val="00D63EAF"/>
    <w:rsid w:val="00D64075"/>
    <w:rsid w:val="00D646B0"/>
    <w:rsid w:val="00D64CE8"/>
    <w:rsid w:val="00D66FAA"/>
    <w:rsid w:val="00D6769B"/>
    <w:rsid w:val="00D67E4D"/>
    <w:rsid w:val="00D6DA7C"/>
    <w:rsid w:val="00D70D9E"/>
    <w:rsid w:val="00D71190"/>
    <w:rsid w:val="00D7133C"/>
    <w:rsid w:val="00D714C3"/>
    <w:rsid w:val="00D715B8"/>
    <w:rsid w:val="00D71AC5"/>
    <w:rsid w:val="00D7259C"/>
    <w:rsid w:val="00D729EB"/>
    <w:rsid w:val="00D72F27"/>
    <w:rsid w:val="00D730CE"/>
    <w:rsid w:val="00D73161"/>
    <w:rsid w:val="00D7331C"/>
    <w:rsid w:val="00D73C51"/>
    <w:rsid w:val="00D74066"/>
    <w:rsid w:val="00D74335"/>
    <w:rsid w:val="00D74689"/>
    <w:rsid w:val="00D74AF1"/>
    <w:rsid w:val="00D74B69"/>
    <w:rsid w:val="00D7544C"/>
    <w:rsid w:val="00D75FDE"/>
    <w:rsid w:val="00D762CE"/>
    <w:rsid w:val="00D76EC7"/>
    <w:rsid w:val="00D76F2A"/>
    <w:rsid w:val="00D77582"/>
    <w:rsid w:val="00D77FC0"/>
    <w:rsid w:val="00D808C1"/>
    <w:rsid w:val="00D80D39"/>
    <w:rsid w:val="00D81731"/>
    <w:rsid w:val="00D82147"/>
    <w:rsid w:val="00D8291C"/>
    <w:rsid w:val="00D82944"/>
    <w:rsid w:val="00D82CF5"/>
    <w:rsid w:val="00D83141"/>
    <w:rsid w:val="00D833C1"/>
    <w:rsid w:val="00D8386D"/>
    <w:rsid w:val="00D83BD2"/>
    <w:rsid w:val="00D83C03"/>
    <w:rsid w:val="00D83C0E"/>
    <w:rsid w:val="00D83CC4"/>
    <w:rsid w:val="00D83D8A"/>
    <w:rsid w:val="00D83F97"/>
    <w:rsid w:val="00D852E4"/>
    <w:rsid w:val="00D85B58"/>
    <w:rsid w:val="00D85EAC"/>
    <w:rsid w:val="00D86386"/>
    <w:rsid w:val="00D86B87"/>
    <w:rsid w:val="00D87070"/>
    <w:rsid w:val="00D8766A"/>
    <w:rsid w:val="00D903D0"/>
    <w:rsid w:val="00D90ECB"/>
    <w:rsid w:val="00D90F70"/>
    <w:rsid w:val="00D91D11"/>
    <w:rsid w:val="00D91F5A"/>
    <w:rsid w:val="00D921DF"/>
    <w:rsid w:val="00D9388B"/>
    <w:rsid w:val="00D93D62"/>
    <w:rsid w:val="00D95512"/>
    <w:rsid w:val="00D95691"/>
    <w:rsid w:val="00D96792"/>
    <w:rsid w:val="00D96AA2"/>
    <w:rsid w:val="00D96BB3"/>
    <w:rsid w:val="00D96EAB"/>
    <w:rsid w:val="00D97655"/>
    <w:rsid w:val="00D978B4"/>
    <w:rsid w:val="00D978C8"/>
    <w:rsid w:val="00D97D3F"/>
    <w:rsid w:val="00DA03BA"/>
    <w:rsid w:val="00DA06F6"/>
    <w:rsid w:val="00DA0A52"/>
    <w:rsid w:val="00DA151B"/>
    <w:rsid w:val="00DA1F0E"/>
    <w:rsid w:val="00DA265B"/>
    <w:rsid w:val="00DA3713"/>
    <w:rsid w:val="00DA381E"/>
    <w:rsid w:val="00DA4761"/>
    <w:rsid w:val="00DA53F4"/>
    <w:rsid w:val="00DA5746"/>
    <w:rsid w:val="00DA5E68"/>
    <w:rsid w:val="00DA605C"/>
    <w:rsid w:val="00DA662D"/>
    <w:rsid w:val="00DA66C3"/>
    <w:rsid w:val="00DA66DA"/>
    <w:rsid w:val="00DA6A82"/>
    <w:rsid w:val="00DA70C5"/>
    <w:rsid w:val="00DA7663"/>
    <w:rsid w:val="00DA76B2"/>
    <w:rsid w:val="00DB165D"/>
    <w:rsid w:val="00DB1661"/>
    <w:rsid w:val="00DB1857"/>
    <w:rsid w:val="00DB19B0"/>
    <w:rsid w:val="00DB1A19"/>
    <w:rsid w:val="00DB221C"/>
    <w:rsid w:val="00DB29E1"/>
    <w:rsid w:val="00DB3AEE"/>
    <w:rsid w:val="00DB3BD6"/>
    <w:rsid w:val="00DB3EC2"/>
    <w:rsid w:val="00DB3FAC"/>
    <w:rsid w:val="00DB4172"/>
    <w:rsid w:val="00DB43F9"/>
    <w:rsid w:val="00DB489B"/>
    <w:rsid w:val="00DB510C"/>
    <w:rsid w:val="00DB5878"/>
    <w:rsid w:val="00DB5F24"/>
    <w:rsid w:val="00DB6C73"/>
    <w:rsid w:val="00DB6EED"/>
    <w:rsid w:val="00DB7287"/>
    <w:rsid w:val="00DC048F"/>
    <w:rsid w:val="00DC0A10"/>
    <w:rsid w:val="00DC0EDF"/>
    <w:rsid w:val="00DC161B"/>
    <w:rsid w:val="00DC2212"/>
    <w:rsid w:val="00DC2753"/>
    <w:rsid w:val="00DC2EB9"/>
    <w:rsid w:val="00DC3B36"/>
    <w:rsid w:val="00DC3D8D"/>
    <w:rsid w:val="00DC3DBC"/>
    <w:rsid w:val="00DC4079"/>
    <w:rsid w:val="00DC425D"/>
    <w:rsid w:val="00DC43C2"/>
    <w:rsid w:val="00DC4CCA"/>
    <w:rsid w:val="00DC4DB5"/>
    <w:rsid w:val="00DC4E8C"/>
    <w:rsid w:val="00DC553C"/>
    <w:rsid w:val="00DC5F25"/>
    <w:rsid w:val="00DC608E"/>
    <w:rsid w:val="00DC6098"/>
    <w:rsid w:val="00DC655B"/>
    <w:rsid w:val="00DC6EC5"/>
    <w:rsid w:val="00DC7280"/>
    <w:rsid w:val="00DC7576"/>
    <w:rsid w:val="00DD01E2"/>
    <w:rsid w:val="00DD060E"/>
    <w:rsid w:val="00DD0788"/>
    <w:rsid w:val="00DD0DC5"/>
    <w:rsid w:val="00DD0F52"/>
    <w:rsid w:val="00DD122B"/>
    <w:rsid w:val="00DD1490"/>
    <w:rsid w:val="00DD1CC5"/>
    <w:rsid w:val="00DD2998"/>
    <w:rsid w:val="00DD2FDA"/>
    <w:rsid w:val="00DD33E0"/>
    <w:rsid w:val="00DD349D"/>
    <w:rsid w:val="00DD3BC3"/>
    <w:rsid w:val="00DD4168"/>
    <w:rsid w:val="00DD44A5"/>
    <w:rsid w:val="00DD472C"/>
    <w:rsid w:val="00DD497D"/>
    <w:rsid w:val="00DD4BBB"/>
    <w:rsid w:val="00DD4C8B"/>
    <w:rsid w:val="00DD541B"/>
    <w:rsid w:val="00DD595F"/>
    <w:rsid w:val="00DD5B07"/>
    <w:rsid w:val="00DD5B86"/>
    <w:rsid w:val="00DD5C70"/>
    <w:rsid w:val="00DD5F1B"/>
    <w:rsid w:val="00DD5F8F"/>
    <w:rsid w:val="00DD62FE"/>
    <w:rsid w:val="00DD6321"/>
    <w:rsid w:val="00DD6332"/>
    <w:rsid w:val="00DD670D"/>
    <w:rsid w:val="00DD69AA"/>
    <w:rsid w:val="00DD766A"/>
    <w:rsid w:val="00DD7883"/>
    <w:rsid w:val="00DD7A12"/>
    <w:rsid w:val="00DE03F3"/>
    <w:rsid w:val="00DE03F7"/>
    <w:rsid w:val="00DE0BAB"/>
    <w:rsid w:val="00DE0EE1"/>
    <w:rsid w:val="00DE1D45"/>
    <w:rsid w:val="00DE2937"/>
    <w:rsid w:val="00DE2A28"/>
    <w:rsid w:val="00DE2B4B"/>
    <w:rsid w:val="00DE2E56"/>
    <w:rsid w:val="00DE2F5A"/>
    <w:rsid w:val="00DE3067"/>
    <w:rsid w:val="00DE4069"/>
    <w:rsid w:val="00DE4711"/>
    <w:rsid w:val="00DE53A0"/>
    <w:rsid w:val="00DE53C3"/>
    <w:rsid w:val="00DE564B"/>
    <w:rsid w:val="00DE5699"/>
    <w:rsid w:val="00DE60E5"/>
    <w:rsid w:val="00DE62F6"/>
    <w:rsid w:val="00DE6B1E"/>
    <w:rsid w:val="00DE6C66"/>
    <w:rsid w:val="00DE7192"/>
    <w:rsid w:val="00DE7E99"/>
    <w:rsid w:val="00DE7EFE"/>
    <w:rsid w:val="00DE7F0D"/>
    <w:rsid w:val="00DF01C6"/>
    <w:rsid w:val="00DF0CBD"/>
    <w:rsid w:val="00DF120A"/>
    <w:rsid w:val="00DF13AA"/>
    <w:rsid w:val="00DF180B"/>
    <w:rsid w:val="00DF1B39"/>
    <w:rsid w:val="00DF1B5B"/>
    <w:rsid w:val="00DF1BA2"/>
    <w:rsid w:val="00DF254F"/>
    <w:rsid w:val="00DF2656"/>
    <w:rsid w:val="00DF2CFB"/>
    <w:rsid w:val="00DF2F15"/>
    <w:rsid w:val="00DF3820"/>
    <w:rsid w:val="00DF385C"/>
    <w:rsid w:val="00DF3F10"/>
    <w:rsid w:val="00DF42EA"/>
    <w:rsid w:val="00DF554D"/>
    <w:rsid w:val="00DF56EE"/>
    <w:rsid w:val="00DF5723"/>
    <w:rsid w:val="00DF5AE3"/>
    <w:rsid w:val="00DF5E8B"/>
    <w:rsid w:val="00DF6B5F"/>
    <w:rsid w:val="00DF6E7E"/>
    <w:rsid w:val="00DF7D42"/>
    <w:rsid w:val="00E0018D"/>
    <w:rsid w:val="00E00DCF"/>
    <w:rsid w:val="00E00E3B"/>
    <w:rsid w:val="00E013D0"/>
    <w:rsid w:val="00E013F6"/>
    <w:rsid w:val="00E015E9"/>
    <w:rsid w:val="00E01B9E"/>
    <w:rsid w:val="00E01BA7"/>
    <w:rsid w:val="00E01FC3"/>
    <w:rsid w:val="00E02360"/>
    <w:rsid w:val="00E02BF6"/>
    <w:rsid w:val="00E02E84"/>
    <w:rsid w:val="00E03D17"/>
    <w:rsid w:val="00E03F8F"/>
    <w:rsid w:val="00E04A29"/>
    <w:rsid w:val="00E05278"/>
    <w:rsid w:val="00E06B1F"/>
    <w:rsid w:val="00E06B33"/>
    <w:rsid w:val="00E06D26"/>
    <w:rsid w:val="00E06D2D"/>
    <w:rsid w:val="00E07150"/>
    <w:rsid w:val="00E07579"/>
    <w:rsid w:val="00E07610"/>
    <w:rsid w:val="00E07811"/>
    <w:rsid w:val="00E0792D"/>
    <w:rsid w:val="00E07AA3"/>
    <w:rsid w:val="00E1083E"/>
    <w:rsid w:val="00E10B5F"/>
    <w:rsid w:val="00E10F5C"/>
    <w:rsid w:val="00E10F8A"/>
    <w:rsid w:val="00E11449"/>
    <w:rsid w:val="00E11646"/>
    <w:rsid w:val="00E11C2F"/>
    <w:rsid w:val="00E11DD8"/>
    <w:rsid w:val="00E12333"/>
    <w:rsid w:val="00E1251D"/>
    <w:rsid w:val="00E12844"/>
    <w:rsid w:val="00E13440"/>
    <w:rsid w:val="00E13620"/>
    <w:rsid w:val="00E13CFB"/>
    <w:rsid w:val="00E13E02"/>
    <w:rsid w:val="00E13E8D"/>
    <w:rsid w:val="00E14573"/>
    <w:rsid w:val="00E14897"/>
    <w:rsid w:val="00E15356"/>
    <w:rsid w:val="00E15D95"/>
    <w:rsid w:val="00E15D99"/>
    <w:rsid w:val="00E15E88"/>
    <w:rsid w:val="00E1631A"/>
    <w:rsid w:val="00E16564"/>
    <w:rsid w:val="00E166B7"/>
    <w:rsid w:val="00E16C78"/>
    <w:rsid w:val="00E17449"/>
    <w:rsid w:val="00E200BC"/>
    <w:rsid w:val="00E201B3"/>
    <w:rsid w:val="00E2070A"/>
    <w:rsid w:val="00E209B5"/>
    <w:rsid w:val="00E20AEB"/>
    <w:rsid w:val="00E20DE3"/>
    <w:rsid w:val="00E217D6"/>
    <w:rsid w:val="00E21E8C"/>
    <w:rsid w:val="00E21FEC"/>
    <w:rsid w:val="00E228B2"/>
    <w:rsid w:val="00E23265"/>
    <w:rsid w:val="00E246B3"/>
    <w:rsid w:val="00E24720"/>
    <w:rsid w:val="00E253C1"/>
    <w:rsid w:val="00E25CE2"/>
    <w:rsid w:val="00E2609B"/>
    <w:rsid w:val="00E26162"/>
    <w:rsid w:val="00E261C8"/>
    <w:rsid w:val="00E2643C"/>
    <w:rsid w:val="00E26AF0"/>
    <w:rsid w:val="00E26F88"/>
    <w:rsid w:val="00E27465"/>
    <w:rsid w:val="00E27D16"/>
    <w:rsid w:val="00E3076A"/>
    <w:rsid w:val="00E30AF2"/>
    <w:rsid w:val="00E30D1E"/>
    <w:rsid w:val="00E30E57"/>
    <w:rsid w:val="00E30EAB"/>
    <w:rsid w:val="00E30F31"/>
    <w:rsid w:val="00E320F2"/>
    <w:rsid w:val="00E32985"/>
    <w:rsid w:val="00E32E01"/>
    <w:rsid w:val="00E33E67"/>
    <w:rsid w:val="00E348BA"/>
    <w:rsid w:val="00E34FA9"/>
    <w:rsid w:val="00E35432"/>
    <w:rsid w:val="00E35CB9"/>
    <w:rsid w:val="00E3657B"/>
    <w:rsid w:val="00E36F3E"/>
    <w:rsid w:val="00E3712C"/>
    <w:rsid w:val="00E374F8"/>
    <w:rsid w:val="00E400C4"/>
    <w:rsid w:val="00E4025E"/>
    <w:rsid w:val="00E40B64"/>
    <w:rsid w:val="00E41017"/>
    <w:rsid w:val="00E418C4"/>
    <w:rsid w:val="00E41BD3"/>
    <w:rsid w:val="00E41E58"/>
    <w:rsid w:val="00E41E98"/>
    <w:rsid w:val="00E42AFC"/>
    <w:rsid w:val="00E42EEB"/>
    <w:rsid w:val="00E43C8D"/>
    <w:rsid w:val="00E43E85"/>
    <w:rsid w:val="00E4417C"/>
    <w:rsid w:val="00E444D7"/>
    <w:rsid w:val="00E449B7"/>
    <w:rsid w:val="00E45A74"/>
    <w:rsid w:val="00E45E61"/>
    <w:rsid w:val="00E46057"/>
    <w:rsid w:val="00E46660"/>
    <w:rsid w:val="00E46FE7"/>
    <w:rsid w:val="00E50E4D"/>
    <w:rsid w:val="00E50E54"/>
    <w:rsid w:val="00E50F4C"/>
    <w:rsid w:val="00E50FAF"/>
    <w:rsid w:val="00E518A0"/>
    <w:rsid w:val="00E528FE"/>
    <w:rsid w:val="00E52F64"/>
    <w:rsid w:val="00E53A44"/>
    <w:rsid w:val="00E53BD3"/>
    <w:rsid w:val="00E540D8"/>
    <w:rsid w:val="00E5435D"/>
    <w:rsid w:val="00E548A5"/>
    <w:rsid w:val="00E54B68"/>
    <w:rsid w:val="00E55F4C"/>
    <w:rsid w:val="00E55F55"/>
    <w:rsid w:val="00E56627"/>
    <w:rsid w:val="00E56C72"/>
    <w:rsid w:val="00E5720F"/>
    <w:rsid w:val="00E5756A"/>
    <w:rsid w:val="00E57C35"/>
    <w:rsid w:val="00E605C9"/>
    <w:rsid w:val="00E60B55"/>
    <w:rsid w:val="00E60D0A"/>
    <w:rsid w:val="00E613B7"/>
    <w:rsid w:val="00E6143B"/>
    <w:rsid w:val="00E614B2"/>
    <w:rsid w:val="00E6165F"/>
    <w:rsid w:val="00E622EF"/>
    <w:rsid w:val="00E6286C"/>
    <w:rsid w:val="00E629F1"/>
    <w:rsid w:val="00E62F79"/>
    <w:rsid w:val="00E63245"/>
    <w:rsid w:val="00E649AD"/>
    <w:rsid w:val="00E64CD4"/>
    <w:rsid w:val="00E64D6F"/>
    <w:rsid w:val="00E64EC3"/>
    <w:rsid w:val="00E65604"/>
    <w:rsid w:val="00E65614"/>
    <w:rsid w:val="00E66163"/>
    <w:rsid w:val="00E66AB5"/>
    <w:rsid w:val="00E66B58"/>
    <w:rsid w:val="00E670E3"/>
    <w:rsid w:val="00E6776E"/>
    <w:rsid w:val="00E67B35"/>
    <w:rsid w:val="00E70034"/>
    <w:rsid w:val="00E70B37"/>
    <w:rsid w:val="00E70B68"/>
    <w:rsid w:val="00E70DD0"/>
    <w:rsid w:val="00E710E1"/>
    <w:rsid w:val="00E71553"/>
    <w:rsid w:val="00E7165C"/>
    <w:rsid w:val="00E717D7"/>
    <w:rsid w:val="00E71803"/>
    <w:rsid w:val="00E7182A"/>
    <w:rsid w:val="00E71E96"/>
    <w:rsid w:val="00E7215F"/>
    <w:rsid w:val="00E725C0"/>
    <w:rsid w:val="00E7275A"/>
    <w:rsid w:val="00E72774"/>
    <w:rsid w:val="00E72C46"/>
    <w:rsid w:val="00E73065"/>
    <w:rsid w:val="00E7320C"/>
    <w:rsid w:val="00E7373A"/>
    <w:rsid w:val="00E7408B"/>
    <w:rsid w:val="00E74311"/>
    <w:rsid w:val="00E74A8B"/>
    <w:rsid w:val="00E7508C"/>
    <w:rsid w:val="00E75D93"/>
    <w:rsid w:val="00E760B7"/>
    <w:rsid w:val="00E761ED"/>
    <w:rsid w:val="00E7665A"/>
    <w:rsid w:val="00E76B51"/>
    <w:rsid w:val="00E771C7"/>
    <w:rsid w:val="00E772EA"/>
    <w:rsid w:val="00E7746A"/>
    <w:rsid w:val="00E7768F"/>
    <w:rsid w:val="00E8024C"/>
    <w:rsid w:val="00E80798"/>
    <w:rsid w:val="00E80B4A"/>
    <w:rsid w:val="00E80C82"/>
    <w:rsid w:val="00E81038"/>
    <w:rsid w:val="00E81451"/>
    <w:rsid w:val="00E82132"/>
    <w:rsid w:val="00E8291D"/>
    <w:rsid w:val="00E8298D"/>
    <w:rsid w:val="00E82D25"/>
    <w:rsid w:val="00E845C8"/>
    <w:rsid w:val="00E851A2"/>
    <w:rsid w:val="00E8550B"/>
    <w:rsid w:val="00E8567C"/>
    <w:rsid w:val="00E85A37"/>
    <w:rsid w:val="00E8689B"/>
    <w:rsid w:val="00E86B75"/>
    <w:rsid w:val="00E86B77"/>
    <w:rsid w:val="00E86D69"/>
    <w:rsid w:val="00E877B7"/>
    <w:rsid w:val="00E87BFE"/>
    <w:rsid w:val="00E90163"/>
    <w:rsid w:val="00E91243"/>
    <w:rsid w:val="00E9132A"/>
    <w:rsid w:val="00E91990"/>
    <w:rsid w:val="00E919C7"/>
    <w:rsid w:val="00E91A9E"/>
    <w:rsid w:val="00E92131"/>
    <w:rsid w:val="00E9213B"/>
    <w:rsid w:val="00E92A0B"/>
    <w:rsid w:val="00E92AE1"/>
    <w:rsid w:val="00E92F64"/>
    <w:rsid w:val="00E931C9"/>
    <w:rsid w:val="00E93973"/>
    <w:rsid w:val="00E9403C"/>
    <w:rsid w:val="00E940D7"/>
    <w:rsid w:val="00E9413E"/>
    <w:rsid w:val="00E9418A"/>
    <w:rsid w:val="00E94381"/>
    <w:rsid w:val="00E9464E"/>
    <w:rsid w:val="00E957DD"/>
    <w:rsid w:val="00E95D64"/>
    <w:rsid w:val="00E96972"/>
    <w:rsid w:val="00E969A7"/>
    <w:rsid w:val="00E96FB2"/>
    <w:rsid w:val="00EA033A"/>
    <w:rsid w:val="00EA09D0"/>
    <w:rsid w:val="00EA0F17"/>
    <w:rsid w:val="00EA0F56"/>
    <w:rsid w:val="00EA0F64"/>
    <w:rsid w:val="00EA0FB4"/>
    <w:rsid w:val="00EA1771"/>
    <w:rsid w:val="00EA1975"/>
    <w:rsid w:val="00EA1DFF"/>
    <w:rsid w:val="00EA24D9"/>
    <w:rsid w:val="00EA2B98"/>
    <w:rsid w:val="00EA30DB"/>
    <w:rsid w:val="00EA34B7"/>
    <w:rsid w:val="00EA3756"/>
    <w:rsid w:val="00EA3B3D"/>
    <w:rsid w:val="00EA4066"/>
    <w:rsid w:val="00EA4115"/>
    <w:rsid w:val="00EA417D"/>
    <w:rsid w:val="00EA4295"/>
    <w:rsid w:val="00EA4658"/>
    <w:rsid w:val="00EA58E8"/>
    <w:rsid w:val="00EA5DBB"/>
    <w:rsid w:val="00EA5EF1"/>
    <w:rsid w:val="00EA6C92"/>
    <w:rsid w:val="00EA7867"/>
    <w:rsid w:val="00EA794B"/>
    <w:rsid w:val="00EA7A5D"/>
    <w:rsid w:val="00EA7C6A"/>
    <w:rsid w:val="00EB0466"/>
    <w:rsid w:val="00EB1247"/>
    <w:rsid w:val="00EB1699"/>
    <w:rsid w:val="00EB18AA"/>
    <w:rsid w:val="00EB240D"/>
    <w:rsid w:val="00EB2A70"/>
    <w:rsid w:val="00EB3433"/>
    <w:rsid w:val="00EB3471"/>
    <w:rsid w:val="00EB3738"/>
    <w:rsid w:val="00EB37AC"/>
    <w:rsid w:val="00EB3929"/>
    <w:rsid w:val="00EB42BF"/>
    <w:rsid w:val="00EB4491"/>
    <w:rsid w:val="00EB44C9"/>
    <w:rsid w:val="00EB4586"/>
    <w:rsid w:val="00EB5211"/>
    <w:rsid w:val="00EB5386"/>
    <w:rsid w:val="00EB5470"/>
    <w:rsid w:val="00EB5479"/>
    <w:rsid w:val="00EB591D"/>
    <w:rsid w:val="00EB5F39"/>
    <w:rsid w:val="00EB6445"/>
    <w:rsid w:val="00EB66C7"/>
    <w:rsid w:val="00EB6E9E"/>
    <w:rsid w:val="00EB7987"/>
    <w:rsid w:val="00EB7E1A"/>
    <w:rsid w:val="00EB7E3E"/>
    <w:rsid w:val="00EC00E3"/>
    <w:rsid w:val="00EC00F4"/>
    <w:rsid w:val="00EC012C"/>
    <w:rsid w:val="00EC01EB"/>
    <w:rsid w:val="00EC0443"/>
    <w:rsid w:val="00EC1833"/>
    <w:rsid w:val="00EC2C0C"/>
    <w:rsid w:val="00EC2C99"/>
    <w:rsid w:val="00EC308B"/>
    <w:rsid w:val="00EC30FB"/>
    <w:rsid w:val="00EC33A9"/>
    <w:rsid w:val="00EC354F"/>
    <w:rsid w:val="00EC4334"/>
    <w:rsid w:val="00EC4534"/>
    <w:rsid w:val="00EC4641"/>
    <w:rsid w:val="00EC4936"/>
    <w:rsid w:val="00EC4E29"/>
    <w:rsid w:val="00EC5FF2"/>
    <w:rsid w:val="00EC66CF"/>
    <w:rsid w:val="00EC6C1D"/>
    <w:rsid w:val="00EC6E2E"/>
    <w:rsid w:val="00EC6E9C"/>
    <w:rsid w:val="00EC6EFF"/>
    <w:rsid w:val="00EC7595"/>
    <w:rsid w:val="00EC7C13"/>
    <w:rsid w:val="00EC7FAB"/>
    <w:rsid w:val="00ED00EA"/>
    <w:rsid w:val="00ED0709"/>
    <w:rsid w:val="00ED07D5"/>
    <w:rsid w:val="00ED0BDD"/>
    <w:rsid w:val="00ED10E2"/>
    <w:rsid w:val="00ED27D1"/>
    <w:rsid w:val="00ED2981"/>
    <w:rsid w:val="00ED3641"/>
    <w:rsid w:val="00ED38C6"/>
    <w:rsid w:val="00ED426F"/>
    <w:rsid w:val="00ED575F"/>
    <w:rsid w:val="00ED6006"/>
    <w:rsid w:val="00ED6470"/>
    <w:rsid w:val="00ED65F0"/>
    <w:rsid w:val="00ED6947"/>
    <w:rsid w:val="00ED6AB3"/>
    <w:rsid w:val="00ED71FD"/>
    <w:rsid w:val="00ED73D2"/>
    <w:rsid w:val="00ED74C8"/>
    <w:rsid w:val="00ED778A"/>
    <w:rsid w:val="00ED7A3F"/>
    <w:rsid w:val="00ED7CFE"/>
    <w:rsid w:val="00ED7E08"/>
    <w:rsid w:val="00EE03B2"/>
    <w:rsid w:val="00EE0522"/>
    <w:rsid w:val="00EE123F"/>
    <w:rsid w:val="00EE176C"/>
    <w:rsid w:val="00EE1E7E"/>
    <w:rsid w:val="00EE20B9"/>
    <w:rsid w:val="00EE20D8"/>
    <w:rsid w:val="00EE21EB"/>
    <w:rsid w:val="00EE25BB"/>
    <w:rsid w:val="00EE25F7"/>
    <w:rsid w:val="00EE345C"/>
    <w:rsid w:val="00EE34B0"/>
    <w:rsid w:val="00EE361A"/>
    <w:rsid w:val="00EE3950"/>
    <w:rsid w:val="00EE3971"/>
    <w:rsid w:val="00EE3BB8"/>
    <w:rsid w:val="00EE43C7"/>
    <w:rsid w:val="00EE482A"/>
    <w:rsid w:val="00EE7436"/>
    <w:rsid w:val="00EE778E"/>
    <w:rsid w:val="00EF013C"/>
    <w:rsid w:val="00EF0450"/>
    <w:rsid w:val="00EF0924"/>
    <w:rsid w:val="00EF0FEE"/>
    <w:rsid w:val="00EF1210"/>
    <w:rsid w:val="00EF1A5B"/>
    <w:rsid w:val="00EF1CED"/>
    <w:rsid w:val="00EF2668"/>
    <w:rsid w:val="00EF2CD3"/>
    <w:rsid w:val="00EF2EB3"/>
    <w:rsid w:val="00EF315A"/>
    <w:rsid w:val="00EF3556"/>
    <w:rsid w:val="00EF47BE"/>
    <w:rsid w:val="00EF4A67"/>
    <w:rsid w:val="00EF4F64"/>
    <w:rsid w:val="00EF510F"/>
    <w:rsid w:val="00EF5463"/>
    <w:rsid w:val="00EF65B5"/>
    <w:rsid w:val="00EF7059"/>
    <w:rsid w:val="00EF7095"/>
    <w:rsid w:val="00EF72C2"/>
    <w:rsid w:val="00EF7498"/>
    <w:rsid w:val="00EF763E"/>
    <w:rsid w:val="00EF797C"/>
    <w:rsid w:val="00EF7B99"/>
    <w:rsid w:val="00F00A32"/>
    <w:rsid w:val="00F00BE4"/>
    <w:rsid w:val="00F012E6"/>
    <w:rsid w:val="00F01528"/>
    <w:rsid w:val="00F0157E"/>
    <w:rsid w:val="00F01907"/>
    <w:rsid w:val="00F020DD"/>
    <w:rsid w:val="00F02A85"/>
    <w:rsid w:val="00F02E41"/>
    <w:rsid w:val="00F0324C"/>
    <w:rsid w:val="00F0432B"/>
    <w:rsid w:val="00F04692"/>
    <w:rsid w:val="00F05518"/>
    <w:rsid w:val="00F05875"/>
    <w:rsid w:val="00F06EA5"/>
    <w:rsid w:val="00F077FC"/>
    <w:rsid w:val="00F07C9B"/>
    <w:rsid w:val="00F07F5B"/>
    <w:rsid w:val="00F101D5"/>
    <w:rsid w:val="00F10491"/>
    <w:rsid w:val="00F10640"/>
    <w:rsid w:val="00F1086F"/>
    <w:rsid w:val="00F1093E"/>
    <w:rsid w:val="00F11254"/>
    <w:rsid w:val="00F1134C"/>
    <w:rsid w:val="00F11D12"/>
    <w:rsid w:val="00F12660"/>
    <w:rsid w:val="00F12686"/>
    <w:rsid w:val="00F12867"/>
    <w:rsid w:val="00F12B84"/>
    <w:rsid w:val="00F134D1"/>
    <w:rsid w:val="00F13E99"/>
    <w:rsid w:val="00F13EE9"/>
    <w:rsid w:val="00F142EF"/>
    <w:rsid w:val="00F1444F"/>
    <w:rsid w:val="00F145C0"/>
    <w:rsid w:val="00F15911"/>
    <w:rsid w:val="00F15BCB"/>
    <w:rsid w:val="00F16922"/>
    <w:rsid w:val="00F17227"/>
    <w:rsid w:val="00F1779C"/>
    <w:rsid w:val="00F17A1D"/>
    <w:rsid w:val="00F17B4C"/>
    <w:rsid w:val="00F17BDC"/>
    <w:rsid w:val="00F17C2F"/>
    <w:rsid w:val="00F200AB"/>
    <w:rsid w:val="00F20CDA"/>
    <w:rsid w:val="00F20F50"/>
    <w:rsid w:val="00F20F79"/>
    <w:rsid w:val="00F22A99"/>
    <w:rsid w:val="00F23146"/>
    <w:rsid w:val="00F23BF6"/>
    <w:rsid w:val="00F247FD"/>
    <w:rsid w:val="00F24AE8"/>
    <w:rsid w:val="00F24B31"/>
    <w:rsid w:val="00F26018"/>
    <w:rsid w:val="00F26C75"/>
    <w:rsid w:val="00F26D26"/>
    <w:rsid w:val="00F26FC5"/>
    <w:rsid w:val="00F274C6"/>
    <w:rsid w:val="00F2781D"/>
    <w:rsid w:val="00F3065A"/>
    <w:rsid w:val="00F3086B"/>
    <w:rsid w:val="00F30BCE"/>
    <w:rsid w:val="00F30CC9"/>
    <w:rsid w:val="00F31C56"/>
    <w:rsid w:val="00F31E9C"/>
    <w:rsid w:val="00F33968"/>
    <w:rsid w:val="00F33BB4"/>
    <w:rsid w:val="00F34077"/>
    <w:rsid w:val="00F34838"/>
    <w:rsid w:val="00F34E44"/>
    <w:rsid w:val="00F34E4D"/>
    <w:rsid w:val="00F35740"/>
    <w:rsid w:val="00F357AA"/>
    <w:rsid w:val="00F35BD6"/>
    <w:rsid w:val="00F361B5"/>
    <w:rsid w:val="00F3673D"/>
    <w:rsid w:val="00F36913"/>
    <w:rsid w:val="00F36A8A"/>
    <w:rsid w:val="00F36E5B"/>
    <w:rsid w:val="00F36F72"/>
    <w:rsid w:val="00F376ED"/>
    <w:rsid w:val="00F40506"/>
    <w:rsid w:val="00F4051A"/>
    <w:rsid w:val="00F40E5C"/>
    <w:rsid w:val="00F41DE2"/>
    <w:rsid w:val="00F41E0F"/>
    <w:rsid w:val="00F41F3C"/>
    <w:rsid w:val="00F41F9B"/>
    <w:rsid w:val="00F422E1"/>
    <w:rsid w:val="00F4293F"/>
    <w:rsid w:val="00F4302B"/>
    <w:rsid w:val="00F43B77"/>
    <w:rsid w:val="00F43E27"/>
    <w:rsid w:val="00F4420D"/>
    <w:rsid w:val="00F44FB7"/>
    <w:rsid w:val="00F461B4"/>
    <w:rsid w:val="00F46C9C"/>
    <w:rsid w:val="00F5076C"/>
    <w:rsid w:val="00F5086B"/>
    <w:rsid w:val="00F50ADA"/>
    <w:rsid w:val="00F50C3D"/>
    <w:rsid w:val="00F50EA6"/>
    <w:rsid w:val="00F5153A"/>
    <w:rsid w:val="00F517F1"/>
    <w:rsid w:val="00F51ABA"/>
    <w:rsid w:val="00F51BC3"/>
    <w:rsid w:val="00F51FF7"/>
    <w:rsid w:val="00F52184"/>
    <w:rsid w:val="00F5251E"/>
    <w:rsid w:val="00F52537"/>
    <w:rsid w:val="00F536BD"/>
    <w:rsid w:val="00F53B4C"/>
    <w:rsid w:val="00F53C2A"/>
    <w:rsid w:val="00F54424"/>
    <w:rsid w:val="00F5446B"/>
    <w:rsid w:val="00F54E44"/>
    <w:rsid w:val="00F552D1"/>
    <w:rsid w:val="00F5536E"/>
    <w:rsid w:val="00F557D5"/>
    <w:rsid w:val="00F558ED"/>
    <w:rsid w:val="00F55BDE"/>
    <w:rsid w:val="00F55D9A"/>
    <w:rsid w:val="00F55DEB"/>
    <w:rsid w:val="00F574D0"/>
    <w:rsid w:val="00F57774"/>
    <w:rsid w:val="00F601B0"/>
    <w:rsid w:val="00F60429"/>
    <w:rsid w:val="00F6073A"/>
    <w:rsid w:val="00F6166F"/>
    <w:rsid w:val="00F62153"/>
    <w:rsid w:val="00F621B5"/>
    <w:rsid w:val="00F62394"/>
    <w:rsid w:val="00F62481"/>
    <w:rsid w:val="00F62DCE"/>
    <w:rsid w:val="00F63790"/>
    <w:rsid w:val="00F6379D"/>
    <w:rsid w:val="00F63877"/>
    <w:rsid w:val="00F63BC8"/>
    <w:rsid w:val="00F63EEA"/>
    <w:rsid w:val="00F645DB"/>
    <w:rsid w:val="00F64949"/>
    <w:rsid w:val="00F652E8"/>
    <w:rsid w:val="00F65306"/>
    <w:rsid w:val="00F653C9"/>
    <w:rsid w:val="00F65985"/>
    <w:rsid w:val="00F65C4B"/>
    <w:rsid w:val="00F65E73"/>
    <w:rsid w:val="00F665A0"/>
    <w:rsid w:val="00F66F04"/>
    <w:rsid w:val="00F67151"/>
    <w:rsid w:val="00F672E6"/>
    <w:rsid w:val="00F67578"/>
    <w:rsid w:val="00F679F4"/>
    <w:rsid w:val="00F7083E"/>
    <w:rsid w:val="00F71511"/>
    <w:rsid w:val="00F71755"/>
    <w:rsid w:val="00F726C4"/>
    <w:rsid w:val="00F72FE4"/>
    <w:rsid w:val="00F732AA"/>
    <w:rsid w:val="00F73546"/>
    <w:rsid w:val="00F7409A"/>
    <w:rsid w:val="00F741BE"/>
    <w:rsid w:val="00F7423C"/>
    <w:rsid w:val="00F74562"/>
    <w:rsid w:val="00F755C9"/>
    <w:rsid w:val="00F758BA"/>
    <w:rsid w:val="00F75AEA"/>
    <w:rsid w:val="00F75E00"/>
    <w:rsid w:val="00F76231"/>
    <w:rsid w:val="00F80D11"/>
    <w:rsid w:val="00F8150A"/>
    <w:rsid w:val="00F81801"/>
    <w:rsid w:val="00F821D8"/>
    <w:rsid w:val="00F82265"/>
    <w:rsid w:val="00F82670"/>
    <w:rsid w:val="00F8267F"/>
    <w:rsid w:val="00F8282C"/>
    <w:rsid w:val="00F82E8B"/>
    <w:rsid w:val="00F83159"/>
    <w:rsid w:val="00F83D6F"/>
    <w:rsid w:val="00F84787"/>
    <w:rsid w:val="00F853AB"/>
    <w:rsid w:val="00F85D21"/>
    <w:rsid w:val="00F86052"/>
    <w:rsid w:val="00F8614E"/>
    <w:rsid w:val="00F861A0"/>
    <w:rsid w:val="00F86264"/>
    <w:rsid w:val="00F86363"/>
    <w:rsid w:val="00F8654C"/>
    <w:rsid w:val="00F86697"/>
    <w:rsid w:val="00F87138"/>
    <w:rsid w:val="00F8737F"/>
    <w:rsid w:val="00F87924"/>
    <w:rsid w:val="00F90430"/>
    <w:rsid w:val="00F90C0B"/>
    <w:rsid w:val="00F9101C"/>
    <w:rsid w:val="00F9119F"/>
    <w:rsid w:val="00F928FE"/>
    <w:rsid w:val="00F92BF1"/>
    <w:rsid w:val="00F93325"/>
    <w:rsid w:val="00F934C4"/>
    <w:rsid w:val="00F937EC"/>
    <w:rsid w:val="00F939DF"/>
    <w:rsid w:val="00F9405E"/>
    <w:rsid w:val="00F94617"/>
    <w:rsid w:val="00F95BFD"/>
    <w:rsid w:val="00F96B95"/>
    <w:rsid w:val="00F9767D"/>
    <w:rsid w:val="00F97EA2"/>
    <w:rsid w:val="00FA050D"/>
    <w:rsid w:val="00FA0750"/>
    <w:rsid w:val="00FA0C74"/>
    <w:rsid w:val="00FA1473"/>
    <w:rsid w:val="00FA1535"/>
    <w:rsid w:val="00FA1F07"/>
    <w:rsid w:val="00FA1F61"/>
    <w:rsid w:val="00FA2675"/>
    <w:rsid w:val="00FA2DFD"/>
    <w:rsid w:val="00FA2ED8"/>
    <w:rsid w:val="00FA32E5"/>
    <w:rsid w:val="00FA3557"/>
    <w:rsid w:val="00FA37FC"/>
    <w:rsid w:val="00FA3E37"/>
    <w:rsid w:val="00FA44D4"/>
    <w:rsid w:val="00FA4607"/>
    <w:rsid w:val="00FA4B8A"/>
    <w:rsid w:val="00FA58C7"/>
    <w:rsid w:val="00FA5951"/>
    <w:rsid w:val="00FA5C8D"/>
    <w:rsid w:val="00FA6911"/>
    <w:rsid w:val="00FA7191"/>
    <w:rsid w:val="00FA7823"/>
    <w:rsid w:val="00FA78A9"/>
    <w:rsid w:val="00FA7910"/>
    <w:rsid w:val="00FB0668"/>
    <w:rsid w:val="00FB07E4"/>
    <w:rsid w:val="00FB0A3D"/>
    <w:rsid w:val="00FB15C1"/>
    <w:rsid w:val="00FB1A5F"/>
    <w:rsid w:val="00FB1FFA"/>
    <w:rsid w:val="00FB346B"/>
    <w:rsid w:val="00FB3ABB"/>
    <w:rsid w:val="00FB3EBA"/>
    <w:rsid w:val="00FB3F67"/>
    <w:rsid w:val="00FB4D15"/>
    <w:rsid w:val="00FB4D82"/>
    <w:rsid w:val="00FB5460"/>
    <w:rsid w:val="00FB5C4A"/>
    <w:rsid w:val="00FB5C83"/>
    <w:rsid w:val="00FB5CA0"/>
    <w:rsid w:val="00FC00BA"/>
    <w:rsid w:val="00FC035F"/>
    <w:rsid w:val="00FC0813"/>
    <w:rsid w:val="00FC1240"/>
    <w:rsid w:val="00FC18E9"/>
    <w:rsid w:val="00FC3185"/>
    <w:rsid w:val="00FC421B"/>
    <w:rsid w:val="00FC45AC"/>
    <w:rsid w:val="00FC5840"/>
    <w:rsid w:val="00FC59BC"/>
    <w:rsid w:val="00FC5DD0"/>
    <w:rsid w:val="00FC617D"/>
    <w:rsid w:val="00FC650F"/>
    <w:rsid w:val="00FC6797"/>
    <w:rsid w:val="00FC6D88"/>
    <w:rsid w:val="00FC71AD"/>
    <w:rsid w:val="00FC78E3"/>
    <w:rsid w:val="00FD0A2B"/>
    <w:rsid w:val="00FD156A"/>
    <w:rsid w:val="00FD19E0"/>
    <w:rsid w:val="00FD23A0"/>
    <w:rsid w:val="00FD26B2"/>
    <w:rsid w:val="00FD2B94"/>
    <w:rsid w:val="00FD3153"/>
    <w:rsid w:val="00FD32ED"/>
    <w:rsid w:val="00FD3782"/>
    <w:rsid w:val="00FD3A35"/>
    <w:rsid w:val="00FD3B24"/>
    <w:rsid w:val="00FD3B28"/>
    <w:rsid w:val="00FD4014"/>
    <w:rsid w:val="00FD4260"/>
    <w:rsid w:val="00FD5023"/>
    <w:rsid w:val="00FD68F8"/>
    <w:rsid w:val="00FD69B7"/>
    <w:rsid w:val="00FD6A6B"/>
    <w:rsid w:val="00FD71C3"/>
    <w:rsid w:val="00FE055A"/>
    <w:rsid w:val="00FE0B34"/>
    <w:rsid w:val="00FE0E97"/>
    <w:rsid w:val="00FE17D2"/>
    <w:rsid w:val="00FE1C34"/>
    <w:rsid w:val="00FE1C47"/>
    <w:rsid w:val="00FE25E3"/>
    <w:rsid w:val="00FE30D4"/>
    <w:rsid w:val="00FE3684"/>
    <w:rsid w:val="00FE3A5E"/>
    <w:rsid w:val="00FE451E"/>
    <w:rsid w:val="00FE465A"/>
    <w:rsid w:val="00FE4D88"/>
    <w:rsid w:val="00FE54C5"/>
    <w:rsid w:val="00FE577C"/>
    <w:rsid w:val="00FE5A50"/>
    <w:rsid w:val="00FE5BB4"/>
    <w:rsid w:val="00FE6005"/>
    <w:rsid w:val="00FE67EE"/>
    <w:rsid w:val="00FE68AD"/>
    <w:rsid w:val="00FE6C24"/>
    <w:rsid w:val="00FE6D1D"/>
    <w:rsid w:val="00FE6DB7"/>
    <w:rsid w:val="00FE70F1"/>
    <w:rsid w:val="00FE756F"/>
    <w:rsid w:val="00FE77AB"/>
    <w:rsid w:val="00FE7BE5"/>
    <w:rsid w:val="00FE7FE2"/>
    <w:rsid w:val="00FF0167"/>
    <w:rsid w:val="00FF01B3"/>
    <w:rsid w:val="00FF09E6"/>
    <w:rsid w:val="00FF15BE"/>
    <w:rsid w:val="00FF1A7B"/>
    <w:rsid w:val="00FF1D36"/>
    <w:rsid w:val="00FF1D5E"/>
    <w:rsid w:val="00FF28D5"/>
    <w:rsid w:val="00FF2A0A"/>
    <w:rsid w:val="00FF3800"/>
    <w:rsid w:val="00FF39A6"/>
    <w:rsid w:val="00FF3AE0"/>
    <w:rsid w:val="00FF427C"/>
    <w:rsid w:val="00FF464E"/>
    <w:rsid w:val="00FF545E"/>
    <w:rsid w:val="00FF581B"/>
    <w:rsid w:val="00FF587B"/>
    <w:rsid w:val="00FF58B6"/>
    <w:rsid w:val="00FF6442"/>
    <w:rsid w:val="00FF6A3E"/>
    <w:rsid w:val="00FF6E06"/>
    <w:rsid w:val="00FF794E"/>
    <w:rsid w:val="00FF7FB8"/>
    <w:rsid w:val="010A034A"/>
    <w:rsid w:val="010E05E7"/>
    <w:rsid w:val="01255C34"/>
    <w:rsid w:val="0133FCCB"/>
    <w:rsid w:val="01374129"/>
    <w:rsid w:val="015259B6"/>
    <w:rsid w:val="015D1A21"/>
    <w:rsid w:val="016A96CC"/>
    <w:rsid w:val="016E71A8"/>
    <w:rsid w:val="017AF682"/>
    <w:rsid w:val="01813E75"/>
    <w:rsid w:val="01B351AF"/>
    <w:rsid w:val="01C3E4EA"/>
    <w:rsid w:val="01F2700F"/>
    <w:rsid w:val="01F3F90E"/>
    <w:rsid w:val="02008E42"/>
    <w:rsid w:val="021FD705"/>
    <w:rsid w:val="0229C059"/>
    <w:rsid w:val="022E84A4"/>
    <w:rsid w:val="0268BF52"/>
    <w:rsid w:val="0277A21F"/>
    <w:rsid w:val="02ADEDED"/>
    <w:rsid w:val="02AE2A7C"/>
    <w:rsid w:val="02B3AF69"/>
    <w:rsid w:val="02CF0D6D"/>
    <w:rsid w:val="02E2A624"/>
    <w:rsid w:val="0308D0E9"/>
    <w:rsid w:val="0324A7BB"/>
    <w:rsid w:val="034DC7D8"/>
    <w:rsid w:val="0352BC22"/>
    <w:rsid w:val="0357700E"/>
    <w:rsid w:val="037418A6"/>
    <w:rsid w:val="03756153"/>
    <w:rsid w:val="038FA38E"/>
    <w:rsid w:val="03969C2C"/>
    <w:rsid w:val="039EBE1E"/>
    <w:rsid w:val="03BFB143"/>
    <w:rsid w:val="03D277A0"/>
    <w:rsid w:val="03F768DD"/>
    <w:rsid w:val="0436ABBC"/>
    <w:rsid w:val="045EF293"/>
    <w:rsid w:val="046D08DD"/>
    <w:rsid w:val="048670CA"/>
    <w:rsid w:val="04A246D1"/>
    <w:rsid w:val="04F2A09D"/>
    <w:rsid w:val="0504A77A"/>
    <w:rsid w:val="051849EE"/>
    <w:rsid w:val="051AD8C2"/>
    <w:rsid w:val="0535F95D"/>
    <w:rsid w:val="05427DC1"/>
    <w:rsid w:val="05467A70"/>
    <w:rsid w:val="057E890E"/>
    <w:rsid w:val="05C47503"/>
    <w:rsid w:val="05CD0209"/>
    <w:rsid w:val="05D4EB50"/>
    <w:rsid w:val="05D94C06"/>
    <w:rsid w:val="06064988"/>
    <w:rsid w:val="064370A0"/>
    <w:rsid w:val="0669593D"/>
    <w:rsid w:val="066F3E46"/>
    <w:rsid w:val="06757497"/>
    <w:rsid w:val="068ACE39"/>
    <w:rsid w:val="06E4CC34"/>
    <w:rsid w:val="06FA8ED1"/>
    <w:rsid w:val="0718776A"/>
    <w:rsid w:val="073CF292"/>
    <w:rsid w:val="07411F0F"/>
    <w:rsid w:val="074A49F4"/>
    <w:rsid w:val="075EA16F"/>
    <w:rsid w:val="076ED612"/>
    <w:rsid w:val="0780A212"/>
    <w:rsid w:val="07AF7660"/>
    <w:rsid w:val="07C5C75E"/>
    <w:rsid w:val="07CF2332"/>
    <w:rsid w:val="07F090FA"/>
    <w:rsid w:val="081F39A3"/>
    <w:rsid w:val="0823278B"/>
    <w:rsid w:val="08280BB8"/>
    <w:rsid w:val="0830C28C"/>
    <w:rsid w:val="083A8995"/>
    <w:rsid w:val="083E0BEC"/>
    <w:rsid w:val="0866A1A6"/>
    <w:rsid w:val="08C6FDAB"/>
    <w:rsid w:val="08C82356"/>
    <w:rsid w:val="08CB5E61"/>
    <w:rsid w:val="08D3AFD6"/>
    <w:rsid w:val="08FE7869"/>
    <w:rsid w:val="09450D87"/>
    <w:rsid w:val="09553BD9"/>
    <w:rsid w:val="09B23BA0"/>
    <w:rsid w:val="09B8265E"/>
    <w:rsid w:val="09D1BCF1"/>
    <w:rsid w:val="09E5949A"/>
    <w:rsid w:val="09EF6EF5"/>
    <w:rsid w:val="0A0AEF03"/>
    <w:rsid w:val="0A3571A1"/>
    <w:rsid w:val="0A3BE286"/>
    <w:rsid w:val="0A40FD16"/>
    <w:rsid w:val="0A7837C3"/>
    <w:rsid w:val="0AA53545"/>
    <w:rsid w:val="0B0B3692"/>
    <w:rsid w:val="0B1A1E13"/>
    <w:rsid w:val="0B2FE60C"/>
    <w:rsid w:val="0B3FB5C1"/>
    <w:rsid w:val="0B627C0D"/>
    <w:rsid w:val="0B6F53BA"/>
    <w:rsid w:val="0B84B827"/>
    <w:rsid w:val="0B90733A"/>
    <w:rsid w:val="0BAB93D5"/>
    <w:rsid w:val="0BCAFDEF"/>
    <w:rsid w:val="0BE60D88"/>
    <w:rsid w:val="0C192A1B"/>
    <w:rsid w:val="0C1BEB20"/>
    <w:rsid w:val="0C2F5106"/>
    <w:rsid w:val="0C3BAF12"/>
    <w:rsid w:val="0C7A1B67"/>
    <w:rsid w:val="0C7C16D1"/>
    <w:rsid w:val="0C800F5F"/>
    <w:rsid w:val="0C9CF8E8"/>
    <w:rsid w:val="0CB7B4DC"/>
    <w:rsid w:val="0CCDD536"/>
    <w:rsid w:val="0CE977BB"/>
    <w:rsid w:val="0CEF2FA8"/>
    <w:rsid w:val="0D0F2EA6"/>
    <w:rsid w:val="0D492A9E"/>
    <w:rsid w:val="0D4DEFFB"/>
    <w:rsid w:val="0D4EEC1A"/>
    <w:rsid w:val="0D6FF965"/>
    <w:rsid w:val="0D90BC6A"/>
    <w:rsid w:val="0DBBE7F9"/>
    <w:rsid w:val="0DBFE46C"/>
    <w:rsid w:val="0DD35D86"/>
    <w:rsid w:val="0E177135"/>
    <w:rsid w:val="0E301275"/>
    <w:rsid w:val="0E3E6178"/>
    <w:rsid w:val="0E5AB0B6"/>
    <w:rsid w:val="0E86C23A"/>
    <w:rsid w:val="0EC34E9F"/>
    <w:rsid w:val="0EC4A9C5"/>
    <w:rsid w:val="0EE4BA80"/>
    <w:rsid w:val="0EF34C71"/>
    <w:rsid w:val="0F04D66D"/>
    <w:rsid w:val="0F0F9AA1"/>
    <w:rsid w:val="0F16A328"/>
    <w:rsid w:val="0F18077B"/>
    <w:rsid w:val="0F1F55C9"/>
    <w:rsid w:val="0F318B32"/>
    <w:rsid w:val="0F354310"/>
    <w:rsid w:val="0F3C9823"/>
    <w:rsid w:val="0F47F155"/>
    <w:rsid w:val="0F5F7FF4"/>
    <w:rsid w:val="0F6E487B"/>
    <w:rsid w:val="0F7E33EE"/>
    <w:rsid w:val="0FA11063"/>
    <w:rsid w:val="1017658A"/>
    <w:rsid w:val="101DEE47"/>
    <w:rsid w:val="102F0FAB"/>
    <w:rsid w:val="1033B1E9"/>
    <w:rsid w:val="104D7E87"/>
    <w:rsid w:val="10562BCC"/>
    <w:rsid w:val="106CF649"/>
    <w:rsid w:val="10CA16C0"/>
    <w:rsid w:val="10F673ED"/>
    <w:rsid w:val="1141CF63"/>
    <w:rsid w:val="11436C89"/>
    <w:rsid w:val="1147CD3F"/>
    <w:rsid w:val="115995FF"/>
    <w:rsid w:val="117AE747"/>
    <w:rsid w:val="11894A75"/>
    <w:rsid w:val="11FDEBBB"/>
    <w:rsid w:val="120090F1"/>
    <w:rsid w:val="121D1C38"/>
    <w:rsid w:val="12333E05"/>
    <w:rsid w:val="126A85F2"/>
    <w:rsid w:val="126AC39D"/>
    <w:rsid w:val="12711777"/>
    <w:rsid w:val="1274C6AC"/>
    <w:rsid w:val="1282476D"/>
    <w:rsid w:val="12B6C865"/>
    <w:rsid w:val="12C93C56"/>
    <w:rsid w:val="12D71B44"/>
    <w:rsid w:val="12FD7B24"/>
    <w:rsid w:val="13181470"/>
    <w:rsid w:val="134EA1A5"/>
    <w:rsid w:val="1355454F"/>
    <w:rsid w:val="136F94B8"/>
    <w:rsid w:val="13753533"/>
    <w:rsid w:val="13870360"/>
    <w:rsid w:val="138DC52F"/>
    <w:rsid w:val="13968CF1"/>
    <w:rsid w:val="13A76830"/>
    <w:rsid w:val="13B7B716"/>
    <w:rsid w:val="13BC028F"/>
    <w:rsid w:val="13C1C0AC"/>
    <w:rsid w:val="13DC065E"/>
    <w:rsid w:val="13E88648"/>
    <w:rsid w:val="14012C4F"/>
    <w:rsid w:val="14088162"/>
    <w:rsid w:val="1408DC7A"/>
    <w:rsid w:val="14159E58"/>
    <w:rsid w:val="1430C548"/>
    <w:rsid w:val="14341D4D"/>
    <w:rsid w:val="14357EE4"/>
    <w:rsid w:val="145EDF6E"/>
    <w:rsid w:val="14627C66"/>
    <w:rsid w:val="146BE931"/>
    <w:rsid w:val="14787708"/>
    <w:rsid w:val="147F49D4"/>
    <w:rsid w:val="14A06DC7"/>
    <w:rsid w:val="14DD1E1C"/>
    <w:rsid w:val="14E65A68"/>
    <w:rsid w:val="14E9BAD4"/>
    <w:rsid w:val="14FE6F64"/>
    <w:rsid w:val="151598D6"/>
    <w:rsid w:val="15249A12"/>
    <w:rsid w:val="153D49CD"/>
    <w:rsid w:val="15406D3A"/>
    <w:rsid w:val="1555D74D"/>
    <w:rsid w:val="1571EB75"/>
    <w:rsid w:val="158A895B"/>
    <w:rsid w:val="1593F470"/>
    <w:rsid w:val="159BC431"/>
    <w:rsid w:val="15AADD88"/>
    <w:rsid w:val="15AC63F1"/>
    <w:rsid w:val="15B0811E"/>
    <w:rsid w:val="15B09FFF"/>
    <w:rsid w:val="15B9E2B8"/>
    <w:rsid w:val="15CE4A14"/>
    <w:rsid w:val="15DD798D"/>
    <w:rsid w:val="15E25846"/>
    <w:rsid w:val="1604E38F"/>
    <w:rsid w:val="16814A39"/>
    <w:rsid w:val="16948277"/>
    <w:rsid w:val="16B8C4F7"/>
    <w:rsid w:val="16DC1E44"/>
    <w:rsid w:val="16E5C279"/>
    <w:rsid w:val="1724669B"/>
    <w:rsid w:val="17395506"/>
    <w:rsid w:val="174592E9"/>
    <w:rsid w:val="1749B815"/>
    <w:rsid w:val="17533C1A"/>
    <w:rsid w:val="17623F0E"/>
    <w:rsid w:val="1781C54C"/>
    <w:rsid w:val="1784B46C"/>
    <w:rsid w:val="17E258F4"/>
    <w:rsid w:val="17ED8D62"/>
    <w:rsid w:val="17EEF564"/>
    <w:rsid w:val="1822D923"/>
    <w:rsid w:val="183EF984"/>
    <w:rsid w:val="1852EC9F"/>
    <w:rsid w:val="18627630"/>
    <w:rsid w:val="1874AD35"/>
    <w:rsid w:val="18A59D28"/>
    <w:rsid w:val="18B75BD3"/>
    <w:rsid w:val="18C5514A"/>
    <w:rsid w:val="18D8CB57"/>
    <w:rsid w:val="18F3EBF2"/>
    <w:rsid w:val="191044DF"/>
    <w:rsid w:val="1919328B"/>
    <w:rsid w:val="1924EAB0"/>
    <w:rsid w:val="19431FD5"/>
    <w:rsid w:val="195785C2"/>
    <w:rsid w:val="198F17E0"/>
    <w:rsid w:val="19D18D9C"/>
    <w:rsid w:val="19DD4659"/>
    <w:rsid w:val="1A09330C"/>
    <w:rsid w:val="1A31CFD8"/>
    <w:rsid w:val="1A6F0283"/>
    <w:rsid w:val="1A8710B4"/>
    <w:rsid w:val="1A974437"/>
    <w:rsid w:val="1AB2A23B"/>
    <w:rsid w:val="1AB8B186"/>
    <w:rsid w:val="1ACDC2D6"/>
    <w:rsid w:val="1B083C89"/>
    <w:rsid w:val="1B2496AC"/>
    <w:rsid w:val="1B2EC868"/>
    <w:rsid w:val="1B350CAD"/>
    <w:rsid w:val="1B3694D0"/>
    <w:rsid w:val="1B3FB747"/>
    <w:rsid w:val="1B7965FA"/>
    <w:rsid w:val="1B7A30FA"/>
    <w:rsid w:val="1BB60C6E"/>
    <w:rsid w:val="1BBC7B4C"/>
    <w:rsid w:val="1BE309F0"/>
    <w:rsid w:val="1BF4D2B0"/>
    <w:rsid w:val="1C0BA6BC"/>
    <w:rsid w:val="1C0E6D75"/>
    <w:rsid w:val="1C246C11"/>
    <w:rsid w:val="1C60342A"/>
    <w:rsid w:val="1CC6FD26"/>
    <w:rsid w:val="1CE5ADC4"/>
    <w:rsid w:val="1CF3B803"/>
    <w:rsid w:val="1CF5478B"/>
    <w:rsid w:val="1D1DC836"/>
    <w:rsid w:val="1D3C0B7E"/>
    <w:rsid w:val="1D5407DE"/>
    <w:rsid w:val="1D558BA3"/>
    <w:rsid w:val="1E004913"/>
    <w:rsid w:val="1E1A09A5"/>
    <w:rsid w:val="1E3ECC0A"/>
    <w:rsid w:val="1E527D50"/>
    <w:rsid w:val="1E6993E5"/>
    <w:rsid w:val="1E82130C"/>
    <w:rsid w:val="1E93EACE"/>
    <w:rsid w:val="1EA81EC9"/>
    <w:rsid w:val="1EB0F34C"/>
    <w:rsid w:val="1EBD22DE"/>
    <w:rsid w:val="1EC75D45"/>
    <w:rsid w:val="1EDA590C"/>
    <w:rsid w:val="1EF6B389"/>
    <w:rsid w:val="1F2AFFD6"/>
    <w:rsid w:val="1F3D5D97"/>
    <w:rsid w:val="1F6FAD88"/>
    <w:rsid w:val="1F9ECA63"/>
    <w:rsid w:val="1FF8EECC"/>
    <w:rsid w:val="201B04A9"/>
    <w:rsid w:val="204120D7"/>
    <w:rsid w:val="20B744CE"/>
    <w:rsid w:val="20E79BE2"/>
    <w:rsid w:val="20ED46C6"/>
    <w:rsid w:val="212AE173"/>
    <w:rsid w:val="21311DB8"/>
    <w:rsid w:val="2148FA0B"/>
    <w:rsid w:val="2149846C"/>
    <w:rsid w:val="214FD23C"/>
    <w:rsid w:val="2151A10E"/>
    <w:rsid w:val="216AAFF2"/>
    <w:rsid w:val="217DD701"/>
    <w:rsid w:val="2182678D"/>
    <w:rsid w:val="21B3C5A6"/>
    <w:rsid w:val="21DF8FF2"/>
    <w:rsid w:val="21FB6726"/>
    <w:rsid w:val="222219CB"/>
    <w:rsid w:val="22389EB6"/>
    <w:rsid w:val="22504459"/>
    <w:rsid w:val="225443B2"/>
    <w:rsid w:val="228D3CAE"/>
    <w:rsid w:val="229D9750"/>
    <w:rsid w:val="22C172C6"/>
    <w:rsid w:val="22D46A00"/>
    <w:rsid w:val="22F3445D"/>
    <w:rsid w:val="22F49766"/>
    <w:rsid w:val="23082FC2"/>
    <w:rsid w:val="230BF5B8"/>
    <w:rsid w:val="2313B315"/>
    <w:rsid w:val="23186E09"/>
    <w:rsid w:val="231CFBCD"/>
    <w:rsid w:val="2327035B"/>
    <w:rsid w:val="23436295"/>
    <w:rsid w:val="234731C4"/>
    <w:rsid w:val="234AC075"/>
    <w:rsid w:val="2352E888"/>
    <w:rsid w:val="238CC391"/>
    <w:rsid w:val="239A47C1"/>
    <w:rsid w:val="239F34C4"/>
    <w:rsid w:val="23A9DA0D"/>
    <w:rsid w:val="23DEFC28"/>
    <w:rsid w:val="24262D10"/>
    <w:rsid w:val="242AF8F3"/>
    <w:rsid w:val="243067D2"/>
    <w:rsid w:val="2439D05F"/>
    <w:rsid w:val="2471223D"/>
    <w:rsid w:val="24939CEB"/>
    <w:rsid w:val="24BC692A"/>
    <w:rsid w:val="24C7FF39"/>
    <w:rsid w:val="24CDCF6C"/>
    <w:rsid w:val="2509FD16"/>
    <w:rsid w:val="2531E970"/>
    <w:rsid w:val="25549C8C"/>
    <w:rsid w:val="2562E301"/>
    <w:rsid w:val="256D34AF"/>
    <w:rsid w:val="2577B67E"/>
    <w:rsid w:val="25AACE4D"/>
    <w:rsid w:val="25C9B826"/>
    <w:rsid w:val="25E6A9C1"/>
    <w:rsid w:val="25E9B5BE"/>
    <w:rsid w:val="25F0F42C"/>
    <w:rsid w:val="260003F4"/>
    <w:rsid w:val="2605C570"/>
    <w:rsid w:val="260D53BA"/>
    <w:rsid w:val="260EF961"/>
    <w:rsid w:val="26212374"/>
    <w:rsid w:val="265AE6F0"/>
    <w:rsid w:val="2676BDC2"/>
    <w:rsid w:val="26846102"/>
    <w:rsid w:val="26A11FF4"/>
    <w:rsid w:val="26A3744C"/>
    <w:rsid w:val="26B15E28"/>
    <w:rsid w:val="26DBF79C"/>
    <w:rsid w:val="271F6858"/>
    <w:rsid w:val="2721A9CA"/>
    <w:rsid w:val="273393E0"/>
    <w:rsid w:val="27518B29"/>
    <w:rsid w:val="27725919"/>
    <w:rsid w:val="27864360"/>
    <w:rsid w:val="278AFF0A"/>
    <w:rsid w:val="2790843C"/>
    <w:rsid w:val="27A41A63"/>
    <w:rsid w:val="27A911C0"/>
    <w:rsid w:val="27F4613C"/>
    <w:rsid w:val="27FAFA58"/>
    <w:rsid w:val="27FB166F"/>
    <w:rsid w:val="2813A382"/>
    <w:rsid w:val="2839C09A"/>
    <w:rsid w:val="28755DAA"/>
    <w:rsid w:val="2893492F"/>
    <w:rsid w:val="28B4C473"/>
    <w:rsid w:val="28BA64AB"/>
    <w:rsid w:val="28D3C774"/>
    <w:rsid w:val="28F460A1"/>
    <w:rsid w:val="290E1315"/>
    <w:rsid w:val="2911244F"/>
    <w:rsid w:val="2927FD05"/>
    <w:rsid w:val="292B620D"/>
    <w:rsid w:val="292E566A"/>
    <w:rsid w:val="294CF94B"/>
    <w:rsid w:val="298136E4"/>
    <w:rsid w:val="29A04ADB"/>
    <w:rsid w:val="29AE8E6A"/>
    <w:rsid w:val="29BADAEC"/>
    <w:rsid w:val="29E9C9BE"/>
    <w:rsid w:val="29EC1173"/>
    <w:rsid w:val="2A123F4C"/>
    <w:rsid w:val="2A16A002"/>
    <w:rsid w:val="2A1F7485"/>
    <w:rsid w:val="2A3A7771"/>
    <w:rsid w:val="2ABCDD6B"/>
    <w:rsid w:val="2AC93318"/>
    <w:rsid w:val="2AE6DC06"/>
    <w:rsid w:val="2AE7DEDB"/>
    <w:rsid w:val="2AE9DF40"/>
    <w:rsid w:val="2B2E74FB"/>
    <w:rsid w:val="2B2F092B"/>
    <w:rsid w:val="2B36B2F8"/>
    <w:rsid w:val="2B3D076E"/>
    <w:rsid w:val="2B45F8EF"/>
    <w:rsid w:val="2B632833"/>
    <w:rsid w:val="2B6AA50E"/>
    <w:rsid w:val="2B710644"/>
    <w:rsid w:val="2B7223D4"/>
    <w:rsid w:val="2B7A21BF"/>
    <w:rsid w:val="2B82D893"/>
    <w:rsid w:val="2BAF62CE"/>
    <w:rsid w:val="2BE2C7E4"/>
    <w:rsid w:val="2BEC1630"/>
    <w:rsid w:val="2BF91898"/>
    <w:rsid w:val="2BFA14B7"/>
    <w:rsid w:val="2C1D7468"/>
    <w:rsid w:val="2C2172CB"/>
    <w:rsid w:val="2C3C6853"/>
    <w:rsid w:val="2C5A96C2"/>
    <w:rsid w:val="2C60593A"/>
    <w:rsid w:val="2C9038B7"/>
    <w:rsid w:val="2CB76FB3"/>
    <w:rsid w:val="2CF5D8F8"/>
    <w:rsid w:val="2D568B82"/>
    <w:rsid w:val="2D8D8531"/>
    <w:rsid w:val="2D9B267A"/>
    <w:rsid w:val="2DA4F181"/>
    <w:rsid w:val="2DAEEFC6"/>
    <w:rsid w:val="2DAF5F05"/>
    <w:rsid w:val="2E0FFF11"/>
    <w:rsid w:val="2E3EB63F"/>
    <w:rsid w:val="2E8BF36B"/>
    <w:rsid w:val="2E903FB8"/>
    <w:rsid w:val="2EAAFA5C"/>
    <w:rsid w:val="2EB023C5"/>
    <w:rsid w:val="2EBBB803"/>
    <w:rsid w:val="2ED755CE"/>
    <w:rsid w:val="2ED7C50D"/>
    <w:rsid w:val="2EDED44F"/>
    <w:rsid w:val="2EE27B97"/>
    <w:rsid w:val="2EEF1C6A"/>
    <w:rsid w:val="2EFC4296"/>
    <w:rsid w:val="2F00F3D6"/>
    <w:rsid w:val="2F07D501"/>
    <w:rsid w:val="2F091C2A"/>
    <w:rsid w:val="2F0F86C3"/>
    <w:rsid w:val="2F3E6A22"/>
    <w:rsid w:val="2F4E7089"/>
    <w:rsid w:val="2F59B923"/>
    <w:rsid w:val="2F8873AA"/>
    <w:rsid w:val="2F924446"/>
    <w:rsid w:val="2F9C9BCF"/>
    <w:rsid w:val="2FCDE9E1"/>
    <w:rsid w:val="2FE998FD"/>
    <w:rsid w:val="2FF23EFB"/>
    <w:rsid w:val="3021C921"/>
    <w:rsid w:val="3022C8CA"/>
    <w:rsid w:val="303B8DC2"/>
    <w:rsid w:val="3060C700"/>
    <w:rsid w:val="3088F50D"/>
    <w:rsid w:val="30D780C0"/>
    <w:rsid w:val="31552AFA"/>
    <w:rsid w:val="315F0BA5"/>
    <w:rsid w:val="3169AFA1"/>
    <w:rsid w:val="31B4C8BB"/>
    <w:rsid w:val="31BB4AC5"/>
    <w:rsid w:val="31C79448"/>
    <w:rsid w:val="31ECC7DA"/>
    <w:rsid w:val="31FE909A"/>
    <w:rsid w:val="3212A1CB"/>
    <w:rsid w:val="321564A6"/>
    <w:rsid w:val="32409952"/>
    <w:rsid w:val="3261B0A8"/>
    <w:rsid w:val="3281421D"/>
    <w:rsid w:val="32875917"/>
    <w:rsid w:val="328EAE2A"/>
    <w:rsid w:val="32A30BFE"/>
    <w:rsid w:val="32AB3B1E"/>
    <w:rsid w:val="32C3348B"/>
    <w:rsid w:val="32ED2EA7"/>
    <w:rsid w:val="32F3266A"/>
    <w:rsid w:val="32F9C7B5"/>
    <w:rsid w:val="3316CC11"/>
    <w:rsid w:val="3340E9E0"/>
    <w:rsid w:val="334E1D8D"/>
    <w:rsid w:val="33649574"/>
    <w:rsid w:val="33697B91"/>
    <w:rsid w:val="3382A60F"/>
    <w:rsid w:val="33958E7D"/>
    <w:rsid w:val="33AD0C8D"/>
    <w:rsid w:val="33D9711D"/>
    <w:rsid w:val="33F6299D"/>
    <w:rsid w:val="342203F8"/>
    <w:rsid w:val="3429211F"/>
    <w:rsid w:val="344D5632"/>
    <w:rsid w:val="34738547"/>
    <w:rsid w:val="348D80E3"/>
    <w:rsid w:val="3492E94B"/>
    <w:rsid w:val="3499E346"/>
    <w:rsid w:val="34BAB136"/>
    <w:rsid w:val="34C94970"/>
    <w:rsid w:val="34CCFD4E"/>
    <w:rsid w:val="34D5B422"/>
    <w:rsid w:val="34F2A213"/>
    <w:rsid w:val="34F37960"/>
    <w:rsid w:val="34F8004B"/>
    <w:rsid w:val="35169848"/>
    <w:rsid w:val="351DD348"/>
    <w:rsid w:val="3527C3F3"/>
    <w:rsid w:val="353D2714"/>
    <w:rsid w:val="35796B72"/>
    <w:rsid w:val="3585540C"/>
    <w:rsid w:val="3590EB16"/>
    <w:rsid w:val="359D4D79"/>
    <w:rsid w:val="35E76457"/>
    <w:rsid w:val="3603DBA6"/>
    <w:rsid w:val="363AF722"/>
    <w:rsid w:val="36447481"/>
    <w:rsid w:val="365B8DEC"/>
    <w:rsid w:val="367049B6"/>
    <w:rsid w:val="369A542E"/>
    <w:rsid w:val="369C2425"/>
    <w:rsid w:val="36A0A833"/>
    <w:rsid w:val="36B1861F"/>
    <w:rsid w:val="36C5D3FC"/>
    <w:rsid w:val="36DA4857"/>
    <w:rsid w:val="36E14DE5"/>
    <w:rsid w:val="36E8A2F8"/>
    <w:rsid w:val="370D605B"/>
    <w:rsid w:val="370ECEC6"/>
    <w:rsid w:val="371DADA7"/>
    <w:rsid w:val="371E1056"/>
    <w:rsid w:val="3734C6DA"/>
    <w:rsid w:val="37534256"/>
    <w:rsid w:val="375A9769"/>
    <w:rsid w:val="378794EB"/>
    <w:rsid w:val="379C4241"/>
    <w:rsid w:val="37AF79D7"/>
    <w:rsid w:val="37E88F4A"/>
    <w:rsid w:val="37F01C51"/>
    <w:rsid w:val="380BF014"/>
    <w:rsid w:val="3819273D"/>
    <w:rsid w:val="385632C0"/>
    <w:rsid w:val="385E8167"/>
    <w:rsid w:val="387A8E90"/>
    <w:rsid w:val="38801A5B"/>
    <w:rsid w:val="3883B7AD"/>
    <w:rsid w:val="388D55EE"/>
    <w:rsid w:val="3893AC63"/>
    <w:rsid w:val="38CA81AA"/>
    <w:rsid w:val="38FCF38F"/>
    <w:rsid w:val="391D70FF"/>
    <w:rsid w:val="393475CD"/>
    <w:rsid w:val="39A2131F"/>
    <w:rsid w:val="39CB2BC2"/>
    <w:rsid w:val="39CBD11D"/>
    <w:rsid w:val="39D199D8"/>
    <w:rsid w:val="39DAB553"/>
    <w:rsid w:val="39E26570"/>
    <w:rsid w:val="39FB3271"/>
    <w:rsid w:val="3A0ADAFE"/>
    <w:rsid w:val="3A10C4C1"/>
    <w:rsid w:val="3A24729A"/>
    <w:rsid w:val="3A2FEAFA"/>
    <w:rsid w:val="3A362596"/>
    <w:rsid w:val="3A37D880"/>
    <w:rsid w:val="3A4329F5"/>
    <w:rsid w:val="3A6C2B15"/>
    <w:rsid w:val="3A984E36"/>
    <w:rsid w:val="3AFF4B8C"/>
    <w:rsid w:val="3B138CE4"/>
    <w:rsid w:val="3B1A49D5"/>
    <w:rsid w:val="3B21467E"/>
    <w:rsid w:val="3B2FC8B4"/>
    <w:rsid w:val="3B6D66BF"/>
    <w:rsid w:val="3B7C9B32"/>
    <w:rsid w:val="3B8F7741"/>
    <w:rsid w:val="3BA4D6AF"/>
    <w:rsid w:val="3BB2BC40"/>
    <w:rsid w:val="3BB48C37"/>
    <w:rsid w:val="3BB4CB65"/>
    <w:rsid w:val="3BCD758F"/>
    <w:rsid w:val="3BD37610"/>
    <w:rsid w:val="3BF8D1B8"/>
    <w:rsid w:val="3C023CC9"/>
    <w:rsid w:val="3C2AE15E"/>
    <w:rsid w:val="3C38EBA0"/>
    <w:rsid w:val="3C3F6112"/>
    <w:rsid w:val="3C49EFAF"/>
    <w:rsid w:val="3C57DEE0"/>
    <w:rsid w:val="3C629D1D"/>
    <w:rsid w:val="3C807BAC"/>
    <w:rsid w:val="3CA9274A"/>
    <w:rsid w:val="3CE80BDE"/>
    <w:rsid w:val="3CF2701D"/>
    <w:rsid w:val="3D1ABB5A"/>
    <w:rsid w:val="3D4E5EC2"/>
    <w:rsid w:val="3D51A1A6"/>
    <w:rsid w:val="3D5B4913"/>
    <w:rsid w:val="3D66C058"/>
    <w:rsid w:val="3D734280"/>
    <w:rsid w:val="3D7E38A7"/>
    <w:rsid w:val="3DC7803F"/>
    <w:rsid w:val="3DC872BB"/>
    <w:rsid w:val="3DCC8C8C"/>
    <w:rsid w:val="3DD44107"/>
    <w:rsid w:val="3DDEDB2F"/>
    <w:rsid w:val="3DE398C2"/>
    <w:rsid w:val="3DF9CEAF"/>
    <w:rsid w:val="3DFC2633"/>
    <w:rsid w:val="3E2D550E"/>
    <w:rsid w:val="3E40E21F"/>
    <w:rsid w:val="3E5A5290"/>
    <w:rsid w:val="3E61A7A3"/>
    <w:rsid w:val="3E620CBD"/>
    <w:rsid w:val="3E81B0B7"/>
    <w:rsid w:val="3EAA844B"/>
    <w:rsid w:val="3ECAF740"/>
    <w:rsid w:val="3F41DBA4"/>
    <w:rsid w:val="3F478614"/>
    <w:rsid w:val="3F5DBCC3"/>
    <w:rsid w:val="3F8E74B6"/>
    <w:rsid w:val="3FBB5FDD"/>
    <w:rsid w:val="3FCDC1EC"/>
    <w:rsid w:val="403B7E87"/>
    <w:rsid w:val="40528B6E"/>
    <w:rsid w:val="405F5DE4"/>
    <w:rsid w:val="40B8FE56"/>
    <w:rsid w:val="40BC50EA"/>
    <w:rsid w:val="40E77120"/>
    <w:rsid w:val="40F178BE"/>
    <w:rsid w:val="410BCEB2"/>
    <w:rsid w:val="4137FAF0"/>
    <w:rsid w:val="415E97D4"/>
    <w:rsid w:val="41608A2F"/>
    <w:rsid w:val="4164B532"/>
    <w:rsid w:val="418F9572"/>
    <w:rsid w:val="41B763F4"/>
    <w:rsid w:val="41C5D581"/>
    <w:rsid w:val="41DDA7DC"/>
    <w:rsid w:val="41EF5663"/>
    <w:rsid w:val="42047A88"/>
    <w:rsid w:val="420F38E5"/>
    <w:rsid w:val="421534A8"/>
    <w:rsid w:val="422F0D4A"/>
    <w:rsid w:val="4250FC61"/>
    <w:rsid w:val="42A0C098"/>
    <w:rsid w:val="42D172BC"/>
    <w:rsid w:val="42D2CA35"/>
    <w:rsid w:val="4331957E"/>
    <w:rsid w:val="433FC2DE"/>
    <w:rsid w:val="4348A49C"/>
    <w:rsid w:val="435BE696"/>
    <w:rsid w:val="43B5E477"/>
    <w:rsid w:val="43C3DE75"/>
    <w:rsid w:val="43CDDB07"/>
    <w:rsid w:val="43D40BB4"/>
    <w:rsid w:val="43D8B48B"/>
    <w:rsid w:val="4407C67C"/>
    <w:rsid w:val="44305EA1"/>
    <w:rsid w:val="445828F4"/>
    <w:rsid w:val="44679763"/>
    <w:rsid w:val="44866002"/>
    <w:rsid w:val="44877D5B"/>
    <w:rsid w:val="449B9A73"/>
    <w:rsid w:val="44D19920"/>
    <w:rsid w:val="44E113B8"/>
    <w:rsid w:val="45273C35"/>
    <w:rsid w:val="453ADBEB"/>
    <w:rsid w:val="4569D2A6"/>
    <w:rsid w:val="45DB9C6A"/>
    <w:rsid w:val="45DDD477"/>
    <w:rsid w:val="45F5A2EF"/>
    <w:rsid w:val="46090202"/>
    <w:rsid w:val="46454BAC"/>
    <w:rsid w:val="464DF8F1"/>
    <w:rsid w:val="4659A99B"/>
    <w:rsid w:val="4687A4B1"/>
    <w:rsid w:val="46A4FE8F"/>
    <w:rsid w:val="46AAA4EC"/>
    <w:rsid w:val="46AFC00C"/>
    <w:rsid w:val="46DB2224"/>
    <w:rsid w:val="46F31B91"/>
    <w:rsid w:val="46FA479C"/>
    <w:rsid w:val="47061FAA"/>
    <w:rsid w:val="470BF167"/>
    <w:rsid w:val="471383DF"/>
    <w:rsid w:val="471BB85D"/>
    <w:rsid w:val="472D39DB"/>
    <w:rsid w:val="47454D9F"/>
    <w:rsid w:val="4749D40D"/>
    <w:rsid w:val="4761737F"/>
    <w:rsid w:val="477CFF86"/>
    <w:rsid w:val="4785E88A"/>
    <w:rsid w:val="478BE666"/>
    <w:rsid w:val="479501E1"/>
    <w:rsid w:val="47964734"/>
    <w:rsid w:val="47AD2E1F"/>
    <w:rsid w:val="47BF1F0C"/>
    <w:rsid w:val="47C98842"/>
    <w:rsid w:val="47FF46BC"/>
    <w:rsid w:val="47FF6576"/>
    <w:rsid w:val="4807DC8F"/>
    <w:rsid w:val="480C23FB"/>
    <w:rsid w:val="4814CD61"/>
    <w:rsid w:val="486B6E92"/>
    <w:rsid w:val="48955938"/>
    <w:rsid w:val="48A896A5"/>
    <w:rsid w:val="48AA94C7"/>
    <w:rsid w:val="48C09BF0"/>
    <w:rsid w:val="48C6AC32"/>
    <w:rsid w:val="48CCF275"/>
    <w:rsid w:val="48DAC9BE"/>
    <w:rsid w:val="490EC13B"/>
    <w:rsid w:val="492D4659"/>
    <w:rsid w:val="4938BFC8"/>
    <w:rsid w:val="493EE6E6"/>
    <w:rsid w:val="4957DB77"/>
    <w:rsid w:val="495C40F5"/>
    <w:rsid w:val="497165B8"/>
    <w:rsid w:val="4973397B"/>
    <w:rsid w:val="497BDB2D"/>
    <w:rsid w:val="4992F933"/>
    <w:rsid w:val="49AC00D8"/>
    <w:rsid w:val="49B5C979"/>
    <w:rsid w:val="49BCE1A0"/>
    <w:rsid w:val="49BCF5C7"/>
    <w:rsid w:val="49CD347F"/>
    <w:rsid w:val="49DCD972"/>
    <w:rsid w:val="49EDA3B0"/>
    <w:rsid w:val="49FE7E90"/>
    <w:rsid w:val="4A454576"/>
    <w:rsid w:val="4A66AE2B"/>
    <w:rsid w:val="4A6D7D9B"/>
    <w:rsid w:val="4A7F4560"/>
    <w:rsid w:val="4A8BA91D"/>
    <w:rsid w:val="4ABD6F22"/>
    <w:rsid w:val="4AC5386E"/>
    <w:rsid w:val="4AF42F29"/>
    <w:rsid w:val="4B28E760"/>
    <w:rsid w:val="4B46E942"/>
    <w:rsid w:val="4BA0924C"/>
    <w:rsid w:val="4C0456D7"/>
    <w:rsid w:val="4C591C44"/>
    <w:rsid w:val="4C7115B1"/>
    <w:rsid w:val="4C9294C5"/>
    <w:rsid w:val="4CC0A519"/>
    <w:rsid w:val="4D3F6AEE"/>
    <w:rsid w:val="4D43B15B"/>
    <w:rsid w:val="4D8B614C"/>
    <w:rsid w:val="4D8C8D78"/>
    <w:rsid w:val="4DBC2C74"/>
    <w:rsid w:val="4DBE387F"/>
    <w:rsid w:val="4DEFC37F"/>
    <w:rsid w:val="4DFCA7D9"/>
    <w:rsid w:val="4E2E2621"/>
    <w:rsid w:val="4E32F328"/>
    <w:rsid w:val="4E5A4355"/>
    <w:rsid w:val="4E5BEBEA"/>
    <w:rsid w:val="4E844C7A"/>
    <w:rsid w:val="4E85095C"/>
    <w:rsid w:val="4E8921B4"/>
    <w:rsid w:val="4E94AFA2"/>
    <w:rsid w:val="4EA345C3"/>
    <w:rsid w:val="4EE4C13F"/>
    <w:rsid w:val="4EEF3389"/>
    <w:rsid w:val="4F07E717"/>
    <w:rsid w:val="4F0B4778"/>
    <w:rsid w:val="4F0EC502"/>
    <w:rsid w:val="4F1215B2"/>
    <w:rsid w:val="4F3E2C37"/>
    <w:rsid w:val="4F587D15"/>
    <w:rsid w:val="4F6F8A6F"/>
    <w:rsid w:val="4F80B9C1"/>
    <w:rsid w:val="4F846A0D"/>
    <w:rsid w:val="4F99B7D8"/>
    <w:rsid w:val="4FCC1BCA"/>
    <w:rsid w:val="4FE93995"/>
    <w:rsid w:val="500A1BAC"/>
    <w:rsid w:val="500BB05B"/>
    <w:rsid w:val="50131893"/>
    <w:rsid w:val="501BA474"/>
    <w:rsid w:val="5039A8E4"/>
    <w:rsid w:val="5041BEB1"/>
    <w:rsid w:val="504D4C33"/>
    <w:rsid w:val="50ADDCBA"/>
    <w:rsid w:val="50C2D505"/>
    <w:rsid w:val="50E77A8C"/>
    <w:rsid w:val="510D0C16"/>
    <w:rsid w:val="5114DAF2"/>
    <w:rsid w:val="516D8A51"/>
    <w:rsid w:val="5173480E"/>
    <w:rsid w:val="51789F06"/>
    <w:rsid w:val="51798DBF"/>
    <w:rsid w:val="51891B0C"/>
    <w:rsid w:val="51944BC6"/>
    <w:rsid w:val="51B46EEB"/>
    <w:rsid w:val="51BE4A21"/>
    <w:rsid w:val="521D97FA"/>
    <w:rsid w:val="521DA905"/>
    <w:rsid w:val="5241D661"/>
    <w:rsid w:val="524FBFE3"/>
    <w:rsid w:val="526B39A6"/>
    <w:rsid w:val="5289508E"/>
    <w:rsid w:val="528BF90A"/>
    <w:rsid w:val="52FC2E07"/>
    <w:rsid w:val="530FDE5F"/>
    <w:rsid w:val="531525D9"/>
    <w:rsid w:val="532BA00B"/>
    <w:rsid w:val="532BC791"/>
    <w:rsid w:val="5364F1FD"/>
    <w:rsid w:val="53BB94B6"/>
    <w:rsid w:val="53BE4CCE"/>
    <w:rsid w:val="53CA663A"/>
    <w:rsid w:val="540E0C99"/>
    <w:rsid w:val="54177C09"/>
    <w:rsid w:val="542996C7"/>
    <w:rsid w:val="5437CA34"/>
    <w:rsid w:val="546B658D"/>
    <w:rsid w:val="549B8B38"/>
    <w:rsid w:val="54A74101"/>
    <w:rsid w:val="54ABAB35"/>
    <w:rsid w:val="54CA204C"/>
    <w:rsid w:val="54CEFF5D"/>
    <w:rsid w:val="54D1D65A"/>
    <w:rsid w:val="54D43E83"/>
    <w:rsid w:val="54FE7DA8"/>
    <w:rsid w:val="5511E05F"/>
    <w:rsid w:val="55262584"/>
    <w:rsid w:val="55441279"/>
    <w:rsid w:val="5550A6A1"/>
    <w:rsid w:val="55677AAD"/>
    <w:rsid w:val="556B7DEB"/>
    <w:rsid w:val="55710BAA"/>
    <w:rsid w:val="558D03DC"/>
    <w:rsid w:val="5593B661"/>
    <w:rsid w:val="55A79C7A"/>
    <w:rsid w:val="55A8F4F5"/>
    <w:rsid w:val="55B01076"/>
    <w:rsid w:val="55B3C6AF"/>
    <w:rsid w:val="55CD039E"/>
    <w:rsid w:val="55DC26EF"/>
    <w:rsid w:val="55E0C431"/>
    <w:rsid w:val="55E5E849"/>
    <w:rsid w:val="560D0E52"/>
    <w:rsid w:val="561DEC60"/>
    <w:rsid w:val="562A1BD6"/>
    <w:rsid w:val="562FED93"/>
    <w:rsid w:val="56383AB0"/>
    <w:rsid w:val="56453C71"/>
    <w:rsid w:val="56624525"/>
    <w:rsid w:val="56A455BA"/>
    <w:rsid w:val="56A70C5F"/>
    <w:rsid w:val="56AFDBCF"/>
    <w:rsid w:val="56C05327"/>
    <w:rsid w:val="56CB6354"/>
    <w:rsid w:val="56D6B233"/>
    <w:rsid w:val="56FD554F"/>
    <w:rsid w:val="56FEFD68"/>
    <w:rsid w:val="573EA54C"/>
    <w:rsid w:val="5746D6AD"/>
    <w:rsid w:val="57507BF6"/>
    <w:rsid w:val="57672669"/>
    <w:rsid w:val="576AE9F2"/>
    <w:rsid w:val="577A27FD"/>
    <w:rsid w:val="578D6D4B"/>
    <w:rsid w:val="57912D0D"/>
    <w:rsid w:val="5799535C"/>
    <w:rsid w:val="57C8B973"/>
    <w:rsid w:val="57DD763F"/>
    <w:rsid w:val="57DEAECD"/>
    <w:rsid w:val="57F54F0C"/>
    <w:rsid w:val="58012E44"/>
    <w:rsid w:val="5802FC0E"/>
    <w:rsid w:val="580C946C"/>
    <w:rsid w:val="585F4DC1"/>
    <w:rsid w:val="5865A873"/>
    <w:rsid w:val="586BC6F7"/>
    <w:rsid w:val="586D1E21"/>
    <w:rsid w:val="586FE94F"/>
    <w:rsid w:val="5875E72B"/>
    <w:rsid w:val="58BFF049"/>
    <w:rsid w:val="58CB8179"/>
    <w:rsid w:val="58DE5CEE"/>
    <w:rsid w:val="592ED94C"/>
    <w:rsid w:val="5940AFA6"/>
    <w:rsid w:val="59503597"/>
    <w:rsid w:val="5965A480"/>
    <w:rsid w:val="597D74AB"/>
    <w:rsid w:val="59A1EE2A"/>
    <w:rsid w:val="59C8C48E"/>
    <w:rsid w:val="59DDC99E"/>
    <w:rsid w:val="59E9A75C"/>
    <w:rsid w:val="59EC6A35"/>
    <w:rsid w:val="59F0C942"/>
    <w:rsid w:val="5A0264B3"/>
    <w:rsid w:val="5A037D57"/>
    <w:rsid w:val="5A121093"/>
    <w:rsid w:val="5A3363EC"/>
    <w:rsid w:val="5A3628BC"/>
    <w:rsid w:val="5A4D15F2"/>
    <w:rsid w:val="5A69687A"/>
    <w:rsid w:val="5A785ADB"/>
    <w:rsid w:val="5A7CDCE0"/>
    <w:rsid w:val="5A8A6A40"/>
    <w:rsid w:val="5AACAD70"/>
    <w:rsid w:val="5ABDC094"/>
    <w:rsid w:val="5ACEC81C"/>
    <w:rsid w:val="5ADA8181"/>
    <w:rsid w:val="5AFD337B"/>
    <w:rsid w:val="5B3CD219"/>
    <w:rsid w:val="5BBD93D4"/>
    <w:rsid w:val="5BC673EA"/>
    <w:rsid w:val="5BC83CCF"/>
    <w:rsid w:val="5BDD1525"/>
    <w:rsid w:val="5BF25778"/>
    <w:rsid w:val="5BFA24DC"/>
    <w:rsid w:val="5C030D19"/>
    <w:rsid w:val="5C10A5BA"/>
    <w:rsid w:val="5C1264B8"/>
    <w:rsid w:val="5C1E9F52"/>
    <w:rsid w:val="5C228C27"/>
    <w:rsid w:val="5C4F0996"/>
    <w:rsid w:val="5C506B57"/>
    <w:rsid w:val="5C6E1A82"/>
    <w:rsid w:val="5C7442D4"/>
    <w:rsid w:val="5C7F8716"/>
    <w:rsid w:val="5C8906F8"/>
    <w:rsid w:val="5C8992D0"/>
    <w:rsid w:val="5C8F9640"/>
    <w:rsid w:val="5C936D5B"/>
    <w:rsid w:val="5C99B872"/>
    <w:rsid w:val="5CA11FD1"/>
    <w:rsid w:val="5CA9A42A"/>
    <w:rsid w:val="5CAEBC79"/>
    <w:rsid w:val="5CBAD6E9"/>
    <w:rsid w:val="5CFF8C12"/>
    <w:rsid w:val="5D0E0DC8"/>
    <w:rsid w:val="5D23AFDF"/>
    <w:rsid w:val="5D257647"/>
    <w:rsid w:val="5D7688A1"/>
    <w:rsid w:val="5D80ABEC"/>
    <w:rsid w:val="5D8C1541"/>
    <w:rsid w:val="5D9EBFCB"/>
    <w:rsid w:val="5DB48BFE"/>
    <w:rsid w:val="5DB948B5"/>
    <w:rsid w:val="5DC6E3C9"/>
    <w:rsid w:val="5E041797"/>
    <w:rsid w:val="5E0E09EF"/>
    <w:rsid w:val="5E17CDAA"/>
    <w:rsid w:val="5E506BD7"/>
    <w:rsid w:val="5E5B16CA"/>
    <w:rsid w:val="5E735C85"/>
    <w:rsid w:val="5E8D58BA"/>
    <w:rsid w:val="5EB6F671"/>
    <w:rsid w:val="5EEE60AA"/>
    <w:rsid w:val="5EF1DF8F"/>
    <w:rsid w:val="5F0222D2"/>
    <w:rsid w:val="5F06A23E"/>
    <w:rsid w:val="5F07691C"/>
    <w:rsid w:val="5F09E31B"/>
    <w:rsid w:val="5F258C17"/>
    <w:rsid w:val="5F2F4C30"/>
    <w:rsid w:val="5F38B1D0"/>
    <w:rsid w:val="5F437B5A"/>
    <w:rsid w:val="5F628ABD"/>
    <w:rsid w:val="5F6F7B34"/>
    <w:rsid w:val="5F7CF765"/>
    <w:rsid w:val="5F859917"/>
    <w:rsid w:val="5FA59431"/>
    <w:rsid w:val="5FB752A1"/>
    <w:rsid w:val="6007468B"/>
    <w:rsid w:val="6009D6AF"/>
    <w:rsid w:val="60448624"/>
    <w:rsid w:val="60B69961"/>
    <w:rsid w:val="60D93922"/>
    <w:rsid w:val="6113699E"/>
    <w:rsid w:val="6135AEC9"/>
    <w:rsid w:val="6137C7C5"/>
    <w:rsid w:val="6145F819"/>
    <w:rsid w:val="6175462E"/>
    <w:rsid w:val="61A08A95"/>
    <w:rsid w:val="61BFDE92"/>
    <w:rsid w:val="61D1DE35"/>
    <w:rsid w:val="61E3E355"/>
    <w:rsid w:val="61F12AF8"/>
    <w:rsid w:val="6206F658"/>
    <w:rsid w:val="6218D838"/>
    <w:rsid w:val="62270A4D"/>
    <w:rsid w:val="6235DCAC"/>
    <w:rsid w:val="625407CF"/>
    <w:rsid w:val="6255D7C6"/>
    <w:rsid w:val="62720A4E"/>
    <w:rsid w:val="6282D548"/>
    <w:rsid w:val="6298FEBE"/>
    <w:rsid w:val="62A5C115"/>
    <w:rsid w:val="62B43380"/>
    <w:rsid w:val="62B5D82A"/>
    <w:rsid w:val="62E9D2B4"/>
    <w:rsid w:val="62FC1ECC"/>
    <w:rsid w:val="63007F82"/>
    <w:rsid w:val="6300E524"/>
    <w:rsid w:val="63214D72"/>
    <w:rsid w:val="6344460C"/>
    <w:rsid w:val="63471945"/>
    <w:rsid w:val="6368E54F"/>
    <w:rsid w:val="637ABC91"/>
    <w:rsid w:val="63964B62"/>
    <w:rsid w:val="639B3463"/>
    <w:rsid w:val="63ACF37F"/>
    <w:rsid w:val="63C80E41"/>
    <w:rsid w:val="63EBA950"/>
    <w:rsid w:val="63F833EC"/>
    <w:rsid w:val="6422DE4B"/>
    <w:rsid w:val="643A02B2"/>
    <w:rsid w:val="643CB112"/>
    <w:rsid w:val="643DB6C7"/>
    <w:rsid w:val="6442AFF7"/>
    <w:rsid w:val="644917FF"/>
    <w:rsid w:val="6453CE8C"/>
    <w:rsid w:val="645D6058"/>
    <w:rsid w:val="645DE4B9"/>
    <w:rsid w:val="647F108C"/>
    <w:rsid w:val="64951035"/>
    <w:rsid w:val="64D1E219"/>
    <w:rsid w:val="64DEAC84"/>
    <w:rsid w:val="6574A0D5"/>
    <w:rsid w:val="65794859"/>
    <w:rsid w:val="658B1119"/>
    <w:rsid w:val="65A22550"/>
    <w:rsid w:val="65DEA796"/>
    <w:rsid w:val="65E5DB35"/>
    <w:rsid w:val="66048D6E"/>
    <w:rsid w:val="66311F80"/>
    <w:rsid w:val="664366CE"/>
    <w:rsid w:val="664592E6"/>
    <w:rsid w:val="664FDE4C"/>
    <w:rsid w:val="66510C41"/>
    <w:rsid w:val="6653208E"/>
    <w:rsid w:val="6654C860"/>
    <w:rsid w:val="66B04BFC"/>
    <w:rsid w:val="66F94B77"/>
    <w:rsid w:val="6716CA00"/>
    <w:rsid w:val="672621BB"/>
    <w:rsid w:val="67296847"/>
    <w:rsid w:val="67531F3D"/>
    <w:rsid w:val="675BF9EB"/>
    <w:rsid w:val="6761BFD4"/>
    <w:rsid w:val="676B9779"/>
    <w:rsid w:val="67726152"/>
    <w:rsid w:val="677C5F0A"/>
    <w:rsid w:val="677E4BBF"/>
    <w:rsid w:val="677F985E"/>
    <w:rsid w:val="677FC776"/>
    <w:rsid w:val="678C22F8"/>
    <w:rsid w:val="67A390AE"/>
    <w:rsid w:val="67B8D925"/>
    <w:rsid w:val="67CF1085"/>
    <w:rsid w:val="67E1F757"/>
    <w:rsid w:val="680DBF1F"/>
    <w:rsid w:val="6818D293"/>
    <w:rsid w:val="6822030F"/>
    <w:rsid w:val="686A5977"/>
    <w:rsid w:val="686E0150"/>
    <w:rsid w:val="687D2374"/>
    <w:rsid w:val="68968736"/>
    <w:rsid w:val="689E937E"/>
    <w:rsid w:val="68B938B7"/>
    <w:rsid w:val="68EDB39C"/>
    <w:rsid w:val="68F1CED9"/>
    <w:rsid w:val="690ECC07"/>
    <w:rsid w:val="695521D0"/>
    <w:rsid w:val="696A1F2C"/>
    <w:rsid w:val="69DABCA5"/>
    <w:rsid w:val="69EE0414"/>
    <w:rsid w:val="69EF6D6A"/>
    <w:rsid w:val="69F71496"/>
    <w:rsid w:val="69FBD9F3"/>
    <w:rsid w:val="69FCC0F0"/>
    <w:rsid w:val="6A237863"/>
    <w:rsid w:val="6A2D382B"/>
    <w:rsid w:val="6A409887"/>
    <w:rsid w:val="6A415FF5"/>
    <w:rsid w:val="6A54FA74"/>
    <w:rsid w:val="6A55BBA0"/>
    <w:rsid w:val="6A5E61DE"/>
    <w:rsid w:val="6A67C9A2"/>
    <w:rsid w:val="6A940D50"/>
    <w:rsid w:val="6AB0FEEB"/>
    <w:rsid w:val="6ADDFC6D"/>
    <w:rsid w:val="6B0D637C"/>
    <w:rsid w:val="6B49208B"/>
    <w:rsid w:val="6B5A648B"/>
    <w:rsid w:val="6B8D92BA"/>
    <w:rsid w:val="6BC20067"/>
    <w:rsid w:val="6BD6ACF6"/>
    <w:rsid w:val="6BE32D08"/>
    <w:rsid w:val="6BE7095D"/>
    <w:rsid w:val="6BF4325A"/>
    <w:rsid w:val="6BFB6E5F"/>
    <w:rsid w:val="6C14BF7E"/>
    <w:rsid w:val="6C1B69FE"/>
    <w:rsid w:val="6C27775D"/>
    <w:rsid w:val="6C5845AE"/>
    <w:rsid w:val="6C589B1C"/>
    <w:rsid w:val="6C685D45"/>
    <w:rsid w:val="6C782210"/>
    <w:rsid w:val="6CBA4DE5"/>
    <w:rsid w:val="6CBC81C9"/>
    <w:rsid w:val="6CC0EECC"/>
    <w:rsid w:val="6CC35115"/>
    <w:rsid w:val="6D031D1E"/>
    <w:rsid w:val="6D2E8554"/>
    <w:rsid w:val="6D75807C"/>
    <w:rsid w:val="6D8C6478"/>
    <w:rsid w:val="6D9B0027"/>
    <w:rsid w:val="6DABFEE9"/>
    <w:rsid w:val="6DBC1FE1"/>
    <w:rsid w:val="6DC458FF"/>
    <w:rsid w:val="6DD198D0"/>
    <w:rsid w:val="6DFA14A2"/>
    <w:rsid w:val="6E07E095"/>
    <w:rsid w:val="6E2E2BF9"/>
    <w:rsid w:val="6E318813"/>
    <w:rsid w:val="6E464530"/>
    <w:rsid w:val="6E867F32"/>
    <w:rsid w:val="6E98F5B9"/>
    <w:rsid w:val="6E9F2666"/>
    <w:rsid w:val="6EC02115"/>
    <w:rsid w:val="6ED3F3A7"/>
    <w:rsid w:val="6EDAB597"/>
    <w:rsid w:val="6EE52345"/>
    <w:rsid w:val="6EF89D09"/>
    <w:rsid w:val="6F6A2B28"/>
    <w:rsid w:val="6F9FD7B4"/>
    <w:rsid w:val="6FAB651C"/>
    <w:rsid w:val="6FB761DD"/>
    <w:rsid w:val="6FB7C753"/>
    <w:rsid w:val="6FE57FFB"/>
    <w:rsid w:val="6FE78788"/>
    <w:rsid w:val="7010EDAD"/>
    <w:rsid w:val="702B2627"/>
    <w:rsid w:val="704A6299"/>
    <w:rsid w:val="705AD330"/>
    <w:rsid w:val="70A3F57E"/>
    <w:rsid w:val="70C2F45D"/>
    <w:rsid w:val="70CB65C4"/>
    <w:rsid w:val="70D93188"/>
    <w:rsid w:val="70DEA37F"/>
    <w:rsid w:val="710EFCE1"/>
    <w:rsid w:val="710F4D7A"/>
    <w:rsid w:val="7110665E"/>
    <w:rsid w:val="711AE39A"/>
    <w:rsid w:val="7139867B"/>
    <w:rsid w:val="71DDA65A"/>
    <w:rsid w:val="71E48DC4"/>
    <w:rsid w:val="71EB33C5"/>
    <w:rsid w:val="7235325E"/>
    <w:rsid w:val="72648780"/>
    <w:rsid w:val="7274F774"/>
    <w:rsid w:val="72800607"/>
    <w:rsid w:val="72852049"/>
    <w:rsid w:val="72B87A63"/>
    <w:rsid w:val="72BD3FC0"/>
    <w:rsid w:val="72BE836C"/>
    <w:rsid w:val="72F4070C"/>
    <w:rsid w:val="72F4BA7E"/>
    <w:rsid w:val="72F8653E"/>
    <w:rsid w:val="7326FFB3"/>
    <w:rsid w:val="733B2D26"/>
    <w:rsid w:val="73546860"/>
    <w:rsid w:val="7356F120"/>
    <w:rsid w:val="7366AEEF"/>
    <w:rsid w:val="73774CFA"/>
    <w:rsid w:val="737F9929"/>
    <w:rsid w:val="738BBEEB"/>
    <w:rsid w:val="7393AC71"/>
    <w:rsid w:val="73A1AAF8"/>
    <w:rsid w:val="73C7FF06"/>
    <w:rsid w:val="73CC0ED0"/>
    <w:rsid w:val="73EBA4AD"/>
    <w:rsid w:val="740AD833"/>
    <w:rsid w:val="740C2AFE"/>
    <w:rsid w:val="740D5765"/>
    <w:rsid w:val="741A2B2E"/>
    <w:rsid w:val="7420F9D8"/>
    <w:rsid w:val="7426D321"/>
    <w:rsid w:val="7432249B"/>
    <w:rsid w:val="749B775A"/>
    <w:rsid w:val="74F53F8D"/>
    <w:rsid w:val="74F5725E"/>
    <w:rsid w:val="7507D28F"/>
    <w:rsid w:val="7511142B"/>
    <w:rsid w:val="752F4A01"/>
    <w:rsid w:val="75462660"/>
    <w:rsid w:val="7566E26E"/>
    <w:rsid w:val="756B574B"/>
    <w:rsid w:val="75A1D5EA"/>
    <w:rsid w:val="75CAF89A"/>
    <w:rsid w:val="75DC4F9D"/>
    <w:rsid w:val="75DEDF53"/>
    <w:rsid w:val="7618271C"/>
    <w:rsid w:val="764E440E"/>
    <w:rsid w:val="76632D4A"/>
    <w:rsid w:val="767CFC47"/>
    <w:rsid w:val="7690B785"/>
    <w:rsid w:val="76D9DF17"/>
    <w:rsid w:val="76DFB9D0"/>
    <w:rsid w:val="7701B184"/>
    <w:rsid w:val="770920E5"/>
    <w:rsid w:val="771F6E24"/>
    <w:rsid w:val="77424A81"/>
    <w:rsid w:val="775AB69D"/>
    <w:rsid w:val="777BACCE"/>
    <w:rsid w:val="77887DDB"/>
    <w:rsid w:val="778D89B5"/>
    <w:rsid w:val="77A9945B"/>
    <w:rsid w:val="77B62681"/>
    <w:rsid w:val="77C982D8"/>
    <w:rsid w:val="77F92DB9"/>
    <w:rsid w:val="782056AE"/>
    <w:rsid w:val="78211564"/>
    <w:rsid w:val="78369682"/>
    <w:rsid w:val="78635E22"/>
    <w:rsid w:val="7863F666"/>
    <w:rsid w:val="7865C5C8"/>
    <w:rsid w:val="786FA426"/>
    <w:rsid w:val="7893E845"/>
    <w:rsid w:val="789CEA69"/>
    <w:rsid w:val="78BA841A"/>
    <w:rsid w:val="78C5AC1F"/>
    <w:rsid w:val="79030920"/>
    <w:rsid w:val="7905DCB6"/>
    <w:rsid w:val="79172BD2"/>
    <w:rsid w:val="79677454"/>
    <w:rsid w:val="797AE33A"/>
    <w:rsid w:val="797C31DD"/>
    <w:rsid w:val="79A92F5F"/>
    <w:rsid w:val="79B5F559"/>
    <w:rsid w:val="79F10E01"/>
    <w:rsid w:val="7A01F1D6"/>
    <w:rsid w:val="7A08E119"/>
    <w:rsid w:val="7A17309B"/>
    <w:rsid w:val="7A1824DB"/>
    <w:rsid w:val="7A1FBF70"/>
    <w:rsid w:val="7A28C83A"/>
    <w:rsid w:val="7A41C0C8"/>
    <w:rsid w:val="7A8F75BC"/>
    <w:rsid w:val="7A9164D0"/>
    <w:rsid w:val="7AAF2FB9"/>
    <w:rsid w:val="7AEB6963"/>
    <w:rsid w:val="7AECAF94"/>
    <w:rsid w:val="7B030327"/>
    <w:rsid w:val="7B0FC124"/>
    <w:rsid w:val="7B4237C6"/>
    <w:rsid w:val="7B4F3DD3"/>
    <w:rsid w:val="7B5608C1"/>
    <w:rsid w:val="7B6B0CD6"/>
    <w:rsid w:val="7B71295C"/>
    <w:rsid w:val="7B7E5E95"/>
    <w:rsid w:val="7B8918C7"/>
    <w:rsid w:val="7BB8D848"/>
    <w:rsid w:val="7BBDCF6D"/>
    <w:rsid w:val="7BE2FD70"/>
    <w:rsid w:val="7BE77E83"/>
    <w:rsid w:val="7C1D9780"/>
    <w:rsid w:val="7C294D34"/>
    <w:rsid w:val="7C2DCCA9"/>
    <w:rsid w:val="7C3E42E4"/>
    <w:rsid w:val="7C474B52"/>
    <w:rsid w:val="7C4DDF59"/>
    <w:rsid w:val="7C52C174"/>
    <w:rsid w:val="7C74DA83"/>
    <w:rsid w:val="7C76B3E6"/>
    <w:rsid w:val="7C7C2DC2"/>
    <w:rsid w:val="7CA6C9D6"/>
    <w:rsid w:val="7CBCD5CF"/>
    <w:rsid w:val="7CC1DFE5"/>
    <w:rsid w:val="7CD29592"/>
    <w:rsid w:val="7CD58871"/>
    <w:rsid w:val="7CF12AB4"/>
    <w:rsid w:val="7CFFAB7E"/>
    <w:rsid w:val="7CFFB9FA"/>
    <w:rsid w:val="7D1ADA95"/>
    <w:rsid w:val="7D1BC0C9"/>
    <w:rsid w:val="7D2ACA35"/>
    <w:rsid w:val="7D30AC97"/>
    <w:rsid w:val="7D397D76"/>
    <w:rsid w:val="7D5301AC"/>
    <w:rsid w:val="7D62389C"/>
    <w:rsid w:val="7D71AE6B"/>
    <w:rsid w:val="7D7D4575"/>
    <w:rsid w:val="7DA31187"/>
    <w:rsid w:val="7DA8A92F"/>
    <w:rsid w:val="7DAA2326"/>
    <w:rsid w:val="7DC23C64"/>
    <w:rsid w:val="7E2BC0F9"/>
    <w:rsid w:val="7E30A5EB"/>
    <w:rsid w:val="7E5F9C5C"/>
    <w:rsid w:val="7E633BB7"/>
    <w:rsid w:val="7E64DEBD"/>
    <w:rsid w:val="7E9914B6"/>
    <w:rsid w:val="7EA191BF"/>
    <w:rsid w:val="7EDAE815"/>
    <w:rsid w:val="7F1E21A7"/>
    <w:rsid w:val="7F259521"/>
    <w:rsid w:val="7F2F2B2C"/>
    <w:rsid w:val="7F55F5EC"/>
    <w:rsid w:val="7F88AFFE"/>
    <w:rsid w:val="7F9A1A0F"/>
    <w:rsid w:val="7FA11F9D"/>
    <w:rsid w:val="7FAC7DDC"/>
    <w:rsid w:val="7FCDA356"/>
    <w:rsid w:val="7FE5C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594BE"/>
  <w14:defaultImageDpi w14:val="330"/>
  <w15:docId w15:val="{BFAF7A2C-CC5A-4855-B9EC-EBCDF05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link w:val="Heading1Char"/>
    <w:uiPriority w:val="9"/>
    <w:qFormat/>
    <w:rsid w:val="00F274C6"/>
    <w:pPr>
      <w:keepNext/>
      <w:keepLines/>
      <w:spacing w:before="240" w:after="240"/>
      <w:outlineLvl w:val="0"/>
    </w:pPr>
    <w:rPr>
      <w:rFonts w:ascii="Arial" w:eastAsiaTheme="majorEastAsia" w:hAnsi="Arial" w:cstheme="majorBidi"/>
      <w:b/>
      <w:color w:val="004270"/>
      <w:sz w:val="28"/>
      <w:szCs w:val="32"/>
    </w:rPr>
  </w:style>
  <w:style w:type="paragraph" w:styleId="Heading2">
    <w:name w:val="heading 2"/>
    <w:basedOn w:val="Normal"/>
    <w:next w:val="Normal"/>
    <w:link w:val="Heading2Char"/>
    <w:uiPriority w:val="9"/>
    <w:unhideWhenUsed/>
    <w:qFormat/>
    <w:rsid w:val="00F274C6"/>
    <w:pPr>
      <w:keepNext/>
      <w:keepLines/>
      <w:spacing w:before="240" w:after="120"/>
      <w:outlineLvl w:val="1"/>
    </w:pPr>
    <w:rPr>
      <w:rFonts w:ascii="Arial" w:eastAsiaTheme="majorEastAsia" w:hAnsi="Arial" w:cstheme="majorBidi"/>
      <w:b/>
      <w:color w:val="004270"/>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paragraph" w:styleId="Heading4">
    <w:name w:val="heading 4"/>
    <w:basedOn w:val="Normal"/>
    <w:next w:val="Normal"/>
    <w:link w:val="Heading4Char"/>
    <w:uiPriority w:val="9"/>
    <w:unhideWhenUsed/>
    <w:qFormat/>
    <w:rsid w:val="008453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274C6"/>
    <w:pPr>
      <w:keepNext/>
      <w:keepLines/>
      <w:spacing w:before="80" w:after="40" w:line="278"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274C6"/>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274C6"/>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274C6"/>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274C6"/>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rFonts w:ascii="Arial" w:hAnsi="Arial"/>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nhideWhenUsed/>
    <w:qFormat/>
    <w:rsid w:val="0034134D"/>
    <w:rPr>
      <w:vertAlign w:val="superscript"/>
    </w:rPr>
  </w:style>
  <w:style w:type="character" w:customStyle="1" w:styleId="Heading1Char">
    <w:name w:val="Heading 1 Char"/>
    <w:basedOn w:val="DefaultParagraphFont"/>
    <w:link w:val="Heading1"/>
    <w:uiPriority w:val="9"/>
    <w:rsid w:val="00F274C6"/>
    <w:rPr>
      <w:rFonts w:ascii="Arial" w:eastAsiaTheme="majorEastAsia" w:hAnsi="Arial" w:cstheme="majorBidi"/>
      <w:b/>
      <w:color w:val="004270"/>
      <w:sz w:val="28"/>
      <w:szCs w:val="32"/>
      <w:lang w:val="en-AU"/>
    </w:rPr>
  </w:style>
  <w:style w:type="paragraph" w:styleId="NoSpacing">
    <w:name w:val="No Spacing"/>
    <w:link w:val="NoSpacingChar"/>
    <w:uiPriority w:val="1"/>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rsid w:val="00C203C3"/>
    <w:pPr>
      <w:spacing w:line="259" w:lineRule="auto"/>
      <w:outlineLvl w:val="9"/>
    </w:pPr>
    <w:rPr>
      <w:rFonts w:cs="Arial"/>
      <w:b w:val="0"/>
      <w:sz w:val="36"/>
      <w:szCs w:val="36"/>
    </w:rPr>
  </w:style>
  <w:style w:type="paragraph" w:styleId="TOC1">
    <w:name w:val="toc 1"/>
    <w:basedOn w:val="Normal"/>
    <w:next w:val="Normal"/>
    <w:autoRedefine/>
    <w:uiPriority w:val="39"/>
    <w:unhideWhenUsed/>
    <w:rsid w:val="00ED0BDD"/>
    <w:pPr>
      <w:tabs>
        <w:tab w:val="right" w:leader="dot" w:pos="8222"/>
      </w:tabs>
      <w:spacing w:after="100"/>
    </w:pPr>
    <w:rPr>
      <w:rFonts w:ascii="Arial" w:hAnsi="Arial"/>
      <w:sz w:val="22"/>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F274C6"/>
    <w:rPr>
      <w:rFonts w:ascii="Arial" w:eastAsiaTheme="majorEastAsia" w:hAnsi="Arial" w:cstheme="majorBidi"/>
      <w:b/>
      <w:color w:val="004270"/>
      <w:lang w:val="en-AU"/>
    </w:rPr>
  </w:style>
  <w:style w:type="paragraph" w:styleId="TOC2">
    <w:name w:val="toc 2"/>
    <w:basedOn w:val="Normal"/>
    <w:next w:val="Normal"/>
    <w:autoRedefine/>
    <w:uiPriority w:val="39"/>
    <w:unhideWhenUsed/>
    <w:rsid w:val="00ED0BDD"/>
    <w:pPr>
      <w:tabs>
        <w:tab w:val="right" w:leader="dot" w:pos="8222"/>
      </w:tabs>
      <w:spacing w:before="120" w:after="120"/>
      <w:ind w:left="238"/>
    </w:pPr>
    <w:rPr>
      <w:rFonts w:ascii="Arial" w:hAnsi="Arial" w:cs="Arial"/>
      <w:noProof/>
      <w:sz w:val="22"/>
    </w:r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ED0BDD"/>
    <w:pPr>
      <w:tabs>
        <w:tab w:val="right" w:leader="dot" w:pos="8222"/>
      </w:tabs>
      <w:spacing w:after="100"/>
      <w:ind w:left="480"/>
    </w:pPr>
    <w:rPr>
      <w:sz w:val="22"/>
    </w:r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D252DD"/>
    <w:pPr>
      <w:numPr>
        <w:numId w:val="1"/>
      </w:numPr>
      <w:spacing w:before="120" w:after="240" w:line="276" w:lineRule="auto"/>
      <w:contextualSpacing w:val="0"/>
    </w:pPr>
    <w:rPr>
      <w:rFonts w:ascii="Arial" w:hAnsi="Arial" w:cs="Arial"/>
      <w:sz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D252DD"/>
    <w:rPr>
      <w:rFonts w:ascii="Arial" w:hAnsi="Arial" w:cs="Arial"/>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FB0A3D"/>
    <w:pPr>
      <w:numPr>
        <w:numId w:val="2"/>
      </w:numPr>
      <w:spacing w:after="120"/>
      <w:contextualSpacing w:val="0"/>
    </w:pPr>
    <w:rPr>
      <w:rFonts w:ascii="Arial" w:hAnsi="Arial" w:cs="Arial"/>
      <w:sz w:val="22"/>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character" w:customStyle="1" w:styleId="listnumber">
    <w:name w:val="listnumber"/>
    <w:basedOn w:val="DefaultParagraphFont"/>
    <w:rsid w:val="004C7C44"/>
  </w:style>
  <w:style w:type="character" w:styleId="UnresolvedMention">
    <w:name w:val="Unresolved Mention"/>
    <w:basedOn w:val="DefaultParagraphFont"/>
    <w:uiPriority w:val="99"/>
    <w:semiHidden/>
    <w:unhideWhenUsed/>
    <w:rsid w:val="005B588C"/>
    <w:rPr>
      <w:color w:val="605E5C"/>
      <w:shd w:val="clear" w:color="auto" w:fill="E1DFDD"/>
    </w:rPr>
  </w:style>
  <w:style w:type="paragraph" w:styleId="NormalWeb">
    <w:name w:val="Normal (Web)"/>
    <w:basedOn w:val="Normal"/>
    <w:uiPriority w:val="99"/>
    <w:semiHidden/>
    <w:unhideWhenUsed/>
    <w:rsid w:val="00905084"/>
    <w:pPr>
      <w:spacing w:before="100" w:beforeAutospacing="1" w:after="100" w:afterAutospacing="1"/>
    </w:pPr>
    <w:rPr>
      <w:rFonts w:ascii="Times New Roman" w:eastAsia="Times New Roman" w:hAnsi="Times New Roman" w:cs="Times New Roman"/>
      <w:lang w:eastAsia="en-AU"/>
    </w:rPr>
  </w:style>
  <w:style w:type="paragraph" w:styleId="BodyTextIndent">
    <w:name w:val="Body Text Indent"/>
    <w:basedOn w:val="Normal"/>
    <w:link w:val="BodyTextIndentChar"/>
    <w:uiPriority w:val="99"/>
    <w:semiHidden/>
    <w:unhideWhenUsed/>
    <w:rsid w:val="00B34943"/>
    <w:pPr>
      <w:spacing w:after="120"/>
      <w:ind w:left="283"/>
    </w:pPr>
  </w:style>
  <w:style w:type="character" w:customStyle="1" w:styleId="BodyTextIndentChar">
    <w:name w:val="Body Text Indent Char"/>
    <w:basedOn w:val="DefaultParagraphFont"/>
    <w:link w:val="BodyTextIndent"/>
    <w:uiPriority w:val="99"/>
    <w:semiHidden/>
    <w:rsid w:val="00B34943"/>
    <w:rPr>
      <w:lang w:val="en-AU"/>
    </w:rPr>
  </w:style>
  <w:style w:type="paragraph" w:styleId="BodyTextFirstIndent2">
    <w:name w:val="Body Text First Indent 2"/>
    <w:link w:val="BodyTextFirstIndent2Char"/>
    <w:uiPriority w:val="99"/>
    <w:semiHidden/>
    <w:unhideWhenUsed/>
    <w:rsid w:val="00B34943"/>
    <w:pPr>
      <w:ind w:firstLine="210"/>
    </w:pPr>
    <w:rPr>
      <w:rFonts w:ascii="Arial" w:eastAsia="Calibri" w:hAnsi="Arial" w:cs="Arial"/>
      <w:sz w:val="22"/>
      <w:szCs w:val="22"/>
      <w:lang w:val="en-AU" w:eastAsia="en-AU"/>
    </w:rPr>
  </w:style>
  <w:style w:type="character" w:customStyle="1" w:styleId="BodyTextFirstIndent2Char">
    <w:name w:val="Body Text First Indent 2 Char"/>
    <w:basedOn w:val="BodyTextIndentChar"/>
    <w:link w:val="BodyTextFirstIndent2"/>
    <w:uiPriority w:val="99"/>
    <w:semiHidden/>
    <w:rsid w:val="00B34943"/>
    <w:rPr>
      <w:rFonts w:ascii="Arial" w:eastAsia="Calibri" w:hAnsi="Arial" w:cs="Arial"/>
      <w:sz w:val="22"/>
      <w:szCs w:val="22"/>
      <w:lang w:val="en-AU" w:eastAsia="en-AU"/>
    </w:rPr>
  </w:style>
  <w:style w:type="paragraph" w:styleId="ListNumber5">
    <w:name w:val="List Number 5"/>
    <w:uiPriority w:val="99"/>
    <w:semiHidden/>
    <w:unhideWhenUsed/>
    <w:rsid w:val="00B34943"/>
    <w:pPr>
      <w:numPr>
        <w:numId w:val="3"/>
      </w:numPr>
      <w:contextualSpacing/>
    </w:pPr>
    <w:rPr>
      <w:rFonts w:ascii="Arial" w:eastAsia="Calibri" w:hAnsi="Arial" w:cs="Arial"/>
      <w:sz w:val="22"/>
      <w:szCs w:val="22"/>
      <w:lang w:val="en-AU" w:eastAsia="en-AU"/>
    </w:rPr>
  </w:style>
  <w:style w:type="paragraph" w:customStyle="1" w:styleId="Bulletpointreview">
    <w:name w:val="Bullet point review"/>
    <w:basedOn w:val="Normal"/>
    <w:qFormat/>
    <w:rsid w:val="00B34943"/>
    <w:pPr>
      <w:numPr>
        <w:numId w:val="4"/>
      </w:numPr>
      <w:spacing w:before="240" w:after="240"/>
    </w:pPr>
    <w:rPr>
      <w:rFonts w:ascii="Arial" w:eastAsia="Calibri" w:hAnsi="Arial" w:cs="Arial"/>
      <w:sz w:val="21"/>
      <w:szCs w:val="22"/>
      <w:lang w:eastAsia="en-AU"/>
    </w:rPr>
  </w:style>
  <w:style w:type="paragraph" w:customStyle="1" w:styleId="Bulletpointreview2">
    <w:name w:val="Bullet point review 2"/>
    <w:basedOn w:val="Bulletpointreview"/>
    <w:qFormat/>
    <w:rsid w:val="006905A3"/>
    <w:pPr>
      <w:numPr>
        <w:ilvl w:val="1"/>
      </w:numPr>
      <w:tabs>
        <w:tab w:val="clear" w:pos="1440"/>
        <w:tab w:val="num" w:pos="1134"/>
      </w:tabs>
      <w:ind w:left="1134" w:hanging="425"/>
    </w:pPr>
  </w:style>
  <w:style w:type="character" w:customStyle="1" w:styleId="Heading4Char">
    <w:name w:val="Heading 4 Char"/>
    <w:basedOn w:val="DefaultParagraphFont"/>
    <w:link w:val="Heading4"/>
    <w:uiPriority w:val="9"/>
    <w:rsid w:val="00845386"/>
    <w:rPr>
      <w:rFonts w:asciiTheme="majorHAnsi" w:eastAsiaTheme="majorEastAsia" w:hAnsiTheme="majorHAnsi" w:cstheme="majorBidi"/>
      <w:i/>
      <w:iCs/>
      <w:color w:val="365F91" w:themeColor="accent1" w:themeShade="BF"/>
      <w:lang w:val="en-AU"/>
    </w:rPr>
  </w:style>
  <w:style w:type="character" w:customStyle="1" w:styleId="markedcontent">
    <w:name w:val="markedcontent"/>
    <w:basedOn w:val="DefaultParagraphFont"/>
    <w:rsid w:val="003A39E9"/>
  </w:style>
  <w:style w:type="character" w:customStyle="1" w:styleId="ui-provider">
    <w:name w:val="ui-provider"/>
    <w:basedOn w:val="DefaultParagraphFont"/>
    <w:rsid w:val="007C347C"/>
  </w:style>
  <w:style w:type="paragraph" w:customStyle="1" w:styleId="xmsolistparagraph">
    <w:name w:val="x_msolistparagraph"/>
    <w:basedOn w:val="Normal"/>
    <w:rsid w:val="0091253D"/>
    <w:pPr>
      <w:ind w:left="720"/>
    </w:pPr>
    <w:rPr>
      <w:rFonts w:ascii="Calibri" w:eastAsiaTheme="minorHAnsi" w:hAnsi="Calibri" w:cs="Calibri"/>
      <w:sz w:val="22"/>
      <w:szCs w:val="22"/>
      <w:lang w:eastAsia="en-AU"/>
    </w:rPr>
  </w:style>
  <w:style w:type="paragraph" w:styleId="Subtitle">
    <w:name w:val="Subtitle"/>
    <w:basedOn w:val="Normal"/>
    <w:next w:val="Normal"/>
    <w:link w:val="SubtitleChar"/>
    <w:uiPriority w:val="11"/>
    <w:qFormat/>
    <w:rsid w:val="002B29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2B292B"/>
    <w:rPr>
      <w:color w:val="5A5A5A" w:themeColor="text1" w:themeTint="A5"/>
      <w:spacing w:val="15"/>
      <w:sz w:val="22"/>
      <w:szCs w:val="22"/>
      <w:lang w:val="en-AU"/>
    </w:rPr>
  </w:style>
  <w:style w:type="table" w:customStyle="1" w:styleId="TableGrid1">
    <w:name w:val="Table Grid1"/>
    <w:basedOn w:val="TableNormal"/>
    <w:next w:val="TableGrid"/>
    <w:uiPriority w:val="39"/>
    <w:rsid w:val="003635EB"/>
    <w:rPr>
      <w:rFonts w:eastAsia="Aptos"/>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3635EB"/>
    <w:rPr>
      <w:rFonts w:eastAsia="Aptos"/>
      <w:kern w:val="2"/>
      <w:lang w:val="en-AU"/>
      <w14:ligatures w14:val="standardContextual"/>
    </w:rPr>
    <w:tblPr>
      <w:tblStyleRowBandSize w:val="1"/>
      <w:tblStyleColBandSize w:val="1"/>
      <w:tblBorders>
        <w:top w:val="single" w:sz="4" w:space="0" w:color="4D4BFF"/>
        <w:left w:val="single" w:sz="4" w:space="0" w:color="4D4BFF"/>
        <w:bottom w:val="single" w:sz="4" w:space="0" w:color="4D4BFF"/>
        <w:right w:val="single" w:sz="4" w:space="0" w:color="4D4BFF"/>
        <w:insideH w:val="single" w:sz="4" w:space="0" w:color="4D4BFF"/>
        <w:insideV w:val="single" w:sz="4" w:space="0" w:color="4D4BFF"/>
      </w:tblBorders>
    </w:tblPr>
    <w:tblStylePr w:type="firstRow">
      <w:rPr>
        <w:b/>
        <w:bCs/>
      </w:rPr>
      <w:tblPr/>
      <w:tcPr>
        <w:tcBorders>
          <w:bottom w:val="single" w:sz="12" w:space="0" w:color="0300F0"/>
        </w:tcBorders>
      </w:tcPr>
    </w:tblStylePr>
    <w:tblStylePr w:type="lastRow">
      <w:rPr>
        <w:b/>
        <w:bCs/>
      </w:rPr>
      <w:tblPr/>
      <w:tcPr>
        <w:tcBorders>
          <w:top w:val="double" w:sz="2" w:space="0" w:color="0300F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635E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F274C6"/>
    <w:rPr>
      <w:rFonts w:eastAsiaTheme="majorEastAsia" w:cstheme="majorBidi"/>
      <w:color w:val="365F91" w:themeColor="accent1" w:themeShade="BF"/>
      <w:kern w:val="2"/>
      <w:lang w:val="en-AU"/>
      <w14:ligatures w14:val="standardContextual"/>
    </w:rPr>
  </w:style>
  <w:style w:type="character" w:customStyle="1" w:styleId="Heading6Char">
    <w:name w:val="Heading 6 Char"/>
    <w:basedOn w:val="DefaultParagraphFont"/>
    <w:link w:val="Heading6"/>
    <w:uiPriority w:val="9"/>
    <w:semiHidden/>
    <w:rsid w:val="00F274C6"/>
    <w:rPr>
      <w:rFonts w:eastAsiaTheme="majorEastAsia" w:cstheme="majorBidi"/>
      <w:i/>
      <w:iCs/>
      <w:color w:val="595959" w:themeColor="text1" w:themeTint="A6"/>
      <w:kern w:val="2"/>
      <w:lang w:val="en-AU"/>
      <w14:ligatures w14:val="standardContextual"/>
    </w:rPr>
  </w:style>
  <w:style w:type="character" w:customStyle="1" w:styleId="Heading7Char">
    <w:name w:val="Heading 7 Char"/>
    <w:basedOn w:val="DefaultParagraphFont"/>
    <w:link w:val="Heading7"/>
    <w:uiPriority w:val="9"/>
    <w:semiHidden/>
    <w:rsid w:val="00F274C6"/>
    <w:rPr>
      <w:rFonts w:eastAsiaTheme="majorEastAsia" w:cstheme="majorBidi"/>
      <w:color w:val="595959" w:themeColor="text1" w:themeTint="A6"/>
      <w:kern w:val="2"/>
      <w:lang w:val="en-AU"/>
      <w14:ligatures w14:val="standardContextual"/>
    </w:rPr>
  </w:style>
  <w:style w:type="character" w:customStyle="1" w:styleId="Heading8Char">
    <w:name w:val="Heading 8 Char"/>
    <w:basedOn w:val="DefaultParagraphFont"/>
    <w:link w:val="Heading8"/>
    <w:uiPriority w:val="9"/>
    <w:semiHidden/>
    <w:rsid w:val="00F274C6"/>
    <w:rPr>
      <w:rFonts w:eastAsiaTheme="majorEastAsia" w:cstheme="majorBidi"/>
      <w:i/>
      <w:iCs/>
      <w:color w:val="272727" w:themeColor="text1" w:themeTint="D8"/>
      <w:kern w:val="2"/>
      <w:lang w:val="en-AU"/>
      <w14:ligatures w14:val="standardContextual"/>
    </w:rPr>
  </w:style>
  <w:style w:type="character" w:customStyle="1" w:styleId="Heading9Char">
    <w:name w:val="Heading 9 Char"/>
    <w:basedOn w:val="DefaultParagraphFont"/>
    <w:link w:val="Heading9"/>
    <w:uiPriority w:val="9"/>
    <w:semiHidden/>
    <w:rsid w:val="00F274C6"/>
    <w:rPr>
      <w:rFonts w:eastAsiaTheme="majorEastAsia" w:cstheme="majorBidi"/>
      <w:color w:val="272727" w:themeColor="text1" w:themeTint="D8"/>
      <w:kern w:val="2"/>
      <w:lang w:val="en-AU"/>
      <w14:ligatures w14:val="standardContextual"/>
    </w:rPr>
  </w:style>
  <w:style w:type="character" w:styleId="IntenseEmphasis">
    <w:name w:val="Intense Emphasis"/>
    <w:basedOn w:val="DefaultParagraphFont"/>
    <w:uiPriority w:val="21"/>
    <w:qFormat/>
    <w:rsid w:val="00F274C6"/>
    <w:rPr>
      <w:i/>
      <w:iCs/>
      <w:color w:val="365F91" w:themeColor="accent1" w:themeShade="BF"/>
    </w:rPr>
  </w:style>
  <w:style w:type="paragraph" w:styleId="IntenseQuote">
    <w:name w:val="Intense Quote"/>
    <w:basedOn w:val="Normal"/>
    <w:next w:val="Normal"/>
    <w:link w:val="IntenseQuoteChar"/>
    <w:uiPriority w:val="30"/>
    <w:qFormat/>
    <w:rsid w:val="00F274C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F274C6"/>
    <w:rPr>
      <w:rFonts w:eastAsiaTheme="minorHAnsi"/>
      <w:i/>
      <w:iCs/>
      <w:color w:val="365F91" w:themeColor="accent1" w:themeShade="BF"/>
      <w:kern w:val="2"/>
      <w:lang w:val="en-AU"/>
      <w14:ligatures w14:val="standardContextual"/>
    </w:rPr>
  </w:style>
  <w:style w:type="character" w:styleId="IntenseReference">
    <w:name w:val="Intense Reference"/>
    <w:basedOn w:val="DefaultParagraphFont"/>
    <w:uiPriority w:val="32"/>
    <w:qFormat/>
    <w:rsid w:val="00F274C6"/>
    <w:rPr>
      <w:b/>
      <w:bCs/>
      <w:smallCaps/>
      <w:color w:val="365F91" w:themeColor="accent1" w:themeShade="BF"/>
      <w:spacing w:val="5"/>
    </w:rPr>
  </w:style>
  <w:style w:type="paragraph" w:styleId="EndnoteText">
    <w:name w:val="endnote text"/>
    <w:basedOn w:val="Normal"/>
    <w:link w:val="EndnoteTextChar"/>
    <w:uiPriority w:val="99"/>
    <w:semiHidden/>
    <w:unhideWhenUsed/>
    <w:rsid w:val="00F274C6"/>
    <w:rPr>
      <w:rFonts w:ascii="Arial" w:hAnsi="Arial"/>
      <w:sz w:val="20"/>
      <w:szCs w:val="20"/>
    </w:rPr>
  </w:style>
  <w:style w:type="character" w:customStyle="1" w:styleId="EndnoteTextChar">
    <w:name w:val="Endnote Text Char"/>
    <w:basedOn w:val="DefaultParagraphFont"/>
    <w:link w:val="EndnoteText"/>
    <w:uiPriority w:val="99"/>
    <w:semiHidden/>
    <w:rsid w:val="00F274C6"/>
    <w:rPr>
      <w:rFonts w:ascii="Arial" w:hAnsi="Arial"/>
      <w:sz w:val="20"/>
      <w:szCs w:val="20"/>
      <w:lang w:val="en-AU"/>
    </w:rPr>
  </w:style>
  <w:style w:type="character" w:styleId="EndnoteReference">
    <w:name w:val="endnote reference"/>
    <w:basedOn w:val="DefaultParagraphFont"/>
    <w:uiPriority w:val="99"/>
    <w:semiHidden/>
    <w:unhideWhenUsed/>
    <w:rsid w:val="00F274C6"/>
    <w:rPr>
      <w:vertAlign w:val="superscript"/>
    </w:rPr>
  </w:style>
  <w:style w:type="paragraph" w:customStyle="1" w:styleId="Style1">
    <w:name w:val="Style1"/>
    <w:basedOn w:val="ListParagraph"/>
    <w:qFormat/>
    <w:rsid w:val="00F274C6"/>
    <w:pPr>
      <w:numPr>
        <w:ilvl w:val="1"/>
        <w:numId w:val="7"/>
      </w:numPr>
      <w:spacing w:before="120" w:after="240" w:line="300" w:lineRule="auto"/>
      <w:ind w:left="1080"/>
      <w:contextualSpacing w:val="0"/>
    </w:pPr>
    <w:rPr>
      <w:rFonts w:ascii="Arial" w:eastAsia="Times New Roman" w:hAnsi="Arial" w:cs="Arial"/>
      <w:bCs/>
      <w:iCs/>
      <w:sz w:val="22"/>
      <w:szCs w:val="22"/>
      <w:lang w:eastAsia="en-GB"/>
    </w:rPr>
  </w:style>
  <w:style w:type="character" w:styleId="Mention">
    <w:name w:val="Mention"/>
    <w:basedOn w:val="DefaultParagraphFont"/>
    <w:uiPriority w:val="99"/>
    <w:unhideWhenUsed/>
    <w:rsid w:val="00F274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267">
      <w:bodyDiv w:val="1"/>
      <w:marLeft w:val="0"/>
      <w:marRight w:val="0"/>
      <w:marTop w:val="0"/>
      <w:marBottom w:val="0"/>
      <w:divBdr>
        <w:top w:val="none" w:sz="0" w:space="0" w:color="auto"/>
        <w:left w:val="none" w:sz="0" w:space="0" w:color="auto"/>
        <w:bottom w:val="none" w:sz="0" w:space="0" w:color="auto"/>
        <w:right w:val="none" w:sz="0" w:space="0" w:color="auto"/>
      </w:divBdr>
    </w:div>
    <w:div w:id="551236554">
      <w:bodyDiv w:val="1"/>
      <w:marLeft w:val="0"/>
      <w:marRight w:val="0"/>
      <w:marTop w:val="0"/>
      <w:marBottom w:val="0"/>
      <w:divBdr>
        <w:top w:val="none" w:sz="0" w:space="0" w:color="auto"/>
        <w:left w:val="none" w:sz="0" w:space="0" w:color="auto"/>
        <w:bottom w:val="none" w:sz="0" w:space="0" w:color="auto"/>
        <w:right w:val="none" w:sz="0" w:space="0" w:color="auto"/>
      </w:divBdr>
    </w:div>
    <w:div w:id="727345437">
      <w:bodyDiv w:val="1"/>
      <w:marLeft w:val="0"/>
      <w:marRight w:val="0"/>
      <w:marTop w:val="0"/>
      <w:marBottom w:val="0"/>
      <w:divBdr>
        <w:top w:val="none" w:sz="0" w:space="0" w:color="auto"/>
        <w:left w:val="none" w:sz="0" w:space="0" w:color="auto"/>
        <w:bottom w:val="none" w:sz="0" w:space="0" w:color="auto"/>
        <w:right w:val="none" w:sz="0" w:space="0" w:color="auto"/>
      </w:divBdr>
      <w:divsChild>
        <w:div w:id="653722468">
          <w:blockQuote w:val="1"/>
          <w:marLeft w:val="600"/>
          <w:marRight w:val="0"/>
          <w:marTop w:val="120"/>
          <w:marBottom w:val="120"/>
          <w:divBdr>
            <w:top w:val="none" w:sz="0" w:space="0" w:color="auto"/>
            <w:left w:val="none" w:sz="0" w:space="0" w:color="auto"/>
            <w:bottom w:val="none" w:sz="0" w:space="0" w:color="auto"/>
            <w:right w:val="none" w:sz="0" w:space="0" w:color="auto"/>
          </w:divBdr>
        </w:div>
        <w:div w:id="856500002">
          <w:blockQuote w:val="1"/>
          <w:marLeft w:val="600"/>
          <w:marRight w:val="0"/>
          <w:marTop w:val="120"/>
          <w:marBottom w:val="120"/>
          <w:divBdr>
            <w:top w:val="none" w:sz="0" w:space="0" w:color="auto"/>
            <w:left w:val="none" w:sz="0" w:space="0" w:color="auto"/>
            <w:bottom w:val="none" w:sz="0" w:space="0" w:color="auto"/>
            <w:right w:val="none" w:sz="0" w:space="0" w:color="auto"/>
          </w:divBdr>
        </w:div>
        <w:div w:id="11520174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9121724">
      <w:bodyDiv w:val="1"/>
      <w:marLeft w:val="0"/>
      <w:marRight w:val="0"/>
      <w:marTop w:val="0"/>
      <w:marBottom w:val="0"/>
      <w:divBdr>
        <w:top w:val="none" w:sz="0" w:space="0" w:color="auto"/>
        <w:left w:val="none" w:sz="0" w:space="0" w:color="auto"/>
        <w:bottom w:val="none" w:sz="0" w:space="0" w:color="auto"/>
        <w:right w:val="none" w:sz="0" w:space="0" w:color="auto"/>
      </w:divBdr>
      <w:divsChild>
        <w:div w:id="167183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38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0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2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79542">
                  <w:blockQuote w:val="1"/>
                  <w:marLeft w:val="720"/>
                  <w:marRight w:val="720"/>
                  <w:marTop w:val="100"/>
                  <w:marBottom w:val="100"/>
                  <w:divBdr>
                    <w:top w:val="none" w:sz="0" w:space="0" w:color="auto"/>
                    <w:left w:val="none" w:sz="0" w:space="0" w:color="auto"/>
                    <w:bottom w:val="none" w:sz="0" w:space="0" w:color="auto"/>
                    <w:right w:val="none" w:sz="0" w:space="0" w:color="auto"/>
                  </w:divBdr>
                </w:div>
                <w:div w:id="979312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3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162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158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275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8744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22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89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0135112">
      <w:bodyDiv w:val="1"/>
      <w:marLeft w:val="0"/>
      <w:marRight w:val="0"/>
      <w:marTop w:val="0"/>
      <w:marBottom w:val="0"/>
      <w:divBdr>
        <w:top w:val="none" w:sz="0" w:space="0" w:color="auto"/>
        <w:left w:val="none" w:sz="0" w:space="0" w:color="auto"/>
        <w:bottom w:val="none" w:sz="0" w:space="0" w:color="auto"/>
        <w:right w:val="none" w:sz="0" w:space="0" w:color="auto"/>
      </w:divBdr>
    </w:div>
    <w:div w:id="1135877424">
      <w:bodyDiv w:val="1"/>
      <w:marLeft w:val="0"/>
      <w:marRight w:val="0"/>
      <w:marTop w:val="0"/>
      <w:marBottom w:val="0"/>
      <w:divBdr>
        <w:top w:val="none" w:sz="0" w:space="0" w:color="auto"/>
        <w:left w:val="none" w:sz="0" w:space="0" w:color="auto"/>
        <w:bottom w:val="none" w:sz="0" w:space="0" w:color="auto"/>
        <w:right w:val="none" w:sz="0" w:space="0" w:color="auto"/>
      </w:divBdr>
    </w:div>
    <w:div w:id="1356737177">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460801282">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642418437">
      <w:bodyDiv w:val="1"/>
      <w:marLeft w:val="0"/>
      <w:marRight w:val="0"/>
      <w:marTop w:val="0"/>
      <w:marBottom w:val="0"/>
      <w:divBdr>
        <w:top w:val="none" w:sz="0" w:space="0" w:color="auto"/>
        <w:left w:val="none" w:sz="0" w:space="0" w:color="auto"/>
        <w:bottom w:val="none" w:sz="0" w:space="0" w:color="auto"/>
        <w:right w:val="none" w:sz="0" w:space="0" w:color="auto"/>
      </w:divBdr>
    </w:div>
    <w:div w:id="1878010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dvance.lexis.com/document/?pdmfid=1201008&amp;crid=cbef0c2f-55f1-444a-8dd4-6095970d9ed2&amp;pddocfullpath=%2Fshared%2Fdocument%2Fanalytical-materials-au%2Furn%3AcontentItem%3A5XKC-TRS1-JXG3-X2CV-00000-00&amp;pdcontentcomponentid=600556&amp;pdshepid=urn%3AcontentItem%3A5XKC-TRS1-JXG3-X2CV-00000-00&amp;pdteaserkey=sr0&amp;pdicsfeatureid=1517127&amp;pditab=allpods&amp;ecomp=hwtpk&amp;earg=sr0&amp;prid=12b0254e-1a88-475c-9c4d-e245d484929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13" ma:contentTypeDescription="Create a new document." ma:contentTypeScope="" ma:versionID="cc8b8631d351c69949bf78ef296b9d35">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aee2c19fc15d505978572c06be6cbe50"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55ed63-341b-4a6d-8d92-bc71a320541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9ec758c-7b29-4bbd-836f-c599af6fef2b">CS3F356C3TDS-1011335364-8123</_dlc_DocId>
    <_dlc_DocIdUrl xmlns="a9ec758c-7b29-4bbd-836f-c599af6fef2b">
      <Url>https://qldhrc.sharepoint.com/sites/LegalResearchandPolicy/_layouts/15/DocIdRedir.aspx?ID=CS3F356C3TDS-1011335364-8123</Url>
      <Description>CS3F356C3TDS-1011335364-8123</Description>
    </_dlc_DocIdUrl>
    <Sarahssubs xmlns="9ce53bef-e5d1-4308-a048-986453adcb2d">
      <UserInfo>
        <DisplayName/>
        <AccountId xsi:nil="true"/>
        <AccountType/>
      </UserInfo>
    </Sarahssubs>
    <SubmissionTo xmlns="9ce53bef-e5d1-4308-a048-986453adcb2d" xsi:nil="true"/>
    <Filenumber xmlns="a9ec758c-7b29-4bbd-836f-c599af6fef2b">BNE5413926</Filenumber>
    <lcf76f155ced4ddcb4097134ff3c332f xmlns="9ce53bef-e5d1-4308-a048-986453adcb2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3D7133-9133-4C0F-8A1D-D7BFEF1B3056}">
  <ds:schemaRefs>
    <ds:schemaRef ds:uri="http://schemas.microsoft.com/sharepoint/events"/>
  </ds:schemaRefs>
</ds:datastoreItem>
</file>

<file path=customXml/itemProps3.xml><?xml version="1.0" encoding="utf-8"?>
<ds:datastoreItem xmlns:ds="http://schemas.openxmlformats.org/officeDocument/2006/customXml" ds:itemID="{3B687224-C35D-4460-8425-A69459B30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758c-7b29-4bbd-836f-c599af6fef2b"/>
    <ds:schemaRef ds:uri="9ce53bef-e5d1-4308-a048-986453a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645B08-DBBC-47C7-818D-B7150DCB025F}">
  <ds:schemaRefs>
    <ds:schemaRef ds:uri="http://www.w3.org/XML/1998/namespace"/>
    <ds:schemaRef ds:uri="http://purl.org/dc/terms/"/>
    <ds:schemaRef ds:uri="http://schemas.openxmlformats.org/package/2006/metadata/core-properties"/>
    <ds:schemaRef ds:uri="http://purl.org/dc/dcmitype/"/>
    <ds:schemaRef ds:uri="a9ec758c-7b29-4bbd-836f-c599af6fef2b"/>
    <ds:schemaRef ds:uri="http://schemas.microsoft.com/office/2006/documentManagement/types"/>
    <ds:schemaRef ds:uri="http://purl.org/dc/elements/1.1/"/>
    <ds:schemaRef ds:uri="http://schemas.microsoft.com/office/infopath/2007/PartnerControls"/>
    <ds:schemaRef ds:uri="9ce53bef-e5d1-4308-a048-986453adcb2d"/>
    <ds:schemaRef ds:uri="http://schemas.microsoft.com/office/2006/metadata/properties"/>
  </ds:schemaRefs>
</ds:datastoreItem>
</file>

<file path=customXml/itemProps5.xml><?xml version="1.0" encoding="utf-8"?>
<ds:datastoreItem xmlns:ds="http://schemas.openxmlformats.org/officeDocument/2006/customXml" ds:itemID="{C9FCD3E2-70F6-4656-B383-8FB8BEECB4D5}">
  <ds:schemaRefs>
    <ds:schemaRef ds:uri="http://schemas.openxmlformats.org/officeDocument/2006/bibliography"/>
  </ds:schemaRefs>
</ds:datastoreItem>
</file>

<file path=customXml/itemProps6.xml><?xml version="1.0" encoding="utf-8"?>
<ds:datastoreItem xmlns:ds="http://schemas.openxmlformats.org/officeDocument/2006/customXml" ds:itemID="{33D5C809-6C1B-465E-9CDE-5E3B3778B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8783</Words>
  <Characters>50065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2025 Disaster events review</vt:lpstr>
    </vt:vector>
  </TitlesOfParts>
  <Company/>
  <LinksUpToDate>false</LinksUpToDate>
  <CharactersWithSpaces>58731</CharactersWithSpaces>
  <SharedDoc>false</SharedDoc>
  <HLinks>
    <vt:vector size="162" baseType="variant">
      <vt:variant>
        <vt:i4>4128877</vt:i4>
      </vt:variant>
      <vt:variant>
        <vt:i4>159</vt:i4>
      </vt:variant>
      <vt:variant>
        <vt:i4>0</vt:i4>
      </vt:variant>
      <vt:variant>
        <vt:i4>5</vt:i4>
      </vt:variant>
      <vt:variant>
        <vt:lpwstr>https://advance.lexis.com/document/?pdmfid=1201008&amp;crid=cbef0c2f-55f1-444a-8dd4-6095970d9ed2&amp;pddocfullpath=%2Fshared%2Fdocument%2Fanalytical-materials-au%2Furn%3AcontentItem%3A5XKC-TRS1-JXG3-X2CV-00000-00&amp;pdcontentcomponentid=600556&amp;pdshepid=urn%3AcontentItem%3A5XKC-TRS1-JXG3-X2CV-00000-00&amp;pdteaserkey=sr0&amp;pdicsfeatureid=1517127&amp;pditab=allpods&amp;ecomp=hwtpk&amp;earg=sr0&amp;prid=12b0254e-1a88-475c-9c4d-e245d4849298</vt:lpwstr>
      </vt:variant>
      <vt:variant>
        <vt:lpwstr/>
      </vt:variant>
      <vt:variant>
        <vt:i4>1114160</vt:i4>
      </vt:variant>
      <vt:variant>
        <vt:i4>152</vt:i4>
      </vt:variant>
      <vt:variant>
        <vt:i4>0</vt:i4>
      </vt:variant>
      <vt:variant>
        <vt:i4>5</vt:i4>
      </vt:variant>
      <vt:variant>
        <vt:lpwstr/>
      </vt:variant>
      <vt:variant>
        <vt:lpwstr>_Toc204761007</vt:lpwstr>
      </vt:variant>
      <vt:variant>
        <vt:i4>1114160</vt:i4>
      </vt:variant>
      <vt:variant>
        <vt:i4>146</vt:i4>
      </vt:variant>
      <vt:variant>
        <vt:i4>0</vt:i4>
      </vt:variant>
      <vt:variant>
        <vt:i4>5</vt:i4>
      </vt:variant>
      <vt:variant>
        <vt:lpwstr/>
      </vt:variant>
      <vt:variant>
        <vt:lpwstr>_Toc204761006</vt:lpwstr>
      </vt:variant>
      <vt:variant>
        <vt:i4>1114160</vt:i4>
      </vt:variant>
      <vt:variant>
        <vt:i4>140</vt:i4>
      </vt:variant>
      <vt:variant>
        <vt:i4>0</vt:i4>
      </vt:variant>
      <vt:variant>
        <vt:i4>5</vt:i4>
      </vt:variant>
      <vt:variant>
        <vt:lpwstr/>
      </vt:variant>
      <vt:variant>
        <vt:lpwstr>_Toc204761005</vt:lpwstr>
      </vt:variant>
      <vt:variant>
        <vt:i4>1114160</vt:i4>
      </vt:variant>
      <vt:variant>
        <vt:i4>134</vt:i4>
      </vt:variant>
      <vt:variant>
        <vt:i4>0</vt:i4>
      </vt:variant>
      <vt:variant>
        <vt:i4>5</vt:i4>
      </vt:variant>
      <vt:variant>
        <vt:lpwstr/>
      </vt:variant>
      <vt:variant>
        <vt:lpwstr>_Toc204761004</vt:lpwstr>
      </vt:variant>
      <vt:variant>
        <vt:i4>1114160</vt:i4>
      </vt:variant>
      <vt:variant>
        <vt:i4>128</vt:i4>
      </vt:variant>
      <vt:variant>
        <vt:i4>0</vt:i4>
      </vt:variant>
      <vt:variant>
        <vt:i4>5</vt:i4>
      </vt:variant>
      <vt:variant>
        <vt:lpwstr/>
      </vt:variant>
      <vt:variant>
        <vt:lpwstr>_Toc204761003</vt:lpwstr>
      </vt:variant>
      <vt:variant>
        <vt:i4>1114160</vt:i4>
      </vt:variant>
      <vt:variant>
        <vt:i4>122</vt:i4>
      </vt:variant>
      <vt:variant>
        <vt:i4>0</vt:i4>
      </vt:variant>
      <vt:variant>
        <vt:i4>5</vt:i4>
      </vt:variant>
      <vt:variant>
        <vt:lpwstr/>
      </vt:variant>
      <vt:variant>
        <vt:lpwstr>_Toc204761002</vt:lpwstr>
      </vt:variant>
      <vt:variant>
        <vt:i4>1114160</vt:i4>
      </vt:variant>
      <vt:variant>
        <vt:i4>116</vt:i4>
      </vt:variant>
      <vt:variant>
        <vt:i4>0</vt:i4>
      </vt:variant>
      <vt:variant>
        <vt:i4>5</vt:i4>
      </vt:variant>
      <vt:variant>
        <vt:lpwstr/>
      </vt:variant>
      <vt:variant>
        <vt:lpwstr>_Toc204761001</vt:lpwstr>
      </vt:variant>
      <vt:variant>
        <vt:i4>1114160</vt:i4>
      </vt:variant>
      <vt:variant>
        <vt:i4>110</vt:i4>
      </vt:variant>
      <vt:variant>
        <vt:i4>0</vt:i4>
      </vt:variant>
      <vt:variant>
        <vt:i4>5</vt:i4>
      </vt:variant>
      <vt:variant>
        <vt:lpwstr/>
      </vt:variant>
      <vt:variant>
        <vt:lpwstr>_Toc204761000</vt:lpwstr>
      </vt:variant>
      <vt:variant>
        <vt:i4>1638457</vt:i4>
      </vt:variant>
      <vt:variant>
        <vt:i4>104</vt:i4>
      </vt:variant>
      <vt:variant>
        <vt:i4>0</vt:i4>
      </vt:variant>
      <vt:variant>
        <vt:i4>5</vt:i4>
      </vt:variant>
      <vt:variant>
        <vt:lpwstr/>
      </vt:variant>
      <vt:variant>
        <vt:lpwstr>_Toc204760999</vt:lpwstr>
      </vt:variant>
      <vt:variant>
        <vt:i4>1638457</vt:i4>
      </vt:variant>
      <vt:variant>
        <vt:i4>98</vt:i4>
      </vt:variant>
      <vt:variant>
        <vt:i4>0</vt:i4>
      </vt:variant>
      <vt:variant>
        <vt:i4>5</vt:i4>
      </vt:variant>
      <vt:variant>
        <vt:lpwstr/>
      </vt:variant>
      <vt:variant>
        <vt:lpwstr>_Toc204760998</vt:lpwstr>
      </vt:variant>
      <vt:variant>
        <vt:i4>1638457</vt:i4>
      </vt:variant>
      <vt:variant>
        <vt:i4>92</vt:i4>
      </vt:variant>
      <vt:variant>
        <vt:i4>0</vt:i4>
      </vt:variant>
      <vt:variant>
        <vt:i4>5</vt:i4>
      </vt:variant>
      <vt:variant>
        <vt:lpwstr/>
      </vt:variant>
      <vt:variant>
        <vt:lpwstr>_Toc204760997</vt:lpwstr>
      </vt:variant>
      <vt:variant>
        <vt:i4>1638457</vt:i4>
      </vt:variant>
      <vt:variant>
        <vt:i4>86</vt:i4>
      </vt:variant>
      <vt:variant>
        <vt:i4>0</vt:i4>
      </vt:variant>
      <vt:variant>
        <vt:i4>5</vt:i4>
      </vt:variant>
      <vt:variant>
        <vt:lpwstr/>
      </vt:variant>
      <vt:variant>
        <vt:lpwstr>_Toc204760996</vt:lpwstr>
      </vt:variant>
      <vt:variant>
        <vt:i4>1638457</vt:i4>
      </vt:variant>
      <vt:variant>
        <vt:i4>80</vt:i4>
      </vt:variant>
      <vt:variant>
        <vt:i4>0</vt:i4>
      </vt:variant>
      <vt:variant>
        <vt:i4>5</vt:i4>
      </vt:variant>
      <vt:variant>
        <vt:lpwstr/>
      </vt:variant>
      <vt:variant>
        <vt:lpwstr>_Toc204760995</vt:lpwstr>
      </vt:variant>
      <vt:variant>
        <vt:i4>1638457</vt:i4>
      </vt:variant>
      <vt:variant>
        <vt:i4>74</vt:i4>
      </vt:variant>
      <vt:variant>
        <vt:i4>0</vt:i4>
      </vt:variant>
      <vt:variant>
        <vt:i4>5</vt:i4>
      </vt:variant>
      <vt:variant>
        <vt:lpwstr/>
      </vt:variant>
      <vt:variant>
        <vt:lpwstr>_Toc204760994</vt:lpwstr>
      </vt:variant>
      <vt:variant>
        <vt:i4>1638457</vt:i4>
      </vt:variant>
      <vt:variant>
        <vt:i4>68</vt:i4>
      </vt:variant>
      <vt:variant>
        <vt:i4>0</vt:i4>
      </vt:variant>
      <vt:variant>
        <vt:i4>5</vt:i4>
      </vt:variant>
      <vt:variant>
        <vt:lpwstr/>
      </vt:variant>
      <vt:variant>
        <vt:lpwstr>_Toc204760993</vt:lpwstr>
      </vt:variant>
      <vt:variant>
        <vt:i4>1638457</vt:i4>
      </vt:variant>
      <vt:variant>
        <vt:i4>62</vt:i4>
      </vt:variant>
      <vt:variant>
        <vt:i4>0</vt:i4>
      </vt:variant>
      <vt:variant>
        <vt:i4>5</vt:i4>
      </vt:variant>
      <vt:variant>
        <vt:lpwstr/>
      </vt:variant>
      <vt:variant>
        <vt:lpwstr>_Toc204760992</vt:lpwstr>
      </vt:variant>
      <vt:variant>
        <vt:i4>1638457</vt:i4>
      </vt:variant>
      <vt:variant>
        <vt:i4>56</vt:i4>
      </vt:variant>
      <vt:variant>
        <vt:i4>0</vt:i4>
      </vt:variant>
      <vt:variant>
        <vt:i4>5</vt:i4>
      </vt:variant>
      <vt:variant>
        <vt:lpwstr/>
      </vt:variant>
      <vt:variant>
        <vt:lpwstr>_Toc204760991</vt:lpwstr>
      </vt:variant>
      <vt:variant>
        <vt:i4>1638457</vt:i4>
      </vt:variant>
      <vt:variant>
        <vt:i4>50</vt:i4>
      </vt:variant>
      <vt:variant>
        <vt:i4>0</vt:i4>
      </vt:variant>
      <vt:variant>
        <vt:i4>5</vt:i4>
      </vt:variant>
      <vt:variant>
        <vt:lpwstr/>
      </vt:variant>
      <vt:variant>
        <vt:lpwstr>_Toc204760990</vt:lpwstr>
      </vt:variant>
      <vt:variant>
        <vt:i4>1572921</vt:i4>
      </vt:variant>
      <vt:variant>
        <vt:i4>44</vt:i4>
      </vt:variant>
      <vt:variant>
        <vt:i4>0</vt:i4>
      </vt:variant>
      <vt:variant>
        <vt:i4>5</vt:i4>
      </vt:variant>
      <vt:variant>
        <vt:lpwstr/>
      </vt:variant>
      <vt:variant>
        <vt:lpwstr>_Toc204760989</vt:lpwstr>
      </vt:variant>
      <vt:variant>
        <vt:i4>1572921</vt:i4>
      </vt:variant>
      <vt:variant>
        <vt:i4>38</vt:i4>
      </vt:variant>
      <vt:variant>
        <vt:i4>0</vt:i4>
      </vt:variant>
      <vt:variant>
        <vt:i4>5</vt:i4>
      </vt:variant>
      <vt:variant>
        <vt:lpwstr/>
      </vt:variant>
      <vt:variant>
        <vt:lpwstr>_Toc204760988</vt:lpwstr>
      </vt:variant>
      <vt:variant>
        <vt:i4>1572921</vt:i4>
      </vt:variant>
      <vt:variant>
        <vt:i4>32</vt:i4>
      </vt:variant>
      <vt:variant>
        <vt:i4>0</vt:i4>
      </vt:variant>
      <vt:variant>
        <vt:i4>5</vt:i4>
      </vt:variant>
      <vt:variant>
        <vt:lpwstr/>
      </vt:variant>
      <vt:variant>
        <vt:lpwstr>_Toc204760987</vt:lpwstr>
      </vt:variant>
      <vt:variant>
        <vt:i4>1572921</vt:i4>
      </vt:variant>
      <vt:variant>
        <vt:i4>26</vt:i4>
      </vt:variant>
      <vt:variant>
        <vt:i4>0</vt:i4>
      </vt:variant>
      <vt:variant>
        <vt:i4>5</vt:i4>
      </vt:variant>
      <vt:variant>
        <vt:lpwstr/>
      </vt:variant>
      <vt:variant>
        <vt:lpwstr>_Toc204760986</vt:lpwstr>
      </vt:variant>
      <vt:variant>
        <vt:i4>1572921</vt:i4>
      </vt:variant>
      <vt:variant>
        <vt:i4>20</vt:i4>
      </vt:variant>
      <vt:variant>
        <vt:i4>0</vt:i4>
      </vt:variant>
      <vt:variant>
        <vt:i4>5</vt:i4>
      </vt:variant>
      <vt:variant>
        <vt:lpwstr/>
      </vt:variant>
      <vt:variant>
        <vt:lpwstr>_Toc204760985</vt:lpwstr>
      </vt:variant>
      <vt:variant>
        <vt:i4>1572921</vt:i4>
      </vt:variant>
      <vt:variant>
        <vt:i4>14</vt:i4>
      </vt:variant>
      <vt:variant>
        <vt:i4>0</vt:i4>
      </vt:variant>
      <vt:variant>
        <vt:i4>5</vt:i4>
      </vt:variant>
      <vt:variant>
        <vt:lpwstr/>
      </vt:variant>
      <vt:variant>
        <vt:lpwstr>_Toc204760984</vt:lpwstr>
      </vt:variant>
      <vt:variant>
        <vt:i4>1572921</vt:i4>
      </vt:variant>
      <vt:variant>
        <vt:i4>8</vt:i4>
      </vt:variant>
      <vt:variant>
        <vt:i4>0</vt:i4>
      </vt:variant>
      <vt:variant>
        <vt:i4>5</vt:i4>
      </vt:variant>
      <vt:variant>
        <vt:lpwstr/>
      </vt:variant>
      <vt:variant>
        <vt:lpwstr>_Toc204760983</vt:lpwstr>
      </vt:variant>
      <vt:variant>
        <vt:i4>1572921</vt:i4>
      </vt:variant>
      <vt:variant>
        <vt:i4>2</vt:i4>
      </vt:variant>
      <vt:variant>
        <vt:i4>0</vt:i4>
      </vt:variant>
      <vt:variant>
        <vt:i4>5</vt:i4>
      </vt:variant>
      <vt:variant>
        <vt:lpwstr/>
      </vt:variant>
      <vt:variant>
        <vt:lpwstr>_Toc204760982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Rex Cho</cp:lastModifiedBy>
  <cp:revision>2</cp:revision>
  <cp:lastPrinted>2023-01-14T16:39:00Z</cp:lastPrinted>
  <dcterms:created xsi:type="dcterms:W3CDTF">2025-07-29T07:31:00Z</dcterms:created>
  <dcterms:modified xsi:type="dcterms:W3CDTF">2025-07-30T06:32:00Z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Order">
    <vt:r8>459200</vt:r8>
  </property>
  <property fmtid="{D5CDD505-2E9C-101B-9397-08002B2CF9AE}" pid="4" name="_dlc_DocIdItemGuid">
    <vt:lpwstr>b86c727c-2987-4566-b438-a71d1d9e083e</vt:lpwstr>
  </property>
  <property fmtid="{D5CDD505-2E9C-101B-9397-08002B2CF9AE}" pid="5" name="DocumentType">
    <vt:lpwstr/>
  </property>
  <property fmtid="{D5CDD505-2E9C-101B-9397-08002B2CF9AE}" pid="6" name="oa9fbd0508de436da13dc19a72853b3f">
    <vt:lpwstr/>
  </property>
  <property fmtid="{D5CDD505-2E9C-101B-9397-08002B2CF9AE}" pid="7" name="g18f092eaa554abcb943f50973cc4433">
    <vt:lpwstr/>
  </property>
  <property fmtid="{D5CDD505-2E9C-101B-9397-08002B2CF9AE}" pid="8" name="MediaServiceImageTags">
    <vt:lpwstr/>
  </property>
  <property fmtid="{D5CDD505-2E9C-101B-9397-08002B2CF9AE}" pid="9" name="QHRCKeywords">
    <vt:lpwstr/>
  </property>
  <property fmtid="{D5CDD505-2E9C-101B-9397-08002B2CF9AE}" pid="10" name="TaxCatchAll">
    <vt:lpwstr/>
  </property>
</Properties>
</file>