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FEE4" w14:textId="3D68B7C4" w:rsidR="00EC3498" w:rsidRPr="00FF6645" w:rsidRDefault="00E371CC" w:rsidP="00441ACA">
      <w:pPr>
        <w:spacing w:after="360" w:line="240" w:lineRule="auto"/>
        <w:rPr>
          <w:rFonts w:cs="Arial"/>
          <w:sz w:val="18"/>
          <w:szCs w:val="18"/>
        </w:rPr>
      </w:pPr>
      <w:r w:rsidRPr="00FF6645">
        <w:rPr>
          <w:rFonts w:cs="Arial"/>
          <w:sz w:val="18"/>
          <w:szCs w:val="18"/>
        </w:rPr>
        <w:t xml:space="preserve">Our reference: </w:t>
      </w:r>
      <w:r w:rsidR="00FF6645" w:rsidRPr="00FF6645">
        <w:rPr>
          <w:rFonts w:cs="Arial"/>
          <w:sz w:val="18"/>
          <w:szCs w:val="18"/>
        </w:rPr>
        <w:t>BNE5418948</w:t>
      </w:r>
    </w:p>
    <w:p w14:paraId="17322731" w14:textId="4D98E187" w:rsidR="00441ACA" w:rsidRPr="0000262A" w:rsidRDefault="00441ACA" w:rsidP="00441ACA">
      <w:pPr>
        <w:spacing w:after="360" w:line="240" w:lineRule="auto"/>
        <w:rPr>
          <w:rFonts w:cs="Arial"/>
          <w:sz w:val="22"/>
        </w:rPr>
      </w:pPr>
      <w:r w:rsidRPr="0000262A">
        <w:rPr>
          <w:rFonts w:cs="Arial"/>
          <w:sz w:val="22"/>
        </w:rPr>
        <w:fldChar w:fldCharType="begin"/>
      </w:r>
      <w:r w:rsidRPr="0000262A">
        <w:rPr>
          <w:rFonts w:cs="Arial"/>
          <w:sz w:val="22"/>
        </w:rPr>
        <w:instrText xml:space="preserve"> DATE \@ "d MMMM yyyy" </w:instrText>
      </w:r>
      <w:r w:rsidRPr="0000262A">
        <w:rPr>
          <w:rFonts w:cs="Arial"/>
          <w:sz w:val="22"/>
        </w:rPr>
        <w:fldChar w:fldCharType="separate"/>
      </w:r>
      <w:r w:rsidR="00D229E1">
        <w:rPr>
          <w:rFonts w:cs="Arial"/>
          <w:noProof/>
          <w:sz w:val="22"/>
        </w:rPr>
        <w:t xml:space="preserve">23 July </w:t>
      </w:r>
      <w:r w:rsidR="004E2B42">
        <w:rPr>
          <w:rFonts w:cs="Arial"/>
          <w:noProof/>
          <w:sz w:val="22"/>
        </w:rPr>
        <w:t>2025</w:t>
      </w:r>
      <w:r w:rsidRPr="0000262A">
        <w:rPr>
          <w:rFonts w:cs="Arial"/>
          <w:sz w:val="22"/>
        </w:rPr>
        <w:fldChar w:fldCharType="end"/>
      </w:r>
    </w:p>
    <w:p w14:paraId="4A0126D5" w14:textId="77777777" w:rsidR="00097007" w:rsidRDefault="00097007" w:rsidP="006D6219">
      <w:pPr>
        <w:spacing w:after="0" w:line="240" w:lineRule="auto"/>
        <w:rPr>
          <w:rFonts w:cs="Arial"/>
          <w:sz w:val="22"/>
        </w:rPr>
      </w:pPr>
      <w:r>
        <w:rPr>
          <w:rFonts w:cs="Arial"/>
          <w:sz w:val="22"/>
        </w:rPr>
        <w:t>Mr Luke Twyford</w:t>
      </w:r>
    </w:p>
    <w:p w14:paraId="2B804625" w14:textId="3C3B4CE1" w:rsidR="00097007" w:rsidRDefault="00097007" w:rsidP="006D6219">
      <w:pPr>
        <w:spacing w:after="0" w:line="240" w:lineRule="auto"/>
        <w:rPr>
          <w:rFonts w:cs="Arial"/>
          <w:sz w:val="22"/>
        </w:rPr>
      </w:pPr>
      <w:r>
        <w:rPr>
          <w:rFonts w:cs="Arial"/>
          <w:sz w:val="22"/>
        </w:rPr>
        <w:t>Chairperson</w:t>
      </w:r>
    </w:p>
    <w:p w14:paraId="7DAAD978" w14:textId="79FE4A96" w:rsidR="006D6219" w:rsidRPr="0000262A" w:rsidRDefault="006D6219" w:rsidP="006D6219">
      <w:pPr>
        <w:spacing w:after="0" w:line="240" w:lineRule="auto"/>
        <w:rPr>
          <w:rFonts w:cs="Arial"/>
          <w:sz w:val="22"/>
        </w:rPr>
      </w:pPr>
      <w:r w:rsidRPr="0000262A">
        <w:rPr>
          <w:rFonts w:cs="Arial"/>
          <w:sz w:val="22"/>
        </w:rPr>
        <w:t>Child Death Review Board</w:t>
      </w:r>
    </w:p>
    <w:p w14:paraId="08FAB410" w14:textId="77777777" w:rsidR="009740D6" w:rsidRPr="0000262A" w:rsidRDefault="009740D6" w:rsidP="00FD1911">
      <w:pPr>
        <w:spacing w:after="0" w:line="240" w:lineRule="auto"/>
        <w:rPr>
          <w:rFonts w:cs="Arial"/>
          <w:sz w:val="22"/>
        </w:rPr>
      </w:pPr>
      <w:r w:rsidRPr="0000262A">
        <w:rPr>
          <w:rFonts w:cs="Arial"/>
          <w:sz w:val="22"/>
        </w:rPr>
        <w:t>Queensland Family &amp; Child Commission</w:t>
      </w:r>
    </w:p>
    <w:p w14:paraId="3CD12805" w14:textId="77777777" w:rsidR="00FD1911" w:rsidRPr="0000262A" w:rsidRDefault="00FD1911" w:rsidP="00FD1911">
      <w:pPr>
        <w:spacing w:after="0" w:line="240" w:lineRule="auto"/>
        <w:rPr>
          <w:rFonts w:cs="Arial"/>
          <w:sz w:val="22"/>
        </w:rPr>
      </w:pPr>
    </w:p>
    <w:p w14:paraId="33020923" w14:textId="5F0630EB" w:rsidR="008D20BE" w:rsidRPr="000C2E37" w:rsidRDefault="00FD1911" w:rsidP="00FD1911">
      <w:pPr>
        <w:rPr>
          <w:rFonts w:cs="Arial"/>
          <w:sz w:val="22"/>
        </w:rPr>
      </w:pPr>
      <w:r w:rsidRPr="000C2E37">
        <w:rPr>
          <w:rFonts w:cs="Arial"/>
          <w:sz w:val="22"/>
        </w:rPr>
        <w:t>By email</w:t>
      </w:r>
      <w:r w:rsidR="00DA0F49" w:rsidRPr="000C2E37">
        <w:rPr>
          <w:rFonts w:cs="Arial"/>
          <w:sz w:val="22"/>
        </w:rPr>
        <w:t xml:space="preserve"> </w:t>
      </w:r>
      <w:r w:rsidR="00E371CC">
        <w:rPr>
          <w:rFonts w:cs="Arial"/>
          <w:sz w:val="22"/>
        </w:rPr>
        <w:t>only</w:t>
      </w:r>
      <w:r w:rsidRPr="000C2E37">
        <w:rPr>
          <w:rFonts w:cs="Arial"/>
          <w:sz w:val="22"/>
        </w:rPr>
        <w:t xml:space="preserve">: </w:t>
      </w:r>
      <w:r w:rsidR="00CF4CB2" w:rsidRPr="000C2E37">
        <w:rPr>
          <w:rFonts w:cs="Arial"/>
          <w:sz w:val="22"/>
        </w:rPr>
        <w:t>SRCSAR@qfcc.qld.gov.au</w:t>
      </w:r>
    </w:p>
    <w:p w14:paraId="62E21502" w14:textId="77777777" w:rsidR="008D20BE" w:rsidRDefault="008D20BE" w:rsidP="00FD1911">
      <w:pPr>
        <w:rPr>
          <w:rFonts w:cs="Arial"/>
          <w:sz w:val="22"/>
        </w:rPr>
      </w:pPr>
    </w:p>
    <w:p w14:paraId="159824A3" w14:textId="77777777" w:rsidR="00AA67A0" w:rsidRPr="0000262A" w:rsidRDefault="00AA67A0" w:rsidP="00FD1911">
      <w:pPr>
        <w:rPr>
          <w:rFonts w:cs="Arial"/>
          <w:sz w:val="22"/>
        </w:rPr>
      </w:pPr>
    </w:p>
    <w:p w14:paraId="59AF64AA" w14:textId="1AADC887" w:rsidR="00003D32" w:rsidRPr="0000262A" w:rsidRDefault="00B643FB" w:rsidP="00FD1911">
      <w:pPr>
        <w:rPr>
          <w:rFonts w:cs="Arial"/>
          <w:sz w:val="22"/>
        </w:rPr>
      </w:pPr>
      <w:r w:rsidRPr="0000262A">
        <w:rPr>
          <w:rFonts w:cs="Arial"/>
          <w:sz w:val="22"/>
        </w:rPr>
        <w:t xml:space="preserve">Dear </w:t>
      </w:r>
      <w:r w:rsidR="007532AA">
        <w:rPr>
          <w:rFonts w:cs="Arial"/>
          <w:sz w:val="22"/>
        </w:rPr>
        <w:t>Mr Luke Twyford</w:t>
      </w:r>
      <w:r w:rsidR="00097007">
        <w:rPr>
          <w:rFonts w:cs="Arial"/>
          <w:sz w:val="22"/>
        </w:rPr>
        <w:t xml:space="preserve"> </w:t>
      </w:r>
      <w:r w:rsidR="007532AA">
        <w:rPr>
          <w:rFonts w:cs="Arial"/>
          <w:sz w:val="22"/>
        </w:rPr>
        <w:t xml:space="preserve">and members of the </w:t>
      </w:r>
      <w:r w:rsidR="002C26A8" w:rsidRPr="0000262A">
        <w:rPr>
          <w:rFonts w:cs="Arial"/>
          <w:sz w:val="22"/>
        </w:rPr>
        <w:t>Child Death Review Board</w:t>
      </w:r>
    </w:p>
    <w:p w14:paraId="6189EED3" w14:textId="3DB4EC17" w:rsidR="00003D32" w:rsidRPr="0000262A" w:rsidRDefault="001E3F87" w:rsidP="00717E8A">
      <w:pPr>
        <w:rPr>
          <w:rFonts w:cs="Arial"/>
          <w:b/>
          <w:bCs/>
          <w:sz w:val="22"/>
        </w:rPr>
      </w:pPr>
      <w:r w:rsidRPr="0000262A">
        <w:rPr>
          <w:rFonts w:cs="Arial"/>
          <w:b/>
          <w:sz w:val="22"/>
        </w:rPr>
        <w:t xml:space="preserve">Submission by the </w:t>
      </w:r>
      <w:r w:rsidR="00BB320B" w:rsidRPr="0000262A">
        <w:rPr>
          <w:rFonts w:cs="Arial"/>
          <w:b/>
          <w:sz w:val="22"/>
        </w:rPr>
        <w:t xml:space="preserve">Queensland Human Rights Commission to the </w:t>
      </w:r>
      <w:r w:rsidR="00BB320B" w:rsidRPr="0000262A">
        <w:rPr>
          <w:rFonts w:cs="Arial"/>
          <w:b/>
          <w:bCs/>
          <w:sz w:val="22"/>
        </w:rPr>
        <w:t>Child Death Review Board</w:t>
      </w:r>
      <w:r w:rsidR="00411265">
        <w:rPr>
          <w:rFonts w:cs="Arial"/>
          <w:b/>
          <w:bCs/>
          <w:sz w:val="22"/>
        </w:rPr>
        <w:t>’s</w:t>
      </w:r>
      <w:r w:rsidR="00BB320B" w:rsidRPr="0000262A">
        <w:rPr>
          <w:rFonts w:cs="Arial"/>
          <w:b/>
          <w:bCs/>
          <w:sz w:val="22"/>
        </w:rPr>
        <w:t xml:space="preserve"> Review of System Responses to Child Sexual Abuse</w:t>
      </w:r>
    </w:p>
    <w:p w14:paraId="640524AE" w14:textId="6234DD6C" w:rsidR="006D736D" w:rsidRPr="0000262A" w:rsidRDefault="00255C02" w:rsidP="00255C02">
      <w:pPr>
        <w:rPr>
          <w:rFonts w:cs="Arial"/>
          <w:sz w:val="22"/>
        </w:rPr>
      </w:pPr>
      <w:r w:rsidRPr="0000262A">
        <w:rPr>
          <w:rFonts w:cs="Arial"/>
          <w:sz w:val="22"/>
        </w:rPr>
        <w:t xml:space="preserve">Thank you for the opportunity to provide a submission to the Queensland Child Death Review Board </w:t>
      </w:r>
      <w:r w:rsidR="001E3F87" w:rsidRPr="0000262A">
        <w:rPr>
          <w:rFonts w:cs="Arial"/>
          <w:sz w:val="22"/>
        </w:rPr>
        <w:t>(</w:t>
      </w:r>
      <w:r w:rsidR="003661C7">
        <w:rPr>
          <w:rFonts w:cs="Arial"/>
          <w:sz w:val="22"/>
        </w:rPr>
        <w:t xml:space="preserve">the </w:t>
      </w:r>
      <w:r w:rsidR="001E3F87" w:rsidRPr="0000262A">
        <w:rPr>
          <w:rFonts w:cs="Arial"/>
          <w:b/>
          <w:bCs/>
          <w:sz w:val="22"/>
        </w:rPr>
        <w:t>Board</w:t>
      </w:r>
      <w:r w:rsidR="001E3F87" w:rsidRPr="0000262A">
        <w:rPr>
          <w:rFonts w:cs="Arial"/>
          <w:sz w:val="22"/>
        </w:rPr>
        <w:t xml:space="preserve">) </w:t>
      </w:r>
      <w:r w:rsidR="00204A41" w:rsidRPr="0000262A">
        <w:rPr>
          <w:rFonts w:cs="Arial"/>
          <w:sz w:val="22"/>
        </w:rPr>
        <w:t>regarding</w:t>
      </w:r>
      <w:r w:rsidRPr="0000262A">
        <w:rPr>
          <w:rFonts w:cs="Arial"/>
          <w:sz w:val="22"/>
        </w:rPr>
        <w:t xml:space="preserve"> the </w:t>
      </w:r>
      <w:r w:rsidR="0082381F" w:rsidRPr="0000262A">
        <w:rPr>
          <w:rFonts w:cs="Arial"/>
          <w:sz w:val="22"/>
        </w:rPr>
        <w:t>Review of System Responses to Child Sexual Abuse (</w:t>
      </w:r>
      <w:r w:rsidR="003444AA">
        <w:rPr>
          <w:rFonts w:cs="Arial"/>
          <w:sz w:val="22"/>
        </w:rPr>
        <w:t xml:space="preserve">the </w:t>
      </w:r>
      <w:r w:rsidR="0082381F" w:rsidRPr="0000262A">
        <w:rPr>
          <w:rFonts w:cs="Arial"/>
          <w:b/>
          <w:bCs/>
          <w:sz w:val="22"/>
        </w:rPr>
        <w:t>Review</w:t>
      </w:r>
      <w:r w:rsidR="0082381F" w:rsidRPr="0000262A">
        <w:rPr>
          <w:rFonts w:cs="Arial"/>
          <w:sz w:val="22"/>
        </w:rPr>
        <w:t>)</w:t>
      </w:r>
      <w:r w:rsidRPr="0000262A">
        <w:rPr>
          <w:rFonts w:cs="Arial"/>
          <w:sz w:val="22"/>
        </w:rPr>
        <w:t>.</w:t>
      </w:r>
    </w:p>
    <w:p w14:paraId="220A8D33" w14:textId="0FAEFC48" w:rsidR="00127715" w:rsidRPr="0000262A" w:rsidRDefault="001B6142" w:rsidP="00AE3917">
      <w:pPr>
        <w:rPr>
          <w:rFonts w:cs="Arial"/>
          <w:sz w:val="22"/>
        </w:rPr>
      </w:pPr>
      <w:r w:rsidRPr="0000262A">
        <w:rPr>
          <w:rFonts w:cs="Arial"/>
          <w:sz w:val="22"/>
        </w:rPr>
        <w:t>The Queensland Human Rights Commission (</w:t>
      </w:r>
      <w:r w:rsidRPr="00B26EB2">
        <w:rPr>
          <w:rFonts w:cs="Arial"/>
          <w:sz w:val="22"/>
        </w:rPr>
        <w:t>the</w:t>
      </w:r>
      <w:r w:rsidRPr="0000262A">
        <w:rPr>
          <w:rFonts w:cs="Arial"/>
          <w:b/>
          <w:bCs/>
          <w:sz w:val="22"/>
        </w:rPr>
        <w:t xml:space="preserve"> Commission</w:t>
      </w:r>
      <w:r w:rsidRPr="0000262A">
        <w:rPr>
          <w:rFonts w:cs="Arial"/>
          <w:sz w:val="22"/>
        </w:rPr>
        <w:t xml:space="preserve">) </w:t>
      </w:r>
      <w:r w:rsidR="00BA399D">
        <w:rPr>
          <w:rFonts w:cs="Arial"/>
          <w:sz w:val="22"/>
        </w:rPr>
        <w:t xml:space="preserve">appreciates </w:t>
      </w:r>
      <w:r w:rsidR="005D5A46" w:rsidRPr="005D5A46">
        <w:rPr>
          <w:rFonts w:cs="Arial"/>
          <w:sz w:val="22"/>
          <w:lang w:val="en-US"/>
        </w:rPr>
        <w:t>being consulted on this important matter and acknowledges the</w:t>
      </w:r>
      <w:r w:rsidR="005D5A46">
        <w:rPr>
          <w:rFonts w:cs="Arial"/>
          <w:sz w:val="22"/>
          <w:lang w:val="en-US"/>
        </w:rPr>
        <w:t xml:space="preserve"> </w:t>
      </w:r>
      <w:r w:rsidR="003444AA">
        <w:rPr>
          <w:rFonts w:cs="Arial"/>
          <w:sz w:val="22"/>
          <w:lang w:val="en-US"/>
        </w:rPr>
        <w:t xml:space="preserve">important </w:t>
      </w:r>
      <w:r w:rsidR="005D5A46">
        <w:rPr>
          <w:rFonts w:cs="Arial"/>
          <w:sz w:val="22"/>
          <w:lang w:val="en-US"/>
        </w:rPr>
        <w:t xml:space="preserve">work </w:t>
      </w:r>
      <w:r w:rsidR="003444AA">
        <w:rPr>
          <w:rFonts w:cs="Arial"/>
          <w:sz w:val="22"/>
          <w:lang w:val="en-US"/>
        </w:rPr>
        <w:t>being done by</w:t>
      </w:r>
      <w:r w:rsidR="00AE3917">
        <w:rPr>
          <w:rFonts w:cs="Arial"/>
          <w:sz w:val="22"/>
          <w:lang w:val="en-US"/>
        </w:rPr>
        <w:t xml:space="preserve"> </w:t>
      </w:r>
      <w:r w:rsidR="005D5A46">
        <w:rPr>
          <w:rFonts w:cs="Arial"/>
          <w:sz w:val="22"/>
          <w:lang w:val="en-US"/>
        </w:rPr>
        <w:t>the Board</w:t>
      </w:r>
      <w:r w:rsidR="00127715" w:rsidRPr="0000262A">
        <w:rPr>
          <w:rFonts w:cs="Arial"/>
          <w:sz w:val="22"/>
        </w:rPr>
        <w:t xml:space="preserve"> to strengthen the </w:t>
      </w:r>
      <w:r w:rsidR="00FF62A0" w:rsidRPr="0000262A">
        <w:rPr>
          <w:rFonts w:cs="Arial"/>
          <w:sz w:val="22"/>
        </w:rPr>
        <w:t xml:space="preserve">laws, policies, procedures and practices </w:t>
      </w:r>
      <w:r w:rsidR="00127715" w:rsidRPr="0000262A">
        <w:rPr>
          <w:rFonts w:cs="Arial"/>
          <w:sz w:val="22"/>
        </w:rPr>
        <w:t xml:space="preserve">that protect children from sexual abuse in Queensland. </w:t>
      </w:r>
    </w:p>
    <w:p w14:paraId="6EC55F20" w14:textId="3748FAA3" w:rsidR="00DD65E3" w:rsidRDefault="00AA2A88" w:rsidP="00255C02">
      <w:pPr>
        <w:rPr>
          <w:rFonts w:cs="Arial"/>
          <w:sz w:val="22"/>
        </w:rPr>
      </w:pPr>
      <w:r w:rsidRPr="00AA2A88">
        <w:rPr>
          <w:rFonts w:cs="Arial"/>
          <w:sz w:val="22"/>
        </w:rPr>
        <w:t>This submission</w:t>
      </w:r>
      <w:r w:rsidR="006333D3">
        <w:rPr>
          <w:rFonts w:cs="Arial"/>
          <w:sz w:val="22"/>
        </w:rPr>
        <w:t xml:space="preserve"> </w:t>
      </w:r>
      <w:r w:rsidR="00165B9A">
        <w:rPr>
          <w:rFonts w:cs="Arial"/>
          <w:sz w:val="22"/>
        </w:rPr>
        <w:t xml:space="preserve">responds to the </w:t>
      </w:r>
      <w:r w:rsidR="00BF37FE">
        <w:rPr>
          <w:rFonts w:cs="Arial"/>
          <w:sz w:val="22"/>
        </w:rPr>
        <w:t xml:space="preserve">Board’s </w:t>
      </w:r>
      <w:r w:rsidR="00165B9A">
        <w:rPr>
          <w:rFonts w:cs="Arial"/>
          <w:sz w:val="22"/>
        </w:rPr>
        <w:t xml:space="preserve">call for public submissions and </w:t>
      </w:r>
      <w:r w:rsidR="006333D3">
        <w:rPr>
          <w:rFonts w:cs="Arial"/>
          <w:sz w:val="22"/>
        </w:rPr>
        <w:t xml:space="preserve">the June Progress Report </w:t>
      </w:r>
      <w:r w:rsidR="009F5C8F">
        <w:rPr>
          <w:rFonts w:cs="Arial"/>
          <w:sz w:val="22"/>
        </w:rPr>
        <w:t>by addressing the following:</w:t>
      </w:r>
    </w:p>
    <w:p w14:paraId="5FC06114" w14:textId="5FDE77E4" w:rsidR="00C76772" w:rsidRDefault="00576F54" w:rsidP="0033777D">
      <w:pPr>
        <w:numPr>
          <w:ilvl w:val="0"/>
          <w:numId w:val="48"/>
        </w:numPr>
        <w:rPr>
          <w:rFonts w:cs="Arial"/>
          <w:bCs/>
          <w:iCs/>
          <w:sz w:val="22"/>
        </w:rPr>
      </w:pPr>
      <w:r>
        <w:rPr>
          <w:rFonts w:cs="Arial"/>
          <w:bCs/>
          <w:iCs/>
          <w:sz w:val="22"/>
        </w:rPr>
        <w:t>The h</w:t>
      </w:r>
      <w:r w:rsidR="00C76772" w:rsidRPr="00C76772">
        <w:rPr>
          <w:rFonts w:cs="Arial"/>
          <w:bCs/>
          <w:iCs/>
          <w:sz w:val="22"/>
        </w:rPr>
        <w:t>uman rights of children in the context of child sexual abuse, including the obligations o</w:t>
      </w:r>
      <w:r>
        <w:rPr>
          <w:rFonts w:cs="Arial"/>
          <w:bCs/>
          <w:iCs/>
          <w:sz w:val="22"/>
        </w:rPr>
        <w:t>n</w:t>
      </w:r>
      <w:r w:rsidR="00C76772" w:rsidRPr="00C76772">
        <w:rPr>
          <w:rFonts w:cs="Arial"/>
          <w:bCs/>
          <w:iCs/>
          <w:sz w:val="22"/>
        </w:rPr>
        <w:t xml:space="preserve"> public entities to protect these rights.</w:t>
      </w:r>
    </w:p>
    <w:p w14:paraId="602E6829" w14:textId="2CA900E4" w:rsidR="00036C17" w:rsidRPr="00E92422" w:rsidRDefault="00252C35" w:rsidP="0033777D">
      <w:pPr>
        <w:numPr>
          <w:ilvl w:val="0"/>
          <w:numId w:val="48"/>
        </w:numPr>
        <w:rPr>
          <w:rFonts w:cs="Arial"/>
          <w:bCs/>
          <w:iCs/>
          <w:sz w:val="22"/>
        </w:rPr>
      </w:pPr>
      <w:r w:rsidRPr="00E92422">
        <w:rPr>
          <w:rFonts w:cs="Arial"/>
          <w:bCs/>
          <w:iCs/>
          <w:sz w:val="22"/>
        </w:rPr>
        <w:t xml:space="preserve">The </w:t>
      </w:r>
      <w:r w:rsidR="00345A3C">
        <w:rPr>
          <w:rFonts w:cs="Arial"/>
          <w:bCs/>
          <w:iCs/>
          <w:sz w:val="22"/>
        </w:rPr>
        <w:t>impacts of the blue card system and</w:t>
      </w:r>
      <w:r w:rsidR="00FE1D98">
        <w:rPr>
          <w:rFonts w:cs="Arial"/>
          <w:bCs/>
          <w:iCs/>
          <w:sz w:val="22"/>
        </w:rPr>
        <w:t xml:space="preserve"> the importance of balancing </w:t>
      </w:r>
      <w:r w:rsidR="009A696E">
        <w:rPr>
          <w:rFonts w:cs="Arial"/>
          <w:bCs/>
          <w:iCs/>
          <w:sz w:val="22"/>
        </w:rPr>
        <w:t>relevant</w:t>
      </w:r>
      <w:r w:rsidR="008E5B5D" w:rsidRPr="008E5B5D">
        <w:rPr>
          <w:rFonts w:cs="Arial"/>
          <w:bCs/>
          <w:iCs/>
          <w:sz w:val="22"/>
        </w:rPr>
        <w:t xml:space="preserve"> rights and interests </w:t>
      </w:r>
      <w:r w:rsidR="008E5B5D">
        <w:rPr>
          <w:rFonts w:cs="Arial"/>
          <w:bCs/>
          <w:iCs/>
          <w:sz w:val="22"/>
        </w:rPr>
        <w:t>in any recommendations for reform.</w:t>
      </w:r>
    </w:p>
    <w:p w14:paraId="77431515" w14:textId="77721A21" w:rsidR="00AE240B" w:rsidRPr="00DC456F" w:rsidRDefault="00560369" w:rsidP="0033777D">
      <w:pPr>
        <w:numPr>
          <w:ilvl w:val="0"/>
          <w:numId w:val="48"/>
        </w:numPr>
        <w:rPr>
          <w:rFonts w:cs="Arial"/>
          <w:sz w:val="22"/>
        </w:rPr>
      </w:pPr>
      <w:r>
        <w:rPr>
          <w:rFonts w:cs="Arial"/>
          <w:bCs/>
          <w:iCs/>
          <w:sz w:val="22"/>
        </w:rPr>
        <w:t>Evidence based systems for</w:t>
      </w:r>
      <w:r w:rsidR="008E5B5D">
        <w:rPr>
          <w:rFonts w:cs="Arial"/>
          <w:bCs/>
          <w:iCs/>
          <w:sz w:val="22"/>
        </w:rPr>
        <w:t xml:space="preserve"> preventing child sexual abuse, including </w:t>
      </w:r>
      <w:r w:rsidR="00483A98">
        <w:rPr>
          <w:rFonts w:cs="Arial"/>
          <w:bCs/>
          <w:iCs/>
          <w:sz w:val="22"/>
        </w:rPr>
        <w:t xml:space="preserve">the reportable conduct scheme and </w:t>
      </w:r>
      <w:r w:rsidR="008A4FDE">
        <w:rPr>
          <w:rFonts w:cs="Arial"/>
          <w:bCs/>
          <w:iCs/>
          <w:sz w:val="22"/>
        </w:rPr>
        <w:t>development of a national working with chi</w:t>
      </w:r>
      <w:r w:rsidR="00FB5821">
        <w:rPr>
          <w:rFonts w:cs="Arial"/>
          <w:bCs/>
          <w:iCs/>
          <w:sz w:val="22"/>
        </w:rPr>
        <w:t>ldren check framework.</w:t>
      </w:r>
    </w:p>
    <w:p w14:paraId="38116292" w14:textId="7125A8FB" w:rsidR="00DC456F" w:rsidRPr="00123FD2" w:rsidRDefault="00883CF4" w:rsidP="00DC456F">
      <w:pPr>
        <w:rPr>
          <w:rFonts w:cs="Arial"/>
          <w:b/>
          <w:sz w:val="22"/>
        </w:rPr>
      </w:pPr>
      <w:r w:rsidRPr="00123FD2">
        <w:rPr>
          <w:rFonts w:cs="Arial"/>
          <w:b/>
          <w:bCs/>
          <w:sz w:val="22"/>
        </w:rPr>
        <w:t xml:space="preserve">Recommendations </w:t>
      </w:r>
    </w:p>
    <w:p w14:paraId="2A319CDF" w14:textId="77777777" w:rsidR="00883CF4" w:rsidRPr="002274D2" w:rsidRDefault="00883CF4" w:rsidP="00883CF4">
      <w:pPr>
        <w:rPr>
          <w:rFonts w:cs="Arial"/>
          <w:sz w:val="22"/>
        </w:rPr>
      </w:pPr>
      <w:r w:rsidRPr="002274D2">
        <w:rPr>
          <w:rFonts w:cs="Arial"/>
          <w:sz w:val="22"/>
        </w:rPr>
        <w:t>The Commission urges the Board, in making its recommendations, to:</w:t>
      </w:r>
    </w:p>
    <w:p w14:paraId="4C5BF0DA" w14:textId="0C7C651E" w:rsidR="00883CF4" w:rsidRPr="002274D2" w:rsidRDefault="00883CF4" w:rsidP="00883CF4">
      <w:pPr>
        <w:numPr>
          <w:ilvl w:val="0"/>
          <w:numId w:val="48"/>
        </w:numPr>
        <w:rPr>
          <w:rFonts w:cs="Arial"/>
          <w:sz w:val="22"/>
        </w:rPr>
      </w:pPr>
      <w:r w:rsidRPr="002274D2">
        <w:rPr>
          <w:rFonts w:cs="Arial"/>
          <w:sz w:val="22"/>
        </w:rPr>
        <w:t xml:space="preserve">Ensure any recommendations for blue card system reforms </w:t>
      </w:r>
      <w:r w:rsidR="001D3280">
        <w:rPr>
          <w:rFonts w:cs="Arial"/>
          <w:sz w:val="22"/>
        </w:rPr>
        <w:t xml:space="preserve">or </w:t>
      </w:r>
      <w:r w:rsidR="00D1758D">
        <w:rPr>
          <w:rFonts w:cs="Arial"/>
          <w:sz w:val="22"/>
        </w:rPr>
        <w:t xml:space="preserve">in relation to an alternative screening system for kinship carers </w:t>
      </w:r>
      <w:r w:rsidRPr="002274D2">
        <w:rPr>
          <w:rFonts w:cs="Arial"/>
          <w:sz w:val="22"/>
        </w:rPr>
        <w:t>are demonstrably proportionate and based on clear evidence of increased safety</w:t>
      </w:r>
      <w:r w:rsidR="00276F25">
        <w:rPr>
          <w:rFonts w:cs="Arial"/>
          <w:sz w:val="22"/>
        </w:rPr>
        <w:t xml:space="preserve"> for children</w:t>
      </w:r>
      <w:r w:rsidR="00EE51C5">
        <w:rPr>
          <w:rFonts w:cs="Arial"/>
          <w:sz w:val="22"/>
        </w:rPr>
        <w:t xml:space="preserve"> (</w:t>
      </w:r>
      <w:r w:rsidR="00EE51C5" w:rsidRPr="00123FD2">
        <w:rPr>
          <w:rFonts w:cs="Arial"/>
          <w:b/>
          <w:bCs/>
          <w:sz w:val="22"/>
        </w:rPr>
        <w:t>Recommendation 1</w:t>
      </w:r>
      <w:r w:rsidR="00EE51C5">
        <w:rPr>
          <w:rFonts w:cs="Arial"/>
          <w:sz w:val="22"/>
        </w:rPr>
        <w:t>)</w:t>
      </w:r>
      <w:r w:rsidRPr="002274D2">
        <w:rPr>
          <w:rFonts w:cs="Arial"/>
          <w:sz w:val="22"/>
        </w:rPr>
        <w:t>;</w:t>
      </w:r>
    </w:p>
    <w:p w14:paraId="7E33ACDD" w14:textId="264F9D23" w:rsidR="00883CF4" w:rsidRPr="002274D2" w:rsidRDefault="00883CF4" w:rsidP="2D7F54B1">
      <w:pPr>
        <w:numPr>
          <w:ilvl w:val="0"/>
          <w:numId w:val="48"/>
        </w:numPr>
        <w:rPr>
          <w:rFonts w:cs="Arial"/>
          <w:sz w:val="22"/>
        </w:rPr>
      </w:pPr>
      <w:r w:rsidRPr="2D7F54B1">
        <w:rPr>
          <w:rFonts w:cs="Arial"/>
          <w:sz w:val="22"/>
        </w:rPr>
        <w:lastRenderedPageBreak/>
        <w:t>Avoid recommendations for reform</w:t>
      </w:r>
      <w:r w:rsidR="00DB3E9D" w:rsidRPr="2D7F54B1">
        <w:rPr>
          <w:rFonts w:cs="Arial"/>
          <w:sz w:val="22"/>
        </w:rPr>
        <w:t xml:space="preserve"> </w:t>
      </w:r>
      <w:r w:rsidR="00276F25" w:rsidRPr="2D7F54B1">
        <w:rPr>
          <w:rFonts w:cs="Arial"/>
          <w:sz w:val="22"/>
        </w:rPr>
        <w:t xml:space="preserve">to the blue card system </w:t>
      </w:r>
      <w:r w:rsidRPr="2D7F54B1">
        <w:rPr>
          <w:rFonts w:cs="Arial"/>
          <w:sz w:val="22"/>
        </w:rPr>
        <w:t xml:space="preserve">that </w:t>
      </w:r>
      <w:r w:rsidR="00DB3E9D" w:rsidRPr="2D7F54B1">
        <w:rPr>
          <w:rFonts w:cs="Arial"/>
          <w:sz w:val="22"/>
        </w:rPr>
        <w:t xml:space="preserve">will </w:t>
      </w:r>
      <w:r w:rsidRPr="2D7F54B1">
        <w:rPr>
          <w:rFonts w:cs="Arial"/>
          <w:sz w:val="22"/>
        </w:rPr>
        <w:t>have unjustifiable and disproportionate impact</w:t>
      </w:r>
      <w:r w:rsidR="002B5A8F">
        <w:rPr>
          <w:rFonts w:cs="Arial"/>
          <w:sz w:val="22"/>
        </w:rPr>
        <w:t>s</w:t>
      </w:r>
      <w:r w:rsidRPr="2D7F54B1">
        <w:rPr>
          <w:rFonts w:cs="Arial"/>
          <w:sz w:val="22"/>
        </w:rPr>
        <w:t xml:space="preserve"> on Aboriginal and</w:t>
      </w:r>
      <w:r w:rsidR="00994EB1">
        <w:rPr>
          <w:rFonts w:cs="Arial"/>
          <w:sz w:val="22"/>
        </w:rPr>
        <w:t>/or</w:t>
      </w:r>
      <w:r w:rsidRPr="2D7F54B1">
        <w:rPr>
          <w:rFonts w:cs="Arial"/>
          <w:sz w:val="22"/>
        </w:rPr>
        <w:t xml:space="preserve"> Torres Strait Islander </w:t>
      </w:r>
      <w:r w:rsidR="00994EB1">
        <w:rPr>
          <w:rFonts w:cs="Arial"/>
          <w:sz w:val="22"/>
        </w:rPr>
        <w:t>(</w:t>
      </w:r>
      <w:r w:rsidR="00994EB1" w:rsidRPr="00B26EB2">
        <w:rPr>
          <w:rFonts w:cs="Arial"/>
          <w:b/>
          <w:bCs/>
          <w:sz w:val="22"/>
        </w:rPr>
        <w:t>First Nations</w:t>
      </w:r>
      <w:r w:rsidR="00994EB1">
        <w:rPr>
          <w:rFonts w:cs="Arial"/>
          <w:sz w:val="22"/>
        </w:rPr>
        <w:t xml:space="preserve">) </w:t>
      </w:r>
      <w:r w:rsidRPr="2D7F54B1">
        <w:rPr>
          <w:rFonts w:cs="Arial"/>
          <w:sz w:val="22"/>
        </w:rPr>
        <w:t>people</w:t>
      </w:r>
      <w:r w:rsidR="002B5A8F">
        <w:rPr>
          <w:rFonts w:cs="Arial"/>
          <w:sz w:val="22"/>
        </w:rPr>
        <w:t>s</w:t>
      </w:r>
      <w:r w:rsidR="00EE51C5" w:rsidRPr="2D7F54B1">
        <w:rPr>
          <w:rFonts w:cs="Arial"/>
          <w:sz w:val="22"/>
        </w:rPr>
        <w:t xml:space="preserve"> (</w:t>
      </w:r>
      <w:r w:rsidR="00EE51C5" w:rsidRPr="2D7F54B1">
        <w:rPr>
          <w:rFonts w:cs="Arial"/>
          <w:b/>
          <w:bCs/>
          <w:sz w:val="22"/>
        </w:rPr>
        <w:t>Recommendation 2</w:t>
      </w:r>
      <w:r w:rsidR="00EE51C5" w:rsidRPr="2D7F54B1">
        <w:rPr>
          <w:rFonts w:cs="Arial"/>
          <w:sz w:val="22"/>
        </w:rPr>
        <w:t>);</w:t>
      </w:r>
    </w:p>
    <w:p w14:paraId="1D786696" w14:textId="2784D147" w:rsidR="00883CF4" w:rsidRPr="00123FD2" w:rsidRDefault="00883CF4" w:rsidP="00123FD2">
      <w:pPr>
        <w:numPr>
          <w:ilvl w:val="0"/>
          <w:numId w:val="48"/>
        </w:numPr>
        <w:rPr>
          <w:rFonts w:cs="Arial"/>
          <w:sz w:val="22"/>
        </w:rPr>
      </w:pPr>
      <w:r w:rsidRPr="002274D2">
        <w:rPr>
          <w:rFonts w:cs="Arial"/>
          <w:sz w:val="22"/>
        </w:rPr>
        <w:t>Prioritise the need for investment in early intervention, therapeutic models and whole-of-system accountability</w:t>
      </w:r>
      <w:r w:rsidR="00EE51C5">
        <w:rPr>
          <w:rFonts w:cs="Arial"/>
          <w:sz w:val="22"/>
        </w:rPr>
        <w:t xml:space="preserve"> (</w:t>
      </w:r>
      <w:r w:rsidR="00EE51C5" w:rsidRPr="002274D2">
        <w:rPr>
          <w:rFonts w:cs="Arial"/>
          <w:b/>
          <w:bCs/>
          <w:sz w:val="22"/>
        </w:rPr>
        <w:t xml:space="preserve">Recommendation </w:t>
      </w:r>
      <w:r w:rsidR="00EE51C5">
        <w:rPr>
          <w:rFonts w:cs="Arial"/>
          <w:b/>
          <w:bCs/>
          <w:sz w:val="22"/>
        </w:rPr>
        <w:t>3</w:t>
      </w:r>
      <w:r w:rsidR="00EE51C5">
        <w:rPr>
          <w:rFonts w:cs="Arial"/>
          <w:sz w:val="22"/>
        </w:rPr>
        <w:t>).</w:t>
      </w:r>
    </w:p>
    <w:p w14:paraId="429A2341" w14:textId="271C3795" w:rsidR="008F1F6F" w:rsidRPr="001057A4" w:rsidRDefault="00AA2F31" w:rsidP="008A2B6F">
      <w:pPr>
        <w:keepNext/>
        <w:rPr>
          <w:rFonts w:cs="Arial"/>
          <w:b/>
          <w:bCs/>
          <w:sz w:val="22"/>
        </w:rPr>
      </w:pPr>
      <w:r>
        <w:rPr>
          <w:rFonts w:cs="Arial"/>
          <w:b/>
          <w:bCs/>
          <w:sz w:val="22"/>
        </w:rPr>
        <w:t xml:space="preserve">Public entities are obliged to protect children from sexual abuse which violates their human rights </w:t>
      </w:r>
    </w:p>
    <w:p w14:paraId="31D32467" w14:textId="04686779" w:rsidR="00A5529F" w:rsidRPr="00C56751" w:rsidRDefault="00A5529F" w:rsidP="00B00CFC">
      <w:pPr>
        <w:rPr>
          <w:rFonts w:eastAsia="Aptos" w:cs="Arial"/>
          <w:sz w:val="22"/>
        </w:rPr>
      </w:pPr>
      <w:r w:rsidRPr="00A5529F">
        <w:rPr>
          <w:rFonts w:eastAsia="Aptos" w:cs="Arial"/>
          <w:sz w:val="22"/>
        </w:rPr>
        <w:t xml:space="preserve">Every child in Queensland has the right to be safe and protected from harm. Child sexual abuse is a devastating and damaging </w:t>
      </w:r>
      <w:r w:rsidR="008D7C14">
        <w:rPr>
          <w:rFonts w:eastAsia="Aptos" w:cs="Arial"/>
          <w:sz w:val="22"/>
        </w:rPr>
        <w:t>violation</w:t>
      </w:r>
      <w:r w:rsidRPr="00A5529F">
        <w:rPr>
          <w:rFonts w:eastAsia="Aptos" w:cs="Arial"/>
          <w:sz w:val="22"/>
        </w:rPr>
        <w:t xml:space="preserve"> of children’s rights. </w:t>
      </w:r>
    </w:p>
    <w:p w14:paraId="70BAD084" w14:textId="16DCDB3B" w:rsidR="009E2DE4" w:rsidRPr="0000262A" w:rsidRDefault="009E2DE4" w:rsidP="00B00CFC">
      <w:pPr>
        <w:rPr>
          <w:rFonts w:cs="Arial"/>
          <w:sz w:val="22"/>
          <w:u w:val="single"/>
        </w:rPr>
      </w:pPr>
      <w:r w:rsidRPr="0000262A">
        <w:rPr>
          <w:rFonts w:cs="Arial"/>
          <w:sz w:val="22"/>
          <w:u w:val="single"/>
        </w:rPr>
        <w:t>Right to protection</w:t>
      </w:r>
    </w:p>
    <w:p w14:paraId="2917B7BE" w14:textId="393B094C" w:rsidR="00B00CFC" w:rsidRPr="0000262A" w:rsidRDefault="005208BB" w:rsidP="00B00CFC">
      <w:pPr>
        <w:rPr>
          <w:rFonts w:cs="Arial"/>
          <w:sz w:val="22"/>
        </w:rPr>
      </w:pPr>
      <w:r w:rsidRPr="0000262A">
        <w:rPr>
          <w:rFonts w:cs="Arial"/>
          <w:sz w:val="22"/>
        </w:rPr>
        <w:t xml:space="preserve">The </w:t>
      </w:r>
      <w:r w:rsidRPr="00C56751">
        <w:rPr>
          <w:rFonts w:cs="Arial"/>
          <w:i/>
          <w:sz w:val="22"/>
        </w:rPr>
        <w:t>Human Rights Act</w:t>
      </w:r>
      <w:r w:rsidR="00A5529F" w:rsidRPr="00C56751">
        <w:rPr>
          <w:rFonts w:cs="Arial"/>
          <w:i/>
          <w:sz w:val="22"/>
        </w:rPr>
        <w:t xml:space="preserve"> 2019 (Qld)</w:t>
      </w:r>
      <w:r w:rsidR="00A5529F">
        <w:rPr>
          <w:rFonts w:cs="Arial"/>
          <w:sz w:val="22"/>
        </w:rPr>
        <w:t xml:space="preserve"> (</w:t>
      </w:r>
      <w:r w:rsidR="00A5529F">
        <w:rPr>
          <w:rFonts w:cs="Arial"/>
          <w:b/>
          <w:bCs/>
          <w:sz w:val="22"/>
        </w:rPr>
        <w:t>Human Rights Act</w:t>
      </w:r>
      <w:r w:rsidR="00A5529F">
        <w:rPr>
          <w:rFonts w:cs="Arial"/>
          <w:sz w:val="22"/>
        </w:rPr>
        <w:t>)</w:t>
      </w:r>
      <w:r w:rsidR="000120F6" w:rsidRPr="0000262A">
        <w:rPr>
          <w:rFonts w:cs="Arial"/>
          <w:sz w:val="22"/>
        </w:rPr>
        <w:t xml:space="preserve"> recognises the special vulnerability of </w:t>
      </w:r>
      <w:r w:rsidR="00DF1998" w:rsidRPr="0000262A">
        <w:rPr>
          <w:rFonts w:cs="Arial"/>
          <w:sz w:val="22"/>
        </w:rPr>
        <w:t>children</w:t>
      </w:r>
      <w:r w:rsidR="00DF1998" w:rsidRPr="0000262A" w:rsidDel="00E53133">
        <w:rPr>
          <w:rFonts w:cs="Arial"/>
          <w:sz w:val="22"/>
        </w:rPr>
        <w:t xml:space="preserve"> and </w:t>
      </w:r>
      <w:r w:rsidR="00B00CFC" w:rsidRPr="0000262A">
        <w:rPr>
          <w:rFonts w:cs="Arial"/>
          <w:bCs/>
          <w:iCs/>
          <w:sz w:val="22"/>
        </w:rPr>
        <w:t>provides for the protection of children in the following terms:</w:t>
      </w:r>
    </w:p>
    <w:p w14:paraId="65989CAF" w14:textId="33E4263B" w:rsidR="00B00CFC" w:rsidRPr="0000262A" w:rsidRDefault="006B41A9" w:rsidP="00C56751">
      <w:pPr>
        <w:ind w:left="644"/>
        <w:rPr>
          <w:rFonts w:cs="Arial"/>
          <w:bCs/>
          <w:iCs/>
          <w:sz w:val="22"/>
        </w:rPr>
      </w:pPr>
      <w:r>
        <w:rPr>
          <w:rFonts w:cs="Arial"/>
          <w:bCs/>
          <w:i/>
          <w:sz w:val="22"/>
        </w:rPr>
        <w:t>26</w:t>
      </w:r>
      <w:r w:rsidR="005E721F">
        <w:rPr>
          <w:rFonts w:cs="Arial"/>
          <w:bCs/>
          <w:i/>
          <w:sz w:val="22"/>
        </w:rPr>
        <w:t xml:space="preserve">(2) </w:t>
      </w:r>
      <w:r w:rsidR="00B00CFC" w:rsidRPr="00C56751">
        <w:rPr>
          <w:rFonts w:cs="Arial"/>
          <w:i/>
          <w:sz w:val="22"/>
        </w:rPr>
        <w:t>Every child has the right, without discrimination, to the protection that is needed by the child, and is in the child’s best interests, because of being a child.</w:t>
      </w:r>
    </w:p>
    <w:p w14:paraId="18E7AFE2" w14:textId="29B5BC25" w:rsidR="00217F39" w:rsidRPr="00AA67A0" w:rsidRDefault="006B41A9" w:rsidP="00AA67A0">
      <w:pPr>
        <w:rPr>
          <w:rFonts w:cs="Arial"/>
          <w:bCs/>
          <w:iCs/>
          <w:sz w:val="22"/>
        </w:rPr>
      </w:pPr>
      <w:r>
        <w:rPr>
          <w:rFonts w:cs="Arial"/>
          <w:bCs/>
          <w:iCs/>
          <w:sz w:val="22"/>
        </w:rPr>
        <w:t>S</w:t>
      </w:r>
      <w:r w:rsidR="00732DB4" w:rsidRPr="0000262A">
        <w:rPr>
          <w:rFonts w:cs="Arial"/>
          <w:bCs/>
          <w:iCs/>
          <w:sz w:val="22"/>
        </w:rPr>
        <w:t>ection</w:t>
      </w:r>
      <w:r w:rsidR="00B00CFC" w:rsidRPr="0000262A">
        <w:rPr>
          <w:rFonts w:cs="Arial"/>
          <w:bCs/>
          <w:iCs/>
          <w:sz w:val="22"/>
        </w:rPr>
        <w:t xml:space="preserve"> 26</w:t>
      </w:r>
      <w:r>
        <w:rPr>
          <w:rFonts w:cs="Arial"/>
          <w:bCs/>
          <w:iCs/>
          <w:sz w:val="22"/>
        </w:rPr>
        <w:t>(2) requires</w:t>
      </w:r>
      <w:r w:rsidR="003D1BF1">
        <w:rPr>
          <w:rFonts w:cs="Arial"/>
          <w:bCs/>
          <w:iCs/>
          <w:sz w:val="22"/>
        </w:rPr>
        <w:t xml:space="preserve"> more than</w:t>
      </w:r>
      <w:r w:rsidR="00B00CFC" w:rsidRPr="0000262A" w:rsidDel="006B41A9">
        <w:rPr>
          <w:rFonts w:cs="Arial"/>
          <w:bCs/>
          <w:iCs/>
          <w:sz w:val="22"/>
        </w:rPr>
        <w:t xml:space="preserve"> </w:t>
      </w:r>
      <w:r w:rsidR="00D02E95" w:rsidRPr="0000262A">
        <w:rPr>
          <w:rFonts w:cs="Arial"/>
          <w:bCs/>
          <w:iCs/>
          <w:sz w:val="22"/>
        </w:rPr>
        <w:t>non-interference</w:t>
      </w:r>
      <w:r w:rsidR="00732DB4" w:rsidRPr="0000262A">
        <w:rPr>
          <w:rFonts w:cs="Arial"/>
          <w:bCs/>
          <w:iCs/>
          <w:sz w:val="22"/>
        </w:rPr>
        <w:t>,</w:t>
      </w:r>
      <w:r w:rsidR="00B00CFC" w:rsidRPr="0000262A">
        <w:rPr>
          <w:rFonts w:cs="Arial"/>
          <w:bCs/>
          <w:iCs/>
          <w:sz w:val="22"/>
        </w:rPr>
        <w:t xml:space="preserve"> </w:t>
      </w:r>
      <w:r w:rsidR="003D1BF1">
        <w:rPr>
          <w:rFonts w:cs="Arial"/>
          <w:bCs/>
          <w:iCs/>
          <w:sz w:val="22"/>
        </w:rPr>
        <w:t>it requires</w:t>
      </w:r>
      <w:r w:rsidR="00B00CFC" w:rsidRPr="0000262A" w:rsidDel="00FD4D37">
        <w:rPr>
          <w:rFonts w:cs="Arial"/>
          <w:bCs/>
          <w:iCs/>
          <w:sz w:val="22"/>
        </w:rPr>
        <w:t xml:space="preserve"> </w:t>
      </w:r>
      <w:r w:rsidR="00B00CFC" w:rsidRPr="0000262A">
        <w:rPr>
          <w:rFonts w:cs="Arial"/>
          <w:bCs/>
          <w:iCs/>
          <w:sz w:val="22"/>
        </w:rPr>
        <w:t>positive measures for protection of children by society and the State.</w:t>
      </w:r>
      <w:r w:rsidR="00B00CFC" w:rsidRPr="0000262A">
        <w:rPr>
          <w:rFonts w:cs="Arial"/>
          <w:bCs/>
          <w:iCs/>
          <w:sz w:val="22"/>
          <w:vertAlign w:val="superscript"/>
        </w:rPr>
        <w:footnoteReference w:id="2"/>
      </w:r>
      <w:r w:rsidR="00B00CFC" w:rsidRPr="0000262A">
        <w:rPr>
          <w:rFonts w:cs="Arial"/>
          <w:bCs/>
          <w:iCs/>
          <w:sz w:val="22"/>
        </w:rPr>
        <w:t xml:space="preserve"> </w:t>
      </w:r>
    </w:p>
    <w:p w14:paraId="50C72981" w14:textId="301A6A37" w:rsidR="007866FA" w:rsidRPr="0000262A" w:rsidRDefault="00707983" w:rsidP="007866FA">
      <w:pPr>
        <w:rPr>
          <w:rFonts w:cs="Arial"/>
          <w:bCs/>
          <w:iCs/>
          <w:sz w:val="22"/>
        </w:rPr>
      </w:pPr>
      <w:r w:rsidRPr="0000262A">
        <w:rPr>
          <w:rFonts w:cs="Arial"/>
          <w:bCs/>
          <w:iCs/>
          <w:sz w:val="22"/>
        </w:rPr>
        <w:t xml:space="preserve">The scope of section 26 is informed by the </w:t>
      </w:r>
      <w:r w:rsidR="007866FA" w:rsidRPr="0000262A">
        <w:rPr>
          <w:rFonts w:cs="Arial"/>
          <w:bCs/>
          <w:i/>
          <w:iCs/>
          <w:sz w:val="22"/>
        </w:rPr>
        <w:t>United Nations Convention on the Rights of the Child</w:t>
      </w:r>
      <w:r w:rsidR="007866FA" w:rsidRPr="0000262A">
        <w:rPr>
          <w:rFonts w:cs="Arial"/>
          <w:bCs/>
          <w:iCs/>
          <w:sz w:val="22"/>
        </w:rPr>
        <w:t xml:space="preserve"> (the </w:t>
      </w:r>
      <w:r w:rsidR="007866FA" w:rsidRPr="0000262A">
        <w:rPr>
          <w:rFonts w:cs="Arial"/>
          <w:b/>
          <w:iCs/>
          <w:sz w:val="22"/>
        </w:rPr>
        <w:t>Convention</w:t>
      </w:r>
      <w:r w:rsidR="007866FA" w:rsidRPr="0000262A">
        <w:rPr>
          <w:rFonts w:cs="Arial"/>
          <w:bCs/>
          <w:iCs/>
          <w:sz w:val="22"/>
        </w:rPr>
        <w:t>)</w:t>
      </w:r>
      <w:r w:rsidRPr="0000262A">
        <w:rPr>
          <w:rFonts w:cs="Arial"/>
          <w:bCs/>
          <w:iCs/>
          <w:sz w:val="22"/>
        </w:rPr>
        <w:t xml:space="preserve">, which </w:t>
      </w:r>
      <w:r w:rsidR="007866FA" w:rsidRPr="0000262A">
        <w:rPr>
          <w:rFonts w:cs="Arial"/>
          <w:bCs/>
          <w:iCs/>
          <w:sz w:val="22"/>
        </w:rPr>
        <w:t>elaborates on the rights of children.</w:t>
      </w:r>
      <w:r w:rsidR="007866FA" w:rsidRPr="0000262A">
        <w:rPr>
          <w:rFonts w:cs="Arial"/>
          <w:bCs/>
          <w:iCs/>
          <w:sz w:val="22"/>
          <w:vertAlign w:val="superscript"/>
        </w:rPr>
        <w:footnoteReference w:id="3"/>
      </w:r>
      <w:r w:rsidR="007866FA" w:rsidRPr="0000262A">
        <w:rPr>
          <w:rFonts w:cs="Arial"/>
          <w:bCs/>
          <w:iCs/>
          <w:sz w:val="22"/>
        </w:rPr>
        <w:t xml:space="preserve"> The Convention recognises:</w:t>
      </w:r>
    </w:p>
    <w:p w14:paraId="0FBB7E23" w14:textId="621A48F9" w:rsidR="00435D60" w:rsidRDefault="00435D60" w:rsidP="007866FA">
      <w:pPr>
        <w:numPr>
          <w:ilvl w:val="0"/>
          <w:numId w:val="27"/>
        </w:numPr>
        <w:rPr>
          <w:rFonts w:cs="Arial"/>
          <w:bCs/>
          <w:iCs/>
          <w:sz w:val="22"/>
        </w:rPr>
      </w:pPr>
      <w:r>
        <w:rPr>
          <w:rFonts w:cs="Arial"/>
          <w:bCs/>
          <w:iCs/>
          <w:sz w:val="22"/>
        </w:rPr>
        <w:t>children must be protected from all forms of sexual exploitation and abuse;</w:t>
      </w:r>
      <w:r>
        <w:rPr>
          <w:rStyle w:val="FootnoteReference"/>
          <w:rFonts w:cs="Arial"/>
          <w:bCs/>
          <w:iCs/>
          <w:sz w:val="22"/>
        </w:rPr>
        <w:footnoteReference w:id="4"/>
      </w:r>
    </w:p>
    <w:p w14:paraId="622FE8E9" w14:textId="77777777" w:rsidR="00A954F3" w:rsidRPr="0000262A" w:rsidRDefault="00A954F3" w:rsidP="00A954F3">
      <w:pPr>
        <w:numPr>
          <w:ilvl w:val="0"/>
          <w:numId w:val="27"/>
        </w:numPr>
        <w:rPr>
          <w:rFonts w:cs="Arial"/>
          <w:bCs/>
          <w:iCs/>
          <w:sz w:val="22"/>
        </w:rPr>
      </w:pPr>
      <w:r w:rsidRPr="0000262A">
        <w:rPr>
          <w:rFonts w:cs="Arial"/>
          <w:bCs/>
          <w:iCs/>
          <w:sz w:val="22"/>
        </w:rPr>
        <w:t>the best interests of the child shall be a primary consideration in all actions concerning children;</w:t>
      </w:r>
      <w:r w:rsidRPr="0000262A">
        <w:rPr>
          <w:rFonts w:cs="Arial"/>
          <w:bCs/>
          <w:iCs/>
          <w:sz w:val="22"/>
          <w:vertAlign w:val="superscript"/>
        </w:rPr>
        <w:footnoteReference w:id="5"/>
      </w:r>
      <w:r w:rsidRPr="0000262A">
        <w:rPr>
          <w:rFonts w:cs="Arial"/>
          <w:bCs/>
          <w:iCs/>
          <w:sz w:val="22"/>
        </w:rPr>
        <w:t xml:space="preserve"> </w:t>
      </w:r>
    </w:p>
    <w:p w14:paraId="53FB13B5" w14:textId="199F908B" w:rsidR="00A954F3" w:rsidRDefault="00A954F3" w:rsidP="00A954F3">
      <w:pPr>
        <w:numPr>
          <w:ilvl w:val="0"/>
          <w:numId w:val="27"/>
        </w:numPr>
        <w:rPr>
          <w:rFonts w:cs="Arial"/>
          <w:bCs/>
          <w:iCs/>
          <w:sz w:val="22"/>
        </w:rPr>
      </w:pPr>
      <w:r w:rsidRPr="0000262A">
        <w:rPr>
          <w:rFonts w:cs="Arial"/>
          <w:bCs/>
          <w:iCs/>
          <w:sz w:val="22"/>
        </w:rPr>
        <w:t>respect for a child’s inherent right to life, survival</w:t>
      </w:r>
      <w:r w:rsidR="004A5D01">
        <w:rPr>
          <w:rFonts w:cs="Arial"/>
          <w:bCs/>
          <w:iCs/>
          <w:sz w:val="22"/>
        </w:rPr>
        <w:t>,</w:t>
      </w:r>
      <w:r w:rsidRPr="0000262A">
        <w:rPr>
          <w:rFonts w:cs="Arial"/>
          <w:bCs/>
          <w:iCs/>
          <w:sz w:val="22"/>
        </w:rPr>
        <w:t xml:space="preserve"> and development</w:t>
      </w:r>
      <w:r w:rsidR="008E4EFA">
        <w:rPr>
          <w:rFonts w:cs="Arial"/>
          <w:bCs/>
          <w:iCs/>
          <w:sz w:val="22"/>
        </w:rPr>
        <w:t>;</w:t>
      </w:r>
      <w:r w:rsidRPr="0000262A">
        <w:rPr>
          <w:rFonts w:cs="Arial"/>
          <w:bCs/>
          <w:iCs/>
          <w:sz w:val="22"/>
          <w:vertAlign w:val="superscript"/>
        </w:rPr>
        <w:footnoteReference w:id="6"/>
      </w:r>
      <w:r w:rsidR="001521C3">
        <w:rPr>
          <w:rFonts w:cs="Arial"/>
          <w:bCs/>
          <w:iCs/>
          <w:sz w:val="22"/>
        </w:rPr>
        <w:t xml:space="preserve"> and</w:t>
      </w:r>
    </w:p>
    <w:p w14:paraId="1ED9515E" w14:textId="6EF116F1" w:rsidR="008E4EFA" w:rsidRPr="008E4EFA" w:rsidRDefault="008E4EFA" w:rsidP="008E4EFA">
      <w:pPr>
        <w:numPr>
          <w:ilvl w:val="0"/>
          <w:numId w:val="27"/>
        </w:numPr>
        <w:rPr>
          <w:rFonts w:cs="Arial"/>
          <w:bCs/>
          <w:iCs/>
          <w:sz w:val="22"/>
        </w:rPr>
      </w:pPr>
      <w:r w:rsidRPr="0000262A">
        <w:rPr>
          <w:rFonts w:cs="Arial"/>
          <w:bCs/>
          <w:iCs/>
          <w:sz w:val="22"/>
        </w:rPr>
        <w:t>every child has the right to a standard of living adequate for the child’s physical, mental, spiritual, moral</w:t>
      </w:r>
      <w:r w:rsidR="004A5D01">
        <w:rPr>
          <w:rFonts w:cs="Arial"/>
          <w:bCs/>
          <w:iCs/>
          <w:sz w:val="22"/>
        </w:rPr>
        <w:t>,</w:t>
      </w:r>
      <w:r w:rsidRPr="0000262A">
        <w:rPr>
          <w:rFonts w:cs="Arial"/>
          <w:bCs/>
          <w:iCs/>
          <w:sz w:val="22"/>
        </w:rPr>
        <w:t xml:space="preserve"> and social development</w:t>
      </w:r>
      <w:r>
        <w:rPr>
          <w:rFonts w:cs="Arial"/>
          <w:bCs/>
          <w:iCs/>
          <w:sz w:val="22"/>
        </w:rPr>
        <w:t>.</w:t>
      </w:r>
      <w:r w:rsidRPr="0000262A">
        <w:rPr>
          <w:rFonts w:cs="Arial"/>
          <w:bCs/>
          <w:iCs/>
          <w:sz w:val="22"/>
          <w:vertAlign w:val="superscript"/>
        </w:rPr>
        <w:footnoteReference w:id="7"/>
      </w:r>
    </w:p>
    <w:p w14:paraId="725EA3D9" w14:textId="320A01FB" w:rsidR="0026500B" w:rsidRDefault="00015D59" w:rsidP="007866FA">
      <w:pPr>
        <w:rPr>
          <w:rFonts w:cs="Arial"/>
          <w:bCs/>
          <w:iCs/>
          <w:sz w:val="22"/>
        </w:rPr>
      </w:pPr>
      <w:r w:rsidRPr="00015D59">
        <w:rPr>
          <w:rFonts w:cs="Arial"/>
          <w:bCs/>
          <w:iCs/>
          <w:sz w:val="22"/>
        </w:rPr>
        <w:t xml:space="preserve">Article 34 should be read in conjunction with </w:t>
      </w:r>
      <w:r w:rsidR="003F265A">
        <w:rPr>
          <w:rFonts w:cs="Arial"/>
          <w:bCs/>
          <w:iCs/>
          <w:sz w:val="22"/>
        </w:rPr>
        <w:t>A</w:t>
      </w:r>
      <w:r w:rsidRPr="00015D59">
        <w:rPr>
          <w:rFonts w:cs="Arial"/>
          <w:bCs/>
          <w:iCs/>
          <w:sz w:val="22"/>
        </w:rPr>
        <w:t xml:space="preserve">rticle 19 of the </w:t>
      </w:r>
      <w:r w:rsidR="0031502A" w:rsidRPr="0031502A">
        <w:rPr>
          <w:rFonts w:cs="Arial"/>
          <w:bCs/>
          <w:iCs/>
          <w:sz w:val="22"/>
        </w:rPr>
        <w:t>Convention</w:t>
      </w:r>
      <w:r w:rsidRPr="00015D59">
        <w:rPr>
          <w:rFonts w:cs="Arial"/>
          <w:bCs/>
          <w:iCs/>
          <w:sz w:val="22"/>
        </w:rPr>
        <w:t>, which provides that:</w:t>
      </w:r>
      <w:r w:rsidR="0026500B">
        <w:rPr>
          <w:rFonts w:cs="Arial"/>
          <w:bCs/>
          <w:iCs/>
          <w:sz w:val="22"/>
        </w:rPr>
        <w:t xml:space="preserve"> </w:t>
      </w:r>
    </w:p>
    <w:p w14:paraId="7C6F6796" w14:textId="56AB9D84" w:rsidR="0026500B" w:rsidRDefault="00015D59" w:rsidP="0026500B">
      <w:pPr>
        <w:ind w:left="720"/>
        <w:rPr>
          <w:rFonts w:cs="Arial"/>
          <w:bCs/>
          <w:iCs/>
          <w:sz w:val="22"/>
        </w:rPr>
      </w:pPr>
      <w:r w:rsidRPr="00015D59">
        <w:rPr>
          <w:rFonts w:cs="Arial"/>
          <w:bCs/>
          <w:iCs/>
          <w:sz w:val="22"/>
        </w:rPr>
        <w:t>(1) States Parties shall take all appropriate legislative, administrative, social</w:t>
      </w:r>
      <w:r w:rsidR="004A5D01">
        <w:rPr>
          <w:rFonts w:cs="Arial"/>
          <w:bCs/>
          <w:iCs/>
          <w:sz w:val="22"/>
        </w:rPr>
        <w:t>,</w:t>
      </w:r>
      <w:r w:rsidRPr="00015D59">
        <w:rPr>
          <w:rFonts w:cs="Arial"/>
          <w:bCs/>
          <w:iCs/>
          <w:sz w:val="22"/>
        </w:rPr>
        <w:t xml:space="preserve"> and educational measures to protect the child from all forms of</w:t>
      </w:r>
      <w:r w:rsidR="0026500B">
        <w:rPr>
          <w:rFonts w:cs="Arial"/>
          <w:bCs/>
          <w:iCs/>
          <w:sz w:val="22"/>
        </w:rPr>
        <w:t xml:space="preserve"> </w:t>
      </w:r>
      <w:r w:rsidRPr="00015D59">
        <w:rPr>
          <w:rFonts w:cs="Arial"/>
          <w:bCs/>
          <w:iCs/>
          <w:sz w:val="22"/>
        </w:rPr>
        <w:t xml:space="preserve">physical or mental violence, </w:t>
      </w:r>
      <w:r w:rsidRPr="00015D59">
        <w:rPr>
          <w:rFonts w:cs="Arial"/>
          <w:bCs/>
          <w:iCs/>
          <w:sz w:val="22"/>
        </w:rPr>
        <w:lastRenderedPageBreak/>
        <w:t>injury or abuse, neglect or negligent</w:t>
      </w:r>
      <w:r w:rsidR="0026500B">
        <w:rPr>
          <w:rFonts w:cs="Arial"/>
          <w:bCs/>
          <w:iCs/>
          <w:sz w:val="22"/>
        </w:rPr>
        <w:t xml:space="preserve"> </w:t>
      </w:r>
      <w:r w:rsidRPr="00015D59">
        <w:rPr>
          <w:rFonts w:cs="Arial"/>
          <w:bCs/>
          <w:iCs/>
          <w:sz w:val="22"/>
        </w:rPr>
        <w:t>treatment, maltreatment or exploitation, including sexual abuse, while in the care of parent(s), legal guardian(s) or any other person who has the care of the child.</w:t>
      </w:r>
      <w:r w:rsidR="0026500B">
        <w:rPr>
          <w:rFonts w:cs="Arial"/>
          <w:bCs/>
          <w:iCs/>
          <w:sz w:val="22"/>
        </w:rPr>
        <w:t xml:space="preserve"> </w:t>
      </w:r>
    </w:p>
    <w:p w14:paraId="2E54F5DD" w14:textId="2FB1AEC0" w:rsidR="0026500B" w:rsidRDefault="00015D59" w:rsidP="0026500B">
      <w:pPr>
        <w:ind w:left="720"/>
        <w:rPr>
          <w:rFonts w:cs="Arial"/>
          <w:bCs/>
          <w:iCs/>
          <w:sz w:val="22"/>
        </w:rPr>
      </w:pPr>
      <w:r w:rsidRPr="00015D59">
        <w:rPr>
          <w:rFonts w:cs="Arial"/>
          <w:bCs/>
          <w:iCs/>
          <w:sz w:val="22"/>
        </w:rPr>
        <w:t xml:space="preserve">(2) Such protective measures should, as appropriate, include effective </w:t>
      </w:r>
      <w:r w:rsidR="0026500B">
        <w:rPr>
          <w:rFonts w:cs="Arial"/>
          <w:bCs/>
          <w:iCs/>
          <w:sz w:val="22"/>
        </w:rPr>
        <w:t xml:space="preserve"> </w:t>
      </w:r>
      <w:r w:rsidRPr="00015D59">
        <w:rPr>
          <w:rFonts w:cs="Arial"/>
          <w:bCs/>
          <w:iCs/>
          <w:sz w:val="22"/>
        </w:rPr>
        <w:t xml:space="preserve">procedures for the establishment of social programmes to provide </w:t>
      </w:r>
      <w:r w:rsidR="0026500B">
        <w:rPr>
          <w:rFonts w:cs="Arial"/>
          <w:bCs/>
          <w:iCs/>
          <w:sz w:val="22"/>
        </w:rPr>
        <w:t xml:space="preserve"> </w:t>
      </w:r>
      <w:r w:rsidRPr="00015D59">
        <w:rPr>
          <w:rFonts w:cs="Arial"/>
          <w:bCs/>
          <w:iCs/>
          <w:sz w:val="22"/>
        </w:rPr>
        <w:t xml:space="preserve">necessary support for the child and for those who have the care of the </w:t>
      </w:r>
      <w:r w:rsidR="0026500B">
        <w:rPr>
          <w:rFonts w:cs="Arial"/>
          <w:bCs/>
          <w:iCs/>
          <w:sz w:val="22"/>
        </w:rPr>
        <w:t xml:space="preserve"> </w:t>
      </w:r>
      <w:r w:rsidRPr="00015D59">
        <w:rPr>
          <w:rFonts w:cs="Arial"/>
          <w:bCs/>
          <w:iCs/>
          <w:sz w:val="22"/>
        </w:rPr>
        <w:t xml:space="preserve">child, as well as for other forms of prevention and for identification, </w:t>
      </w:r>
      <w:r w:rsidR="0026500B">
        <w:rPr>
          <w:rFonts w:cs="Arial"/>
          <w:bCs/>
          <w:iCs/>
          <w:sz w:val="22"/>
        </w:rPr>
        <w:t xml:space="preserve"> </w:t>
      </w:r>
      <w:r w:rsidRPr="00015D59">
        <w:rPr>
          <w:rFonts w:cs="Arial"/>
          <w:bCs/>
          <w:iCs/>
          <w:sz w:val="22"/>
        </w:rPr>
        <w:t xml:space="preserve">reporting, referral, investigation, treatment and follow-up of instances of </w:t>
      </w:r>
      <w:r w:rsidR="0026500B">
        <w:rPr>
          <w:rFonts w:cs="Arial"/>
          <w:bCs/>
          <w:iCs/>
          <w:sz w:val="22"/>
        </w:rPr>
        <w:t xml:space="preserve"> </w:t>
      </w:r>
      <w:r w:rsidRPr="00015D59">
        <w:rPr>
          <w:rFonts w:cs="Arial"/>
          <w:bCs/>
          <w:iCs/>
          <w:sz w:val="22"/>
        </w:rPr>
        <w:t xml:space="preserve">child maltreatment described heretofore, and, as appropriate, for </w:t>
      </w:r>
      <w:r w:rsidR="0026500B">
        <w:rPr>
          <w:rFonts w:cs="Arial"/>
          <w:bCs/>
          <w:iCs/>
          <w:sz w:val="22"/>
        </w:rPr>
        <w:t xml:space="preserve"> </w:t>
      </w:r>
      <w:r w:rsidRPr="00015D59">
        <w:rPr>
          <w:rFonts w:cs="Arial"/>
          <w:bCs/>
          <w:iCs/>
          <w:sz w:val="22"/>
        </w:rPr>
        <w:t>judicial involvement.</w:t>
      </w:r>
      <w:r w:rsidR="0026500B">
        <w:rPr>
          <w:rFonts w:cs="Arial"/>
          <w:bCs/>
          <w:iCs/>
          <w:sz w:val="22"/>
        </w:rPr>
        <w:t xml:space="preserve"> </w:t>
      </w:r>
    </w:p>
    <w:p w14:paraId="4D526696" w14:textId="1CD5747F" w:rsidR="00E37FCC" w:rsidRDefault="0026500B" w:rsidP="008E4EFA">
      <w:pPr>
        <w:spacing w:before="120"/>
        <w:rPr>
          <w:rFonts w:cs="Arial"/>
          <w:bCs/>
          <w:iCs/>
          <w:sz w:val="22"/>
        </w:rPr>
      </w:pPr>
      <w:r>
        <w:rPr>
          <w:rFonts w:cs="Arial"/>
          <w:bCs/>
          <w:iCs/>
          <w:sz w:val="22"/>
        </w:rPr>
        <w:t>A</w:t>
      </w:r>
      <w:r w:rsidR="00015D59" w:rsidRPr="00015D59">
        <w:rPr>
          <w:rFonts w:cs="Arial"/>
          <w:bCs/>
          <w:iCs/>
          <w:sz w:val="22"/>
        </w:rPr>
        <w:t>rticle 39</w:t>
      </w:r>
      <w:r w:rsidR="003F265A">
        <w:rPr>
          <w:rFonts w:cs="Arial"/>
          <w:bCs/>
          <w:iCs/>
          <w:sz w:val="22"/>
        </w:rPr>
        <w:t xml:space="preserve"> of the </w:t>
      </w:r>
      <w:r w:rsidR="00015D59" w:rsidRPr="00015D59">
        <w:rPr>
          <w:rFonts w:cs="Arial"/>
          <w:bCs/>
          <w:iCs/>
          <w:sz w:val="22"/>
        </w:rPr>
        <w:t>C</w:t>
      </w:r>
      <w:r w:rsidR="004A5D01">
        <w:rPr>
          <w:rFonts w:cs="Arial"/>
          <w:bCs/>
          <w:iCs/>
          <w:sz w:val="22"/>
        </w:rPr>
        <w:t xml:space="preserve">onvention </w:t>
      </w:r>
      <w:r>
        <w:rPr>
          <w:rFonts w:cs="Arial"/>
          <w:bCs/>
          <w:iCs/>
          <w:sz w:val="22"/>
        </w:rPr>
        <w:t xml:space="preserve">also </w:t>
      </w:r>
      <w:r w:rsidR="00015D59" w:rsidRPr="00015D59">
        <w:rPr>
          <w:rFonts w:cs="Arial"/>
          <w:bCs/>
          <w:iCs/>
          <w:sz w:val="22"/>
        </w:rPr>
        <w:t>provides for measures to ensure recovery and reintegration</w:t>
      </w:r>
      <w:r w:rsidR="00FE44B9">
        <w:rPr>
          <w:rFonts w:cs="Arial"/>
          <w:bCs/>
          <w:iCs/>
          <w:sz w:val="22"/>
        </w:rPr>
        <w:t xml:space="preserve"> of child victims</w:t>
      </w:r>
      <w:r w:rsidR="00015D59" w:rsidRPr="00015D59">
        <w:rPr>
          <w:rFonts w:cs="Arial"/>
          <w:bCs/>
          <w:iCs/>
          <w:sz w:val="22"/>
        </w:rPr>
        <w:t>:</w:t>
      </w:r>
      <w:r>
        <w:rPr>
          <w:rFonts w:cs="Arial"/>
          <w:bCs/>
          <w:iCs/>
          <w:sz w:val="22"/>
        </w:rPr>
        <w:t xml:space="preserve"> </w:t>
      </w:r>
    </w:p>
    <w:p w14:paraId="64D762BB" w14:textId="44045927" w:rsidR="00F46EAE" w:rsidRDefault="00015D59" w:rsidP="00E37FCC">
      <w:pPr>
        <w:spacing w:before="120"/>
        <w:ind w:left="720"/>
        <w:rPr>
          <w:rFonts w:cs="Arial"/>
          <w:bCs/>
          <w:iCs/>
          <w:sz w:val="22"/>
        </w:rPr>
      </w:pPr>
      <w:r w:rsidRPr="00015D59">
        <w:rPr>
          <w:rFonts w:cs="Arial"/>
          <w:bCs/>
          <w:iCs/>
          <w:sz w:val="22"/>
        </w:rPr>
        <w:t>States Parties shall take all appropriate measures to promote physical and psychological recovery and social reintegration of a child victim of:</w:t>
      </w:r>
      <w:r w:rsidR="0026500B">
        <w:rPr>
          <w:rFonts w:cs="Arial"/>
          <w:bCs/>
          <w:iCs/>
          <w:sz w:val="22"/>
        </w:rPr>
        <w:t xml:space="preserve"> </w:t>
      </w:r>
      <w:r w:rsidRPr="00015D59">
        <w:rPr>
          <w:rFonts w:cs="Arial"/>
          <w:bCs/>
          <w:iCs/>
          <w:sz w:val="22"/>
        </w:rPr>
        <w:t>any form of neglect, exploitation, or abuse</w:t>
      </w:r>
      <w:r w:rsidR="00B47A76">
        <w:rPr>
          <w:rFonts w:cs="Arial"/>
          <w:bCs/>
          <w:iCs/>
          <w:sz w:val="22"/>
        </w:rPr>
        <w:t>,</w:t>
      </w:r>
      <w:r w:rsidRPr="00015D59">
        <w:rPr>
          <w:rFonts w:cs="Arial"/>
          <w:bCs/>
          <w:iCs/>
          <w:sz w:val="22"/>
        </w:rPr>
        <w:t xml:space="preserve"> torture or any other form of cruel, inhuman or degrading treatment or punishment</w:t>
      </w:r>
      <w:r w:rsidR="00B47A76">
        <w:rPr>
          <w:rFonts w:cs="Arial"/>
          <w:bCs/>
          <w:iCs/>
          <w:sz w:val="22"/>
        </w:rPr>
        <w:t>,</w:t>
      </w:r>
      <w:r w:rsidRPr="00015D59">
        <w:rPr>
          <w:rFonts w:cs="Arial"/>
          <w:bCs/>
          <w:iCs/>
          <w:sz w:val="22"/>
        </w:rPr>
        <w:t xml:space="preserve"> or armed conflicts. Such recovery and reintegration shall take place in an environment which fosters the health, self-respect</w:t>
      </w:r>
      <w:r w:rsidR="00B47A76">
        <w:rPr>
          <w:rFonts w:cs="Arial"/>
          <w:bCs/>
          <w:iCs/>
          <w:sz w:val="22"/>
        </w:rPr>
        <w:t xml:space="preserve">, </w:t>
      </w:r>
      <w:r w:rsidRPr="00015D59">
        <w:rPr>
          <w:rFonts w:cs="Arial"/>
          <w:bCs/>
          <w:iCs/>
          <w:sz w:val="22"/>
        </w:rPr>
        <w:t>and digni</w:t>
      </w:r>
      <w:r w:rsidR="0026500B">
        <w:rPr>
          <w:rFonts w:cs="Arial"/>
          <w:bCs/>
          <w:iCs/>
          <w:sz w:val="22"/>
        </w:rPr>
        <w:t>t</w:t>
      </w:r>
      <w:r w:rsidRPr="00015D59">
        <w:rPr>
          <w:rFonts w:cs="Arial"/>
          <w:bCs/>
          <w:iCs/>
          <w:sz w:val="22"/>
        </w:rPr>
        <w:t>y of the child.</w:t>
      </w:r>
    </w:p>
    <w:p w14:paraId="02C94730" w14:textId="3CFA2E84" w:rsidR="009E2DE4" w:rsidRPr="0026500B" w:rsidRDefault="009E2DE4" w:rsidP="008E4EFA">
      <w:pPr>
        <w:spacing w:before="120"/>
        <w:rPr>
          <w:rFonts w:cs="Arial"/>
          <w:bCs/>
          <w:iCs/>
          <w:sz w:val="22"/>
        </w:rPr>
      </w:pPr>
      <w:r w:rsidRPr="0000262A">
        <w:rPr>
          <w:rFonts w:cs="Arial"/>
          <w:bCs/>
          <w:iCs/>
          <w:sz w:val="22"/>
          <w:u w:val="single"/>
        </w:rPr>
        <w:t>Best interests</w:t>
      </w:r>
      <w:r w:rsidR="00813048" w:rsidRPr="0000262A">
        <w:rPr>
          <w:rFonts w:cs="Arial"/>
          <w:bCs/>
          <w:iCs/>
          <w:sz w:val="22"/>
          <w:u w:val="single"/>
        </w:rPr>
        <w:t xml:space="preserve"> of the child</w:t>
      </w:r>
    </w:p>
    <w:p w14:paraId="516B05B0" w14:textId="6EA8458F" w:rsidR="007866FA" w:rsidRPr="0000262A" w:rsidRDefault="007866FA" w:rsidP="007866FA">
      <w:pPr>
        <w:rPr>
          <w:rFonts w:cs="Arial"/>
          <w:bCs/>
          <w:iCs/>
          <w:sz w:val="22"/>
        </w:rPr>
      </w:pPr>
      <w:r w:rsidRPr="0000262A">
        <w:rPr>
          <w:rFonts w:cs="Arial"/>
          <w:bCs/>
          <w:iCs/>
          <w:sz w:val="22"/>
        </w:rPr>
        <w:t>Every decision, policy</w:t>
      </w:r>
      <w:r w:rsidR="00B47A76">
        <w:rPr>
          <w:rFonts w:cs="Arial"/>
          <w:bCs/>
          <w:iCs/>
          <w:sz w:val="22"/>
        </w:rPr>
        <w:t>,</w:t>
      </w:r>
      <w:r w:rsidRPr="0000262A">
        <w:rPr>
          <w:rFonts w:cs="Arial"/>
          <w:bCs/>
          <w:iCs/>
          <w:sz w:val="22"/>
        </w:rPr>
        <w:t xml:space="preserve"> and law concerning children should be able to demonstrate that the child’s best interests have been a primary consideration.</w:t>
      </w:r>
      <w:r w:rsidRPr="0000262A">
        <w:rPr>
          <w:rFonts w:cs="Arial"/>
          <w:bCs/>
          <w:iCs/>
          <w:sz w:val="22"/>
          <w:vertAlign w:val="superscript"/>
        </w:rPr>
        <w:footnoteReference w:id="8"/>
      </w:r>
      <w:r w:rsidRPr="0000262A">
        <w:rPr>
          <w:rFonts w:cs="Arial"/>
          <w:bCs/>
          <w:iCs/>
          <w:sz w:val="22"/>
        </w:rPr>
        <w:t xml:space="preserve"> </w:t>
      </w:r>
      <w:r w:rsidR="00B96FDF">
        <w:rPr>
          <w:rFonts w:cs="Arial"/>
          <w:bCs/>
          <w:iCs/>
          <w:sz w:val="22"/>
        </w:rPr>
        <w:t>R</w:t>
      </w:r>
      <w:r w:rsidR="00B47A76">
        <w:rPr>
          <w:rFonts w:cs="Arial"/>
          <w:bCs/>
          <w:iCs/>
          <w:sz w:val="22"/>
        </w:rPr>
        <w:t>equiring that actions take</w:t>
      </w:r>
      <w:r w:rsidR="00AE4817">
        <w:rPr>
          <w:rFonts w:cs="Arial"/>
          <w:bCs/>
          <w:iCs/>
          <w:sz w:val="22"/>
        </w:rPr>
        <w:t>n</w:t>
      </w:r>
      <w:r w:rsidR="00B47A76">
        <w:rPr>
          <w:rFonts w:cs="Arial"/>
          <w:bCs/>
          <w:iCs/>
          <w:sz w:val="22"/>
        </w:rPr>
        <w:t xml:space="preserve"> be in the</w:t>
      </w:r>
      <w:r w:rsidRPr="0000262A" w:rsidDel="003539D1">
        <w:rPr>
          <w:rFonts w:cs="Arial"/>
          <w:bCs/>
          <w:iCs/>
          <w:sz w:val="22"/>
        </w:rPr>
        <w:t xml:space="preserve"> ‘best interests’ of the child </w:t>
      </w:r>
      <w:r w:rsidR="00B47A76">
        <w:rPr>
          <w:rFonts w:cs="Arial"/>
          <w:bCs/>
          <w:iCs/>
          <w:sz w:val="22"/>
        </w:rPr>
        <w:t>aims to ensure</w:t>
      </w:r>
      <w:r w:rsidRPr="0000262A" w:rsidDel="003539D1">
        <w:rPr>
          <w:rFonts w:cs="Arial"/>
          <w:bCs/>
          <w:iCs/>
          <w:sz w:val="22"/>
        </w:rPr>
        <w:t xml:space="preserve"> the full and effective enjoyment of all rights recognised in the Convention, and the holistic development of the child.</w:t>
      </w:r>
      <w:r w:rsidRPr="0000262A" w:rsidDel="003539D1">
        <w:rPr>
          <w:rFonts w:cs="Arial"/>
          <w:bCs/>
          <w:iCs/>
          <w:sz w:val="22"/>
          <w:vertAlign w:val="superscript"/>
        </w:rPr>
        <w:footnoteReference w:id="9"/>
      </w:r>
      <w:r w:rsidRPr="0000262A" w:rsidDel="003539D1">
        <w:rPr>
          <w:rFonts w:cs="Arial"/>
          <w:bCs/>
          <w:iCs/>
          <w:sz w:val="22"/>
        </w:rPr>
        <w:t xml:space="preserve"> </w:t>
      </w:r>
      <w:r w:rsidRPr="0000262A">
        <w:rPr>
          <w:rFonts w:cs="Arial"/>
          <w:bCs/>
          <w:iCs/>
          <w:sz w:val="22"/>
        </w:rPr>
        <w:t>The justification for this is the special situation of a child given their dependency, maturity, legal status and, often, voicelessness – if their interests are not highlighted, they can be overlooked.</w:t>
      </w:r>
      <w:r w:rsidRPr="0000262A">
        <w:rPr>
          <w:rFonts w:cs="Arial"/>
          <w:bCs/>
          <w:iCs/>
          <w:sz w:val="22"/>
          <w:vertAlign w:val="superscript"/>
        </w:rPr>
        <w:footnoteReference w:id="10"/>
      </w:r>
    </w:p>
    <w:p w14:paraId="11C6005D" w14:textId="5C762F19" w:rsidR="007866FA" w:rsidRPr="0000262A" w:rsidRDefault="007866FA" w:rsidP="007866FA">
      <w:pPr>
        <w:rPr>
          <w:rFonts w:cs="Arial"/>
          <w:bCs/>
          <w:iCs/>
          <w:sz w:val="22"/>
        </w:rPr>
      </w:pPr>
      <w:r w:rsidRPr="0000262A">
        <w:rPr>
          <w:rFonts w:cs="Arial"/>
          <w:bCs/>
          <w:iCs/>
          <w:sz w:val="22"/>
        </w:rPr>
        <w:t xml:space="preserve">A child’s best interests are </w:t>
      </w:r>
      <w:r w:rsidR="00894AC1" w:rsidRPr="0000262A">
        <w:rPr>
          <w:rFonts w:cs="Arial"/>
          <w:bCs/>
          <w:iCs/>
          <w:sz w:val="22"/>
        </w:rPr>
        <w:t>dynamic and</w:t>
      </w:r>
      <w:r w:rsidRPr="0000262A">
        <w:rPr>
          <w:rFonts w:cs="Arial"/>
          <w:bCs/>
          <w:iCs/>
          <w:sz w:val="22"/>
        </w:rPr>
        <w:t xml:space="preserve"> should be adjusted and defined on an individual basis.</w:t>
      </w:r>
      <w:r w:rsidRPr="0000262A">
        <w:rPr>
          <w:rFonts w:cs="Arial"/>
          <w:bCs/>
          <w:iCs/>
          <w:sz w:val="22"/>
          <w:vertAlign w:val="superscript"/>
        </w:rPr>
        <w:footnoteReference w:id="11"/>
      </w:r>
      <w:r w:rsidRPr="0000262A">
        <w:rPr>
          <w:rFonts w:cs="Arial"/>
          <w:bCs/>
          <w:iCs/>
          <w:sz w:val="22"/>
        </w:rPr>
        <w:t xml:space="preserve"> The Committee on the Right</w:t>
      </w:r>
      <w:r w:rsidR="00A7275C">
        <w:rPr>
          <w:rFonts w:cs="Arial"/>
          <w:bCs/>
          <w:iCs/>
          <w:sz w:val="22"/>
        </w:rPr>
        <w:t>s</w:t>
      </w:r>
      <w:r w:rsidRPr="0000262A">
        <w:rPr>
          <w:rFonts w:cs="Arial"/>
          <w:bCs/>
          <w:iCs/>
          <w:sz w:val="22"/>
        </w:rPr>
        <w:t xml:space="preserve"> of the Child suggests an assessment of best interests </w:t>
      </w:r>
      <w:r w:rsidR="00A738E3" w:rsidRPr="0000262A">
        <w:rPr>
          <w:rFonts w:cs="Arial"/>
          <w:bCs/>
          <w:iCs/>
          <w:sz w:val="22"/>
        </w:rPr>
        <w:t>consider</w:t>
      </w:r>
      <w:r w:rsidR="00A738E3">
        <w:rPr>
          <w:rFonts w:cs="Arial"/>
          <w:bCs/>
          <w:iCs/>
          <w:sz w:val="22"/>
        </w:rPr>
        <w:t>s</w:t>
      </w:r>
      <w:r w:rsidRPr="0000262A">
        <w:rPr>
          <w:rFonts w:cs="Arial"/>
          <w:bCs/>
          <w:iCs/>
          <w:sz w:val="22"/>
        </w:rPr>
        <w:t>:</w:t>
      </w:r>
    </w:p>
    <w:p w14:paraId="7408B7F0" w14:textId="1F4AEDCC" w:rsidR="007866FA" w:rsidRPr="0000262A" w:rsidRDefault="007866FA" w:rsidP="007866FA">
      <w:pPr>
        <w:numPr>
          <w:ilvl w:val="0"/>
          <w:numId w:val="28"/>
        </w:numPr>
        <w:rPr>
          <w:rFonts w:cs="Arial"/>
          <w:bCs/>
          <w:iCs/>
          <w:sz w:val="22"/>
        </w:rPr>
      </w:pPr>
      <w:r w:rsidRPr="0000262A">
        <w:rPr>
          <w:rFonts w:cs="Arial"/>
          <w:bCs/>
          <w:iCs/>
          <w:sz w:val="22"/>
        </w:rPr>
        <w:t>the child’s views</w:t>
      </w:r>
      <w:r w:rsidR="00FE2A15">
        <w:rPr>
          <w:rFonts w:cs="Arial"/>
          <w:bCs/>
          <w:iCs/>
          <w:sz w:val="22"/>
        </w:rPr>
        <w:t>;</w:t>
      </w:r>
    </w:p>
    <w:p w14:paraId="0D856F52" w14:textId="1DFD1A1D" w:rsidR="007866FA" w:rsidRPr="0000262A" w:rsidRDefault="007866FA" w:rsidP="007866FA">
      <w:pPr>
        <w:numPr>
          <w:ilvl w:val="0"/>
          <w:numId w:val="28"/>
        </w:numPr>
        <w:rPr>
          <w:rFonts w:cs="Arial"/>
          <w:bCs/>
          <w:iCs/>
          <w:sz w:val="22"/>
        </w:rPr>
      </w:pPr>
      <w:r w:rsidRPr="0000262A">
        <w:rPr>
          <w:rFonts w:cs="Arial"/>
          <w:bCs/>
          <w:iCs/>
          <w:sz w:val="22"/>
        </w:rPr>
        <w:t>the child’s identity</w:t>
      </w:r>
      <w:r w:rsidR="00FE2A15">
        <w:rPr>
          <w:rFonts w:cs="Arial"/>
          <w:bCs/>
          <w:iCs/>
          <w:sz w:val="22"/>
        </w:rPr>
        <w:t>;</w:t>
      </w:r>
      <w:r w:rsidRPr="0000262A">
        <w:rPr>
          <w:rFonts w:cs="Arial"/>
          <w:bCs/>
          <w:iCs/>
          <w:sz w:val="22"/>
        </w:rPr>
        <w:t xml:space="preserve"> </w:t>
      </w:r>
    </w:p>
    <w:p w14:paraId="530C5D74" w14:textId="2AAD5BCB" w:rsidR="007866FA" w:rsidRPr="0000262A" w:rsidRDefault="007866FA" w:rsidP="007866FA">
      <w:pPr>
        <w:numPr>
          <w:ilvl w:val="0"/>
          <w:numId w:val="28"/>
        </w:numPr>
        <w:rPr>
          <w:rFonts w:cs="Arial"/>
          <w:bCs/>
          <w:iCs/>
          <w:sz w:val="22"/>
        </w:rPr>
      </w:pPr>
      <w:r w:rsidRPr="0000262A">
        <w:rPr>
          <w:rFonts w:cs="Arial"/>
          <w:bCs/>
          <w:iCs/>
          <w:sz w:val="22"/>
        </w:rPr>
        <w:t>preservation of the family environment and maintaining relations</w:t>
      </w:r>
      <w:r w:rsidR="00FE2A15">
        <w:rPr>
          <w:rFonts w:cs="Arial"/>
          <w:bCs/>
          <w:iCs/>
          <w:sz w:val="22"/>
        </w:rPr>
        <w:t>;</w:t>
      </w:r>
    </w:p>
    <w:p w14:paraId="1C69FB9E" w14:textId="47E0C19F" w:rsidR="007866FA" w:rsidRPr="0000262A" w:rsidRDefault="007866FA" w:rsidP="007866FA">
      <w:pPr>
        <w:numPr>
          <w:ilvl w:val="0"/>
          <w:numId w:val="28"/>
        </w:numPr>
        <w:rPr>
          <w:rFonts w:cs="Arial"/>
          <w:bCs/>
          <w:iCs/>
          <w:sz w:val="22"/>
        </w:rPr>
      </w:pPr>
      <w:r w:rsidRPr="0000262A">
        <w:rPr>
          <w:rFonts w:cs="Arial"/>
          <w:bCs/>
          <w:iCs/>
          <w:sz w:val="22"/>
        </w:rPr>
        <w:t>care, protection and safety of the child</w:t>
      </w:r>
      <w:r w:rsidR="00FE2A15">
        <w:rPr>
          <w:rFonts w:cs="Arial"/>
          <w:bCs/>
          <w:iCs/>
          <w:sz w:val="22"/>
        </w:rPr>
        <w:t>;</w:t>
      </w:r>
    </w:p>
    <w:p w14:paraId="28E69306" w14:textId="48EAC728" w:rsidR="007866FA" w:rsidRPr="0000262A" w:rsidRDefault="007866FA" w:rsidP="007866FA">
      <w:pPr>
        <w:numPr>
          <w:ilvl w:val="0"/>
          <w:numId w:val="28"/>
        </w:numPr>
        <w:rPr>
          <w:rFonts w:cs="Arial"/>
          <w:bCs/>
          <w:iCs/>
          <w:sz w:val="22"/>
        </w:rPr>
      </w:pPr>
      <w:r w:rsidRPr="0000262A">
        <w:rPr>
          <w:rFonts w:cs="Arial"/>
          <w:bCs/>
          <w:iCs/>
          <w:sz w:val="22"/>
        </w:rPr>
        <w:t>situation of vulnerability</w:t>
      </w:r>
      <w:r w:rsidR="00FE2A15">
        <w:rPr>
          <w:rFonts w:cs="Arial"/>
          <w:bCs/>
          <w:iCs/>
          <w:sz w:val="22"/>
        </w:rPr>
        <w:t>;</w:t>
      </w:r>
    </w:p>
    <w:p w14:paraId="30A3109E" w14:textId="0482701C" w:rsidR="007866FA" w:rsidRPr="0000262A" w:rsidRDefault="007866FA" w:rsidP="007866FA">
      <w:pPr>
        <w:numPr>
          <w:ilvl w:val="0"/>
          <w:numId w:val="28"/>
        </w:numPr>
        <w:rPr>
          <w:rFonts w:cs="Arial"/>
          <w:bCs/>
          <w:iCs/>
          <w:sz w:val="22"/>
        </w:rPr>
      </w:pPr>
      <w:r w:rsidRPr="0000262A">
        <w:rPr>
          <w:rFonts w:cs="Arial"/>
          <w:bCs/>
          <w:iCs/>
          <w:sz w:val="22"/>
        </w:rPr>
        <w:t>the child’s right to health</w:t>
      </w:r>
      <w:r w:rsidR="00FE2A15">
        <w:rPr>
          <w:rFonts w:cs="Arial"/>
          <w:bCs/>
          <w:iCs/>
          <w:sz w:val="22"/>
        </w:rPr>
        <w:t>; and</w:t>
      </w:r>
    </w:p>
    <w:p w14:paraId="693BC9D9" w14:textId="11E5684A" w:rsidR="00C94A10" w:rsidRPr="0000262A" w:rsidRDefault="007866FA" w:rsidP="00717E8A">
      <w:pPr>
        <w:numPr>
          <w:ilvl w:val="0"/>
          <w:numId w:val="28"/>
        </w:numPr>
        <w:rPr>
          <w:rFonts w:cs="Arial"/>
          <w:bCs/>
          <w:iCs/>
          <w:sz w:val="22"/>
        </w:rPr>
      </w:pPr>
      <w:r w:rsidRPr="0000262A">
        <w:rPr>
          <w:rFonts w:cs="Arial"/>
          <w:bCs/>
          <w:iCs/>
          <w:sz w:val="22"/>
        </w:rPr>
        <w:lastRenderedPageBreak/>
        <w:t>the child’s right to education.</w:t>
      </w:r>
      <w:r w:rsidRPr="0000262A">
        <w:rPr>
          <w:rFonts w:cs="Arial"/>
          <w:bCs/>
          <w:iCs/>
          <w:sz w:val="22"/>
          <w:vertAlign w:val="superscript"/>
        </w:rPr>
        <w:footnoteReference w:id="12"/>
      </w:r>
    </w:p>
    <w:p w14:paraId="5A2220F9" w14:textId="71FA902D" w:rsidR="006D2ECD" w:rsidRPr="00C56751" w:rsidRDefault="009A0EE2" w:rsidP="00466B28">
      <w:pPr>
        <w:rPr>
          <w:rFonts w:cs="Arial"/>
          <w:sz w:val="22"/>
          <w:u w:val="single"/>
        </w:rPr>
      </w:pPr>
      <w:r>
        <w:rPr>
          <w:rFonts w:cs="Arial"/>
          <w:bCs/>
          <w:iCs/>
          <w:sz w:val="22"/>
          <w:u w:val="single"/>
        </w:rPr>
        <w:t>Children’s c</w:t>
      </w:r>
      <w:r w:rsidR="006D2ECD" w:rsidRPr="00C56751">
        <w:rPr>
          <w:rFonts w:cs="Arial"/>
          <w:sz w:val="22"/>
          <w:u w:val="single"/>
        </w:rPr>
        <w:t>ultural rights</w:t>
      </w:r>
    </w:p>
    <w:p w14:paraId="34CF7591" w14:textId="195E012D" w:rsidR="0052479A" w:rsidRDefault="001E4DAE" w:rsidP="00466B28">
      <w:pPr>
        <w:rPr>
          <w:rFonts w:cs="Arial"/>
          <w:bCs/>
          <w:iCs/>
          <w:sz w:val="22"/>
        </w:rPr>
      </w:pPr>
      <w:r w:rsidRPr="001E4DAE">
        <w:rPr>
          <w:rFonts w:cs="Arial"/>
          <w:bCs/>
          <w:iCs/>
          <w:sz w:val="22"/>
        </w:rPr>
        <w:t xml:space="preserve">The special importance of human rights to </w:t>
      </w:r>
      <w:r>
        <w:rPr>
          <w:rFonts w:cs="Arial"/>
          <w:bCs/>
          <w:iCs/>
          <w:sz w:val="22"/>
        </w:rPr>
        <w:t>First Nations</w:t>
      </w:r>
      <w:r w:rsidRPr="001E4DAE">
        <w:rPr>
          <w:rFonts w:cs="Arial"/>
          <w:bCs/>
          <w:iCs/>
          <w:sz w:val="22"/>
        </w:rPr>
        <w:t xml:space="preserve"> peoples is acknowledged in both the preamble to the H</w:t>
      </w:r>
      <w:r>
        <w:rPr>
          <w:rFonts w:cs="Arial"/>
          <w:bCs/>
          <w:iCs/>
          <w:sz w:val="22"/>
        </w:rPr>
        <w:t>uman Rights</w:t>
      </w:r>
      <w:r w:rsidRPr="001E4DAE">
        <w:rPr>
          <w:rFonts w:cs="Arial"/>
          <w:bCs/>
          <w:iCs/>
          <w:sz w:val="22"/>
        </w:rPr>
        <w:t xml:space="preserve"> Act and under section 28. </w:t>
      </w:r>
      <w:r w:rsidR="004D46CA" w:rsidRPr="0000262A">
        <w:rPr>
          <w:rFonts w:cs="Arial"/>
          <w:bCs/>
          <w:iCs/>
          <w:sz w:val="22"/>
        </w:rPr>
        <w:t>S</w:t>
      </w:r>
      <w:r w:rsidR="00156176" w:rsidRPr="0000262A">
        <w:rPr>
          <w:rFonts w:cs="Arial"/>
          <w:bCs/>
          <w:iCs/>
          <w:sz w:val="22"/>
        </w:rPr>
        <w:t xml:space="preserve">ection </w:t>
      </w:r>
      <w:r w:rsidR="003A402F">
        <w:rPr>
          <w:rFonts w:cs="Arial"/>
          <w:bCs/>
          <w:iCs/>
          <w:sz w:val="22"/>
        </w:rPr>
        <w:t>28</w:t>
      </w:r>
      <w:r w:rsidR="00F279BF" w:rsidRPr="0000262A">
        <w:rPr>
          <w:rFonts w:cs="Arial"/>
          <w:bCs/>
          <w:iCs/>
          <w:sz w:val="22"/>
        </w:rPr>
        <w:t xml:space="preserve"> </w:t>
      </w:r>
      <w:r w:rsidR="00D072ED">
        <w:rPr>
          <w:rFonts w:cs="Arial"/>
          <w:bCs/>
          <w:iCs/>
          <w:sz w:val="22"/>
        </w:rPr>
        <w:t>protects</w:t>
      </w:r>
      <w:r w:rsidR="00B90D9B">
        <w:rPr>
          <w:rFonts w:cs="Arial"/>
          <w:bCs/>
          <w:iCs/>
          <w:sz w:val="22"/>
        </w:rPr>
        <w:t xml:space="preserve"> the</w:t>
      </w:r>
      <w:r w:rsidR="00F279BF" w:rsidRPr="0000262A">
        <w:rPr>
          <w:rFonts w:cs="Arial"/>
          <w:bCs/>
          <w:iCs/>
          <w:sz w:val="22"/>
        </w:rPr>
        <w:t xml:space="preserve"> </w:t>
      </w:r>
      <w:r w:rsidR="003A402F">
        <w:rPr>
          <w:rFonts w:cs="Arial"/>
          <w:bCs/>
          <w:iCs/>
          <w:sz w:val="22"/>
        </w:rPr>
        <w:t>distinct cultural right</w:t>
      </w:r>
      <w:r w:rsidR="00D072ED">
        <w:rPr>
          <w:rFonts w:cs="Arial"/>
          <w:bCs/>
          <w:iCs/>
          <w:sz w:val="22"/>
        </w:rPr>
        <w:t>s</w:t>
      </w:r>
      <w:r w:rsidR="003A402F">
        <w:rPr>
          <w:rFonts w:cs="Arial"/>
          <w:bCs/>
          <w:iCs/>
          <w:sz w:val="22"/>
        </w:rPr>
        <w:t xml:space="preserve"> </w:t>
      </w:r>
      <w:r w:rsidR="00B90D9B">
        <w:rPr>
          <w:rFonts w:cs="Arial"/>
          <w:bCs/>
          <w:iCs/>
          <w:sz w:val="22"/>
        </w:rPr>
        <w:t>of</w:t>
      </w:r>
      <w:r w:rsidR="003A402F">
        <w:rPr>
          <w:rFonts w:cs="Arial"/>
          <w:bCs/>
          <w:iCs/>
          <w:sz w:val="22"/>
        </w:rPr>
        <w:t xml:space="preserve"> </w:t>
      </w:r>
      <w:r w:rsidR="009727B9">
        <w:rPr>
          <w:rFonts w:cs="Arial"/>
          <w:bCs/>
          <w:iCs/>
          <w:sz w:val="22"/>
        </w:rPr>
        <w:t>First Nations</w:t>
      </w:r>
      <w:r w:rsidR="003A402F">
        <w:rPr>
          <w:rFonts w:cs="Arial"/>
          <w:bCs/>
          <w:iCs/>
          <w:sz w:val="22"/>
        </w:rPr>
        <w:t xml:space="preserve"> people</w:t>
      </w:r>
      <w:r w:rsidR="00C73EB6">
        <w:rPr>
          <w:rFonts w:cs="Arial"/>
          <w:bCs/>
          <w:iCs/>
          <w:sz w:val="22"/>
        </w:rPr>
        <w:t>s</w:t>
      </w:r>
      <w:r w:rsidR="003A402F">
        <w:rPr>
          <w:rFonts w:cs="Arial"/>
          <w:bCs/>
          <w:iCs/>
          <w:sz w:val="22"/>
        </w:rPr>
        <w:t>.</w:t>
      </w:r>
      <w:r w:rsidR="00AC6A0D">
        <w:rPr>
          <w:rFonts w:cs="Arial"/>
          <w:bCs/>
          <w:iCs/>
          <w:sz w:val="22"/>
        </w:rPr>
        <w:t xml:space="preserve"> This </w:t>
      </w:r>
      <w:r w:rsidR="00825AAF">
        <w:rPr>
          <w:rFonts w:cs="Arial"/>
          <w:bCs/>
          <w:iCs/>
          <w:sz w:val="22"/>
        </w:rPr>
        <w:t xml:space="preserve">includes </w:t>
      </w:r>
      <w:r w:rsidR="00B90D9B">
        <w:rPr>
          <w:rFonts w:cs="Arial"/>
          <w:bCs/>
          <w:iCs/>
          <w:sz w:val="22"/>
        </w:rPr>
        <w:t>a</w:t>
      </w:r>
      <w:r w:rsidR="00825AAF">
        <w:rPr>
          <w:rFonts w:cs="Arial"/>
          <w:bCs/>
          <w:iCs/>
          <w:sz w:val="22"/>
        </w:rPr>
        <w:t xml:space="preserve"> right for</w:t>
      </w:r>
      <w:r w:rsidR="003D5101">
        <w:rPr>
          <w:rFonts w:cs="Arial"/>
          <w:bCs/>
          <w:iCs/>
          <w:sz w:val="22"/>
        </w:rPr>
        <w:t xml:space="preserve"> members of </w:t>
      </w:r>
      <w:r w:rsidR="009727B9">
        <w:rPr>
          <w:rFonts w:cs="Arial"/>
          <w:bCs/>
          <w:iCs/>
          <w:sz w:val="22"/>
        </w:rPr>
        <w:t xml:space="preserve">First Nations </w:t>
      </w:r>
      <w:r w:rsidR="003D5101">
        <w:rPr>
          <w:rFonts w:cs="Arial"/>
          <w:bCs/>
          <w:iCs/>
          <w:sz w:val="22"/>
        </w:rPr>
        <w:t>communit</w:t>
      </w:r>
      <w:r w:rsidR="00825AAF">
        <w:rPr>
          <w:rFonts w:cs="Arial"/>
          <w:bCs/>
          <w:iCs/>
          <w:sz w:val="22"/>
        </w:rPr>
        <w:t>ies</w:t>
      </w:r>
      <w:r w:rsidR="00AC6A0D">
        <w:rPr>
          <w:rFonts w:cs="Arial"/>
          <w:bCs/>
          <w:iCs/>
          <w:sz w:val="22"/>
        </w:rPr>
        <w:t xml:space="preserve"> </w:t>
      </w:r>
      <w:r w:rsidR="003D5101" w:rsidRPr="003D5101">
        <w:rPr>
          <w:rFonts w:cs="Arial"/>
          <w:bCs/>
          <w:iCs/>
          <w:sz w:val="22"/>
        </w:rPr>
        <w:t>to enjoy, maintain, control, protect</w:t>
      </w:r>
      <w:r w:rsidR="003A2143">
        <w:rPr>
          <w:rFonts w:cs="Arial"/>
          <w:bCs/>
          <w:iCs/>
          <w:sz w:val="22"/>
        </w:rPr>
        <w:t>,</w:t>
      </w:r>
      <w:r w:rsidR="003D5101" w:rsidRPr="003D5101">
        <w:rPr>
          <w:rFonts w:cs="Arial"/>
          <w:bCs/>
          <w:iCs/>
          <w:sz w:val="22"/>
        </w:rPr>
        <w:t xml:space="preserve"> and develop their kinship ties</w:t>
      </w:r>
      <w:r w:rsidR="00825AAF">
        <w:rPr>
          <w:rFonts w:cs="Arial"/>
          <w:bCs/>
          <w:iCs/>
          <w:sz w:val="22"/>
        </w:rPr>
        <w:t>.</w:t>
      </w:r>
      <w:r w:rsidR="00825AAF" w:rsidRPr="0000262A">
        <w:rPr>
          <w:rStyle w:val="FootnoteReference"/>
          <w:rFonts w:cs="Arial"/>
          <w:bCs/>
          <w:iCs/>
          <w:sz w:val="22"/>
        </w:rPr>
        <w:footnoteReference w:id="13"/>
      </w:r>
      <w:r w:rsidR="00825AAF">
        <w:rPr>
          <w:rFonts w:cs="Arial"/>
          <w:bCs/>
          <w:iCs/>
          <w:sz w:val="22"/>
        </w:rPr>
        <w:t xml:space="preserve"> </w:t>
      </w:r>
    </w:p>
    <w:p w14:paraId="3DEFB964" w14:textId="48F331EF" w:rsidR="009334C7" w:rsidRPr="0000262A" w:rsidRDefault="00926014" w:rsidP="00466B28">
      <w:pPr>
        <w:rPr>
          <w:rFonts w:cs="Arial"/>
          <w:bCs/>
          <w:iCs/>
          <w:sz w:val="22"/>
        </w:rPr>
      </w:pPr>
      <w:r>
        <w:rPr>
          <w:rFonts w:cs="Arial"/>
          <w:bCs/>
          <w:iCs/>
          <w:sz w:val="22"/>
        </w:rPr>
        <w:t xml:space="preserve">Relevant to the scope of the Review, </w:t>
      </w:r>
      <w:r w:rsidR="009727B9">
        <w:rPr>
          <w:rFonts w:cs="Arial"/>
          <w:bCs/>
          <w:iCs/>
          <w:sz w:val="22"/>
        </w:rPr>
        <w:t xml:space="preserve">First Nations </w:t>
      </w:r>
      <w:r w:rsidR="00A331D4" w:rsidRPr="0000262A">
        <w:rPr>
          <w:rFonts w:cs="Arial"/>
          <w:bCs/>
          <w:iCs/>
          <w:sz w:val="22"/>
        </w:rPr>
        <w:t>children</w:t>
      </w:r>
      <w:r w:rsidR="00AC6A0D">
        <w:rPr>
          <w:rFonts w:cs="Arial"/>
          <w:bCs/>
          <w:iCs/>
          <w:sz w:val="22"/>
        </w:rPr>
        <w:t xml:space="preserve"> </w:t>
      </w:r>
      <w:r w:rsidR="00345283">
        <w:rPr>
          <w:rFonts w:cs="Arial"/>
          <w:bCs/>
          <w:iCs/>
          <w:sz w:val="22"/>
        </w:rPr>
        <w:t xml:space="preserve">must </w:t>
      </w:r>
      <w:r w:rsidR="005D6D94">
        <w:rPr>
          <w:rFonts w:cs="Arial"/>
          <w:bCs/>
          <w:iCs/>
          <w:sz w:val="22"/>
        </w:rPr>
        <w:t>be</w:t>
      </w:r>
      <w:r w:rsidR="00A331D4" w:rsidRPr="0000262A">
        <w:rPr>
          <w:rFonts w:cs="Arial"/>
          <w:bCs/>
          <w:iCs/>
          <w:sz w:val="22"/>
        </w:rPr>
        <w:t xml:space="preserve"> supported to maintain cultural and kinship connections</w:t>
      </w:r>
      <w:r w:rsidR="002A3F50" w:rsidRPr="0000262A">
        <w:rPr>
          <w:rFonts w:cs="Arial"/>
          <w:bCs/>
          <w:iCs/>
          <w:sz w:val="22"/>
        </w:rPr>
        <w:t xml:space="preserve"> </w:t>
      </w:r>
      <w:r w:rsidR="00AC6A0D">
        <w:rPr>
          <w:rFonts w:cs="Arial"/>
          <w:bCs/>
          <w:iCs/>
          <w:sz w:val="22"/>
        </w:rPr>
        <w:t>through</w:t>
      </w:r>
      <w:r w:rsidR="002A3F50" w:rsidRPr="0000262A">
        <w:rPr>
          <w:rFonts w:cs="Arial"/>
          <w:bCs/>
          <w:iCs/>
          <w:sz w:val="22"/>
        </w:rPr>
        <w:t xml:space="preserve"> early childhood education and care, police and </w:t>
      </w:r>
      <w:r w:rsidR="008C4F5D">
        <w:rPr>
          <w:rFonts w:cs="Arial"/>
          <w:bCs/>
          <w:iCs/>
          <w:sz w:val="22"/>
        </w:rPr>
        <w:t>blue card</w:t>
      </w:r>
      <w:r w:rsidR="002A3F50" w:rsidRPr="0000262A">
        <w:rPr>
          <w:rFonts w:cs="Arial"/>
          <w:bCs/>
          <w:iCs/>
          <w:sz w:val="22"/>
        </w:rPr>
        <w:t xml:space="preserve"> systems.</w:t>
      </w:r>
    </w:p>
    <w:p w14:paraId="7081FE6E" w14:textId="65CC1040" w:rsidR="003F243F" w:rsidRPr="0000262A" w:rsidRDefault="005C5630" w:rsidP="003F243F">
      <w:pPr>
        <w:rPr>
          <w:rFonts w:cs="Arial"/>
          <w:bCs/>
          <w:iCs/>
          <w:sz w:val="22"/>
          <w:u w:val="single"/>
        </w:rPr>
      </w:pPr>
      <w:r w:rsidRPr="0000262A">
        <w:rPr>
          <w:rFonts w:cs="Arial"/>
          <w:bCs/>
          <w:iCs/>
          <w:sz w:val="22"/>
          <w:u w:val="single"/>
        </w:rPr>
        <w:t>Impact of child sexual abuse on children’s human rights</w:t>
      </w:r>
    </w:p>
    <w:p w14:paraId="2C61A8A4" w14:textId="29F99F81" w:rsidR="00C9175D" w:rsidRPr="0000262A" w:rsidRDefault="00C9175D" w:rsidP="00C9175D">
      <w:pPr>
        <w:rPr>
          <w:rFonts w:cs="Arial"/>
          <w:sz w:val="22"/>
        </w:rPr>
      </w:pPr>
      <w:r w:rsidRPr="0000262A">
        <w:rPr>
          <w:rFonts w:cs="Arial"/>
          <w:sz w:val="22"/>
        </w:rPr>
        <w:t xml:space="preserve">The </w:t>
      </w:r>
      <w:r w:rsidR="00EF754E" w:rsidRPr="0000262A">
        <w:rPr>
          <w:rFonts w:cs="Arial"/>
          <w:sz w:val="22"/>
        </w:rPr>
        <w:t>devastating</w:t>
      </w:r>
      <w:r w:rsidR="00A57F37" w:rsidRPr="0000262A">
        <w:rPr>
          <w:rFonts w:cs="Arial"/>
          <w:sz w:val="22"/>
        </w:rPr>
        <w:t xml:space="preserve"> and lasting</w:t>
      </w:r>
      <w:r w:rsidR="00CB4F85" w:rsidRPr="0000262A">
        <w:rPr>
          <w:rFonts w:cs="Arial"/>
          <w:sz w:val="22"/>
        </w:rPr>
        <w:t xml:space="preserve"> </w:t>
      </w:r>
      <w:r w:rsidRPr="0000262A">
        <w:rPr>
          <w:rFonts w:cs="Arial"/>
          <w:sz w:val="22"/>
        </w:rPr>
        <w:t>impact</w:t>
      </w:r>
      <w:r w:rsidR="00EF754E" w:rsidRPr="0000262A">
        <w:rPr>
          <w:rFonts w:cs="Arial"/>
          <w:sz w:val="22"/>
        </w:rPr>
        <w:t>s</w:t>
      </w:r>
      <w:r w:rsidRPr="0000262A">
        <w:rPr>
          <w:rFonts w:cs="Arial"/>
          <w:sz w:val="22"/>
        </w:rPr>
        <w:t xml:space="preserve"> of child sexual abuse </w:t>
      </w:r>
      <w:r w:rsidR="00A57F37" w:rsidRPr="0000262A">
        <w:rPr>
          <w:rFonts w:cs="Arial"/>
          <w:sz w:val="22"/>
        </w:rPr>
        <w:t>are</w:t>
      </w:r>
      <w:r w:rsidRPr="0000262A">
        <w:rPr>
          <w:rFonts w:cs="Arial"/>
          <w:sz w:val="22"/>
        </w:rPr>
        <w:t xml:space="preserve"> well documente</w:t>
      </w:r>
      <w:r w:rsidR="0013225A" w:rsidRPr="0000262A">
        <w:rPr>
          <w:rFonts w:cs="Arial"/>
          <w:sz w:val="22"/>
        </w:rPr>
        <w:t>d.</w:t>
      </w:r>
    </w:p>
    <w:p w14:paraId="3D9B9D81" w14:textId="4F6F66EA" w:rsidR="003946E7" w:rsidRPr="0000262A" w:rsidRDefault="004E265F" w:rsidP="00C9175D">
      <w:pPr>
        <w:rPr>
          <w:rFonts w:cs="Arial"/>
          <w:sz w:val="22"/>
        </w:rPr>
      </w:pPr>
      <w:r w:rsidRPr="0000262A">
        <w:rPr>
          <w:rFonts w:cs="Arial"/>
          <w:sz w:val="22"/>
        </w:rPr>
        <w:t xml:space="preserve">A </w:t>
      </w:r>
      <w:r w:rsidR="0054122F" w:rsidRPr="0000262A">
        <w:rPr>
          <w:rFonts w:cs="Arial"/>
          <w:sz w:val="22"/>
        </w:rPr>
        <w:t>recent</w:t>
      </w:r>
      <w:r w:rsidRPr="0000262A">
        <w:rPr>
          <w:rFonts w:cs="Arial"/>
          <w:sz w:val="22"/>
        </w:rPr>
        <w:t xml:space="preserve"> study </w:t>
      </w:r>
      <w:r w:rsidR="00C11CA8" w:rsidRPr="0000262A">
        <w:rPr>
          <w:rFonts w:cs="Arial"/>
          <w:sz w:val="22"/>
        </w:rPr>
        <w:t>o</w:t>
      </w:r>
      <w:r w:rsidR="004649C0" w:rsidRPr="0000262A">
        <w:rPr>
          <w:rFonts w:cs="Arial"/>
          <w:sz w:val="22"/>
        </w:rPr>
        <w:t>n</w:t>
      </w:r>
      <w:r w:rsidRPr="0000262A">
        <w:rPr>
          <w:rFonts w:cs="Arial"/>
          <w:sz w:val="22"/>
        </w:rPr>
        <w:t xml:space="preserve"> the prevalence and impact of child maltreatment </w:t>
      </w:r>
      <w:r w:rsidR="0064485E" w:rsidRPr="0000262A">
        <w:rPr>
          <w:rFonts w:cs="Arial"/>
          <w:sz w:val="22"/>
        </w:rPr>
        <w:t>highlight</w:t>
      </w:r>
      <w:r w:rsidR="00F44524" w:rsidRPr="0000262A">
        <w:rPr>
          <w:rFonts w:cs="Arial"/>
          <w:sz w:val="22"/>
        </w:rPr>
        <w:t>ed</w:t>
      </w:r>
      <w:r w:rsidR="0064485E" w:rsidRPr="0000262A">
        <w:rPr>
          <w:rFonts w:cs="Arial"/>
          <w:sz w:val="22"/>
        </w:rPr>
        <w:t xml:space="preserve"> that c</w:t>
      </w:r>
      <w:r w:rsidR="003946E7" w:rsidRPr="0000262A">
        <w:rPr>
          <w:rFonts w:cs="Arial"/>
          <w:sz w:val="22"/>
        </w:rPr>
        <w:t>hild maltreatment</w:t>
      </w:r>
      <w:r w:rsidR="0054122F" w:rsidRPr="0000262A">
        <w:rPr>
          <w:rFonts w:cs="Arial"/>
          <w:sz w:val="22"/>
        </w:rPr>
        <w:t>,</w:t>
      </w:r>
      <w:r w:rsidR="0064485E" w:rsidRPr="0000262A">
        <w:rPr>
          <w:rFonts w:cs="Arial"/>
          <w:sz w:val="22"/>
        </w:rPr>
        <w:t xml:space="preserve"> </w:t>
      </w:r>
      <w:r w:rsidR="004649C0" w:rsidRPr="0000262A">
        <w:rPr>
          <w:rFonts w:cs="Arial"/>
          <w:sz w:val="22"/>
        </w:rPr>
        <w:t>including</w:t>
      </w:r>
      <w:r w:rsidR="0064485E" w:rsidRPr="0000262A">
        <w:rPr>
          <w:rFonts w:cs="Arial"/>
          <w:sz w:val="22"/>
        </w:rPr>
        <w:t xml:space="preserve"> </w:t>
      </w:r>
      <w:r w:rsidR="003946E7" w:rsidRPr="0000262A">
        <w:rPr>
          <w:rFonts w:cs="Arial"/>
          <w:sz w:val="22"/>
        </w:rPr>
        <w:t>sexual abuse</w:t>
      </w:r>
      <w:r w:rsidR="0054122F" w:rsidRPr="0000262A">
        <w:rPr>
          <w:rFonts w:cs="Arial"/>
          <w:sz w:val="22"/>
        </w:rPr>
        <w:t>,</w:t>
      </w:r>
      <w:r w:rsidR="003946E7" w:rsidRPr="0000262A">
        <w:rPr>
          <w:rFonts w:cs="Arial"/>
          <w:sz w:val="22"/>
        </w:rPr>
        <w:t xml:space="preserve"> is associated with severe mental, physical and behavioural harms, both in childhood and through</w:t>
      </w:r>
      <w:r w:rsidR="00CB4F85" w:rsidRPr="0000262A">
        <w:rPr>
          <w:rFonts w:cs="Arial"/>
          <w:sz w:val="22"/>
        </w:rPr>
        <w:t>out</w:t>
      </w:r>
      <w:r w:rsidR="003946E7" w:rsidRPr="0000262A">
        <w:rPr>
          <w:rFonts w:cs="Arial"/>
          <w:sz w:val="22"/>
        </w:rPr>
        <w:t xml:space="preserve"> </w:t>
      </w:r>
      <w:r w:rsidR="00CB4F85" w:rsidRPr="0000262A">
        <w:rPr>
          <w:rFonts w:cs="Arial"/>
          <w:sz w:val="22"/>
        </w:rPr>
        <w:t>adulthood</w:t>
      </w:r>
      <w:r w:rsidR="003946E7" w:rsidRPr="0000262A">
        <w:rPr>
          <w:rFonts w:cs="Arial"/>
          <w:sz w:val="22"/>
        </w:rPr>
        <w:t>.</w:t>
      </w:r>
      <w:r w:rsidR="008B202C" w:rsidRPr="0000262A">
        <w:rPr>
          <w:rFonts w:cs="Arial"/>
          <w:sz w:val="22"/>
        </w:rPr>
        <w:t xml:space="preserve"> </w:t>
      </w:r>
      <w:r w:rsidR="00A52243" w:rsidRPr="0000262A">
        <w:rPr>
          <w:rFonts w:cs="Arial"/>
          <w:sz w:val="22"/>
        </w:rPr>
        <w:t xml:space="preserve">The study </w:t>
      </w:r>
      <w:r w:rsidR="00A73F9A" w:rsidRPr="0000262A">
        <w:rPr>
          <w:rFonts w:cs="Arial"/>
          <w:sz w:val="22"/>
        </w:rPr>
        <w:t>found</w:t>
      </w:r>
      <w:r w:rsidR="00A52243" w:rsidRPr="0000262A">
        <w:rPr>
          <w:rFonts w:cs="Arial"/>
          <w:sz w:val="22"/>
        </w:rPr>
        <w:t>:</w:t>
      </w:r>
    </w:p>
    <w:p w14:paraId="6D301707" w14:textId="1F3D7254" w:rsidR="00D10773" w:rsidRPr="0000262A" w:rsidRDefault="00D10773" w:rsidP="00D10773">
      <w:pPr>
        <w:numPr>
          <w:ilvl w:val="0"/>
          <w:numId w:val="28"/>
        </w:numPr>
        <w:rPr>
          <w:rFonts w:cs="Arial"/>
          <w:bCs/>
          <w:iCs/>
          <w:sz w:val="22"/>
        </w:rPr>
      </w:pPr>
      <w:r w:rsidRPr="0000262A">
        <w:rPr>
          <w:rFonts w:cs="Arial"/>
          <w:bCs/>
          <w:iCs/>
          <w:sz w:val="22"/>
        </w:rPr>
        <w:t xml:space="preserve">associations between child maltreatment and mental health disorders </w:t>
      </w:r>
      <w:r w:rsidR="00DC716A" w:rsidRPr="0000262A">
        <w:rPr>
          <w:rFonts w:cs="Arial"/>
          <w:bCs/>
          <w:iCs/>
          <w:sz w:val="22"/>
        </w:rPr>
        <w:t xml:space="preserve">including </w:t>
      </w:r>
      <w:r w:rsidRPr="0000262A">
        <w:rPr>
          <w:rFonts w:cs="Arial"/>
          <w:bCs/>
          <w:iCs/>
          <w:sz w:val="22"/>
        </w:rPr>
        <w:t>major depressive disorder, generalised anxiety disorder, post-traumatic stress disorder</w:t>
      </w:r>
      <w:r w:rsidR="00DC716A" w:rsidRPr="0000262A">
        <w:rPr>
          <w:rFonts w:cs="Arial"/>
          <w:bCs/>
          <w:iCs/>
          <w:sz w:val="22"/>
        </w:rPr>
        <w:t xml:space="preserve"> and</w:t>
      </w:r>
      <w:r w:rsidRPr="0000262A">
        <w:rPr>
          <w:rFonts w:cs="Arial"/>
          <w:bCs/>
          <w:iCs/>
          <w:sz w:val="22"/>
        </w:rPr>
        <w:t xml:space="preserve"> alcohol use disorder</w:t>
      </w:r>
      <w:r w:rsidR="00CF7650" w:rsidRPr="0000262A">
        <w:rPr>
          <w:rFonts w:cs="Arial"/>
          <w:bCs/>
          <w:iCs/>
          <w:sz w:val="22"/>
        </w:rPr>
        <w:t>;</w:t>
      </w:r>
    </w:p>
    <w:p w14:paraId="68F0583C" w14:textId="4BFD0F4F" w:rsidR="00D10773" w:rsidRPr="0000262A" w:rsidRDefault="00D10773" w:rsidP="00D10773">
      <w:pPr>
        <w:numPr>
          <w:ilvl w:val="0"/>
          <w:numId w:val="28"/>
        </w:numPr>
        <w:rPr>
          <w:rFonts w:cs="Arial"/>
          <w:bCs/>
          <w:iCs/>
          <w:sz w:val="22"/>
        </w:rPr>
      </w:pPr>
      <w:r w:rsidRPr="0000262A">
        <w:rPr>
          <w:rFonts w:cs="Arial"/>
          <w:bCs/>
          <w:iCs/>
          <w:sz w:val="22"/>
        </w:rPr>
        <w:t>associations between child maltreatment and health risk behaviours including suicide and self-harm, binge drinking, cannabis dependence, obesity and smoking</w:t>
      </w:r>
      <w:r w:rsidR="00CF7650" w:rsidRPr="0000262A">
        <w:rPr>
          <w:rFonts w:cs="Arial"/>
          <w:bCs/>
          <w:iCs/>
          <w:sz w:val="22"/>
        </w:rPr>
        <w:t>; and</w:t>
      </w:r>
    </w:p>
    <w:p w14:paraId="6775D6D4" w14:textId="59E59EF0" w:rsidR="00D10773" w:rsidRPr="0000262A" w:rsidRDefault="00D10773" w:rsidP="00D10773">
      <w:pPr>
        <w:numPr>
          <w:ilvl w:val="0"/>
          <w:numId w:val="28"/>
        </w:numPr>
        <w:rPr>
          <w:rFonts w:cs="Arial"/>
          <w:sz w:val="22"/>
        </w:rPr>
      </w:pPr>
      <w:r w:rsidRPr="0000262A">
        <w:rPr>
          <w:rFonts w:cs="Arial"/>
          <w:bCs/>
          <w:iCs/>
          <w:sz w:val="22"/>
        </w:rPr>
        <w:t>associations between</w:t>
      </w:r>
      <w:r w:rsidRPr="0000262A">
        <w:rPr>
          <w:rFonts w:cs="Arial"/>
          <w:sz w:val="22"/>
        </w:rPr>
        <w:t xml:space="preserve"> child maltreatment and health service use.</w:t>
      </w:r>
      <w:r w:rsidR="00CB4F85" w:rsidRPr="0000262A">
        <w:rPr>
          <w:rStyle w:val="FootnoteReference"/>
          <w:rFonts w:cs="Arial"/>
          <w:sz w:val="22"/>
        </w:rPr>
        <w:footnoteReference w:id="14"/>
      </w:r>
    </w:p>
    <w:p w14:paraId="4118871F" w14:textId="6893FB95" w:rsidR="00DD65E3" w:rsidRDefault="00724EBA" w:rsidP="00717E8A">
      <w:pPr>
        <w:rPr>
          <w:rFonts w:cs="Arial"/>
          <w:b/>
          <w:bCs/>
          <w:sz w:val="22"/>
        </w:rPr>
      </w:pPr>
      <w:r w:rsidRPr="0000262A">
        <w:rPr>
          <w:rFonts w:cs="Arial"/>
          <w:sz w:val="22"/>
        </w:rPr>
        <w:t xml:space="preserve">When systems to prevent child sexual abuse fail, such as through </w:t>
      </w:r>
      <w:r w:rsidR="00026278" w:rsidRPr="0000262A">
        <w:rPr>
          <w:rFonts w:cs="Arial"/>
          <w:sz w:val="22"/>
        </w:rPr>
        <w:t>poor safeguarding</w:t>
      </w:r>
      <w:r w:rsidR="00026278">
        <w:rPr>
          <w:rFonts w:cs="Arial"/>
          <w:sz w:val="22"/>
        </w:rPr>
        <w:t>,</w:t>
      </w:r>
      <w:r w:rsidR="00026278" w:rsidRPr="0000262A">
        <w:rPr>
          <w:rFonts w:cs="Arial"/>
          <w:sz w:val="22"/>
        </w:rPr>
        <w:t xml:space="preserve"> </w:t>
      </w:r>
      <w:r w:rsidRPr="0000262A">
        <w:rPr>
          <w:rFonts w:cs="Arial"/>
          <w:sz w:val="22"/>
        </w:rPr>
        <w:t xml:space="preserve">underreporting, or inadequate responses, </w:t>
      </w:r>
      <w:r w:rsidR="00FD26F6" w:rsidRPr="0000262A">
        <w:rPr>
          <w:rFonts w:cs="Arial"/>
          <w:sz w:val="22"/>
        </w:rPr>
        <w:t>the rights of children are</w:t>
      </w:r>
      <w:r w:rsidRPr="0000262A">
        <w:rPr>
          <w:rFonts w:cs="Arial"/>
          <w:sz w:val="22"/>
        </w:rPr>
        <w:t xml:space="preserve"> </w:t>
      </w:r>
      <w:r w:rsidR="006D2ECD">
        <w:rPr>
          <w:rFonts w:cs="Arial"/>
          <w:sz w:val="22"/>
        </w:rPr>
        <w:t>profoundly limited</w:t>
      </w:r>
      <w:r w:rsidRPr="0000262A">
        <w:rPr>
          <w:rFonts w:cs="Arial"/>
          <w:sz w:val="22"/>
        </w:rPr>
        <w:t xml:space="preserve">. </w:t>
      </w:r>
    </w:p>
    <w:p w14:paraId="1317A9E2" w14:textId="77777777" w:rsidR="00DA6E8C" w:rsidRPr="00DA6E8C" w:rsidRDefault="00DA6E8C" w:rsidP="00DA6E8C">
      <w:pPr>
        <w:rPr>
          <w:rFonts w:cs="Arial"/>
          <w:sz w:val="22"/>
          <w:u w:val="single"/>
        </w:rPr>
      </w:pPr>
      <w:r w:rsidRPr="00DA6E8C">
        <w:rPr>
          <w:rFonts w:cs="Arial"/>
          <w:sz w:val="22"/>
          <w:u w:val="single"/>
        </w:rPr>
        <w:t>Public entities are obliged to protect children’s rights</w:t>
      </w:r>
    </w:p>
    <w:p w14:paraId="0F5D8DDA" w14:textId="59921160" w:rsidR="00DA6E8C" w:rsidRPr="00DA6E8C" w:rsidRDefault="00DA6E8C" w:rsidP="00717E8A">
      <w:pPr>
        <w:rPr>
          <w:rFonts w:cs="Arial"/>
          <w:sz w:val="22"/>
        </w:rPr>
      </w:pPr>
      <w:r w:rsidRPr="00103FB0">
        <w:rPr>
          <w:rFonts w:cs="Arial"/>
          <w:sz w:val="22"/>
        </w:rPr>
        <w:t>The Human Rights Act requires public entities to properly consider human rights when making decisions and to make decisions compatibility with human rights.</w:t>
      </w:r>
      <w:r w:rsidRPr="00103FB0">
        <w:rPr>
          <w:rFonts w:cs="Arial"/>
          <w:sz w:val="22"/>
          <w:vertAlign w:val="superscript"/>
        </w:rPr>
        <w:footnoteReference w:id="15"/>
      </w:r>
      <w:r w:rsidRPr="00103FB0">
        <w:rPr>
          <w:rFonts w:cs="Arial"/>
          <w:sz w:val="22"/>
        </w:rPr>
        <w:t xml:space="preserve"> This means public entities including relevant Queensland Government departments and frontline agencies must act to proactively protect children against sexual abuse and, when required, respond with trauma-informed, appropriate and systemic measures.</w:t>
      </w:r>
    </w:p>
    <w:p w14:paraId="1FC8FFAB" w14:textId="36BDC186" w:rsidR="00D02E95" w:rsidRPr="0000262A" w:rsidRDefault="0032014D" w:rsidP="00717E8A">
      <w:pPr>
        <w:rPr>
          <w:rFonts w:cs="Arial"/>
          <w:b/>
          <w:bCs/>
          <w:sz w:val="22"/>
        </w:rPr>
      </w:pPr>
      <w:r>
        <w:rPr>
          <w:rFonts w:cs="Arial"/>
          <w:b/>
          <w:bCs/>
          <w:sz w:val="22"/>
        </w:rPr>
        <w:t xml:space="preserve">Blue card system reforms </w:t>
      </w:r>
      <w:r w:rsidR="000A65A7">
        <w:rPr>
          <w:rFonts w:cs="Arial"/>
          <w:b/>
          <w:bCs/>
          <w:sz w:val="22"/>
        </w:rPr>
        <w:t xml:space="preserve">must </w:t>
      </w:r>
      <w:r>
        <w:rPr>
          <w:rFonts w:cs="Arial"/>
          <w:b/>
          <w:bCs/>
          <w:sz w:val="22"/>
        </w:rPr>
        <w:t xml:space="preserve">be evidence-based, rights-respecting and proportionate </w:t>
      </w:r>
    </w:p>
    <w:p w14:paraId="6F8EA985" w14:textId="42D2916C" w:rsidR="00F82AA6" w:rsidRDefault="00765009" w:rsidP="00121024">
      <w:pPr>
        <w:pStyle w:val="Numberedparagraph"/>
        <w:numPr>
          <w:ilvl w:val="0"/>
          <w:numId w:val="0"/>
        </w:numPr>
      </w:pPr>
      <w:r>
        <w:rPr>
          <w:szCs w:val="22"/>
        </w:rPr>
        <w:lastRenderedPageBreak/>
        <w:t>Working with children checks (</w:t>
      </w:r>
      <w:r w:rsidRPr="00765009">
        <w:rPr>
          <w:b/>
          <w:bCs/>
          <w:szCs w:val="22"/>
        </w:rPr>
        <w:t>b</w:t>
      </w:r>
      <w:r w:rsidR="004D2333" w:rsidRPr="00765009">
        <w:rPr>
          <w:b/>
          <w:bCs/>
          <w:szCs w:val="22"/>
        </w:rPr>
        <w:t xml:space="preserve">lue </w:t>
      </w:r>
      <w:r w:rsidRPr="00765009">
        <w:rPr>
          <w:b/>
          <w:bCs/>
          <w:szCs w:val="22"/>
        </w:rPr>
        <w:t>c</w:t>
      </w:r>
      <w:r w:rsidR="004D2333" w:rsidRPr="00765009">
        <w:rPr>
          <w:b/>
          <w:bCs/>
          <w:szCs w:val="22"/>
        </w:rPr>
        <w:t>ards</w:t>
      </w:r>
      <w:r>
        <w:rPr>
          <w:szCs w:val="22"/>
        </w:rPr>
        <w:t>)</w:t>
      </w:r>
      <w:r w:rsidR="004D2333" w:rsidRPr="0000262A">
        <w:rPr>
          <w:szCs w:val="22"/>
        </w:rPr>
        <w:t xml:space="preserve"> are</w:t>
      </w:r>
      <w:r w:rsidR="00AE2384" w:rsidRPr="0000262A">
        <w:rPr>
          <w:szCs w:val="22"/>
        </w:rPr>
        <w:t xml:space="preserve"> an important </w:t>
      </w:r>
      <w:r w:rsidR="0001102C">
        <w:rPr>
          <w:szCs w:val="22"/>
        </w:rPr>
        <w:t>component</w:t>
      </w:r>
      <w:r w:rsidR="0001102C" w:rsidRPr="0000262A">
        <w:rPr>
          <w:szCs w:val="22"/>
        </w:rPr>
        <w:t xml:space="preserve"> </w:t>
      </w:r>
      <w:r w:rsidR="004D2333" w:rsidRPr="0000262A">
        <w:rPr>
          <w:szCs w:val="22"/>
        </w:rPr>
        <w:t>of</w:t>
      </w:r>
      <w:r w:rsidR="006A74DB" w:rsidRPr="0000262A">
        <w:rPr>
          <w:szCs w:val="22"/>
        </w:rPr>
        <w:t xml:space="preserve"> </w:t>
      </w:r>
      <w:r w:rsidR="00AE2384" w:rsidRPr="0000262A">
        <w:rPr>
          <w:szCs w:val="22"/>
        </w:rPr>
        <w:t xml:space="preserve">Queensland’s </w:t>
      </w:r>
      <w:r w:rsidR="000106FA" w:rsidRPr="0000262A">
        <w:rPr>
          <w:szCs w:val="22"/>
        </w:rPr>
        <w:t>child safety system</w:t>
      </w:r>
      <w:r w:rsidR="005D157C">
        <w:rPr>
          <w:szCs w:val="22"/>
        </w:rPr>
        <w:t xml:space="preserve"> and </w:t>
      </w:r>
      <w:r w:rsidR="00F357B5">
        <w:rPr>
          <w:szCs w:val="22"/>
        </w:rPr>
        <w:t>assist to protect children’s human rights</w:t>
      </w:r>
      <w:r w:rsidR="00AE2384" w:rsidRPr="0000262A">
        <w:rPr>
          <w:szCs w:val="22"/>
        </w:rPr>
        <w:t xml:space="preserve">. </w:t>
      </w:r>
      <w:r w:rsidR="00CB77A1" w:rsidRPr="0000262A">
        <w:rPr>
          <w:szCs w:val="22"/>
        </w:rPr>
        <w:t xml:space="preserve">The Commission supports the Board </w:t>
      </w:r>
      <w:r w:rsidR="00A76D29">
        <w:rPr>
          <w:szCs w:val="22"/>
        </w:rPr>
        <w:t xml:space="preserve">to </w:t>
      </w:r>
      <w:r w:rsidR="00CB77A1" w:rsidRPr="0000262A">
        <w:rPr>
          <w:szCs w:val="22"/>
        </w:rPr>
        <w:t>mak</w:t>
      </w:r>
      <w:r w:rsidR="00A76D29">
        <w:rPr>
          <w:szCs w:val="22"/>
        </w:rPr>
        <w:t>e</w:t>
      </w:r>
      <w:r w:rsidR="00CB77A1" w:rsidRPr="0000262A">
        <w:rPr>
          <w:szCs w:val="22"/>
        </w:rPr>
        <w:t xml:space="preserve"> recommendations for necessary improvements to strengthen the </w:t>
      </w:r>
      <w:r w:rsidR="00EC77D6">
        <w:rPr>
          <w:szCs w:val="22"/>
        </w:rPr>
        <w:t>b</w:t>
      </w:r>
      <w:r w:rsidR="00C95968" w:rsidRPr="0000262A">
        <w:rPr>
          <w:szCs w:val="22"/>
        </w:rPr>
        <w:t xml:space="preserve">lue </w:t>
      </w:r>
      <w:r w:rsidR="00EC77D6">
        <w:rPr>
          <w:szCs w:val="22"/>
        </w:rPr>
        <w:t>c</w:t>
      </w:r>
      <w:r w:rsidR="00C95968" w:rsidRPr="0000262A">
        <w:rPr>
          <w:szCs w:val="22"/>
        </w:rPr>
        <w:t xml:space="preserve">ard </w:t>
      </w:r>
      <w:r w:rsidR="00CB77A1" w:rsidRPr="0000262A">
        <w:rPr>
          <w:szCs w:val="22"/>
        </w:rPr>
        <w:t>system</w:t>
      </w:r>
      <w:r w:rsidR="00EC77D6">
        <w:rPr>
          <w:szCs w:val="22"/>
        </w:rPr>
        <w:t xml:space="preserve">. </w:t>
      </w:r>
      <w:r w:rsidR="008A2402">
        <w:rPr>
          <w:szCs w:val="22"/>
        </w:rPr>
        <w:t xml:space="preserve">However, </w:t>
      </w:r>
      <w:r w:rsidR="00DD0C23">
        <w:rPr>
          <w:szCs w:val="22"/>
        </w:rPr>
        <w:t xml:space="preserve">in doing so </w:t>
      </w:r>
      <w:r w:rsidR="008A2402">
        <w:rPr>
          <w:szCs w:val="22"/>
        </w:rPr>
        <w:t xml:space="preserve">it is important to acknowledge the blue card system is just one component of the child safety system, and </w:t>
      </w:r>
      <w:r w:rsidR="008A2FAB">
        <w:rPr>
          <w:szCs w:val="22"/>
        </w:rPr>
        <w:t>the protections it can provide are limited, noting</w:t>
      </w:r>
      <w:r w:rsidR="008A2FAB" w:rsidRPr="008A2FAB">
        <w:rPr>
          <w:szCs w:val="22"/>
        </w:rPr>
        <w:t xml:space="preserve"> the existing </w:t>
      </w:r>
      <w:r w:rsidR="008A2FAB">
        <w:rPr>
          <w:szCs w:val="22"/>
        </w:rPr>
        <w:t xml:space="preserve">blue card </w:t>
      </w:r>
      <w:r w:rsidR="008A2FAB" w:rsidRPr="008A2FAB">
        <w:rPr>
          <w:szCs w:val="22"/>
        </w:rPr>
        <w:t>assessment process only prevents employment where there has been a criminal charge or conviction</w:t>
      </w:r>
      <w:r w:rsidR="008A2FAB">
        <w:rPr>
          <w:szCs w:val="22"/>
        </w:rPr>
        <w:t>.</w:t>
      </w:r>
    </w:p>
    <w:p w14:paraId="3B974650" w14:textId="0AD1F726" w:rsidR="00F82AA6" w:rsidRPr="003374DD" w:rsidRDefault="00EC16C6" w:rsidP="00CB77A1">
      <w:pPr>
        <w:pStyle w:val="Numberedparagraph"/>
        <w:numPr>
          <w:ilvl w:val="0"/>
          <w:numId w:val="0"/>
        </w:numPr>
      </w:pPr>
      <w:r>
        <w:rPr>
          <w:szCs w:val="22"/>
        </w:rPr>
        <w:t>A</w:t>
      </w:r>
      <w:r w:rsidR="00C028A6">
        <w:rPr>
          <w:szCs w:val="22"/>
        </w:rPr>
        <w:t xml:space="preserve">ny recommendations made for changes to the blue card system must carefully balance the competing rights and interests of impacted parties. </w:t>
      </w:r>
      <w:r w:rsidR="003374DD" w:rsidRPr="003374DD">
        <w:t xml:space="preserve">While the safety and best interests of children </w:t>
      </w:r>
      <w:r w:rsidR="00A9118F">
        <w:t xml:space="preserve">must remain </w:t>
      </w:r>
      <w:r w:rsidR="003374DD" w:rsidRPr="003374DD">
        <w:t>paramou</w:t>
      </w:r>
      <w:r w:rsidR="00386563">
        <w:t>nt</w:t>
      </w:r>
      <w:r w:rsidR="003374DD" w:rsidRPr="003374DD">
        <w:t>, it is also important to ensure th</w:t>
      </w:r>
      <w:r w:rsidR="00386563">
        <w:t>e</w:t>
      </w:r>
      <w:r w:rsidR="003374DD" w:rsidRPr="003374DD">
        <w:t xml:space="preserve"> system does not disproportionately detriment </w:t>
      </w:r>
      <w:r w:rsidR="003374DD">
        <w:t>other groups</w:t>
      </w:r>
      <w:r w:rsidR="00832043">
        <w:t>, particularly First Nations</w:t>
      </w:r>
      <w:r w:rsidR="005857B6">
        <w:t xml:space="preserve"> persons,</w:t>
      </w:r>
      <w:r w:rsidR="003374DD">
        <w:t xml:space="preserve"> in our community</w:t>
      </w:r>
      <w:r w:rsidR="003374DD" w:rsidRPr="003374DD">
        <w:t>.</w:t>
      </w:r>
      <w:r w:rsidR="003374DD">
        <w:t xml:space="preserve"> </w:t>
      </w:r>
    </w:p>
    <w:p w14:paraId="1D4704E9" w14:textId="55258221" w:rsidR="00BD6FA2" w:rsidRDefault="00BD6FA2" w:rsidP="003374DD">
      <w:pPr>
        <w:pStyle w:val="Numberedparagraph"/>
        <w:numPr>
          <w:ilvl w:val="0"/>
          <w:numId w:val="0"/>
        </w:numPr>
      </w:pPr>
      <w:r w:rsidRPr="00C56751">
        <w:rPr>
          <w:u w:val="single"/>
        </w:rPr>
        <w:t>Blue cards – impact on human rights</w:t>
      </w:r>
    </w:p>
    <w:p w14:paraId="5A32A57F" w14:textId="1E2D33D4" w:rsidR="00F31C32" w:rsidRPr="00B47E67" w:rsidRDefault="00A73817" w:rsidP="00C56751">
      <w:pPr>
        <w:pStyle w:val="Numberedparagraph"/>
        <w:numPr>
          <w:ilvl w:val="0"/>
          <w:numId w:val="0"/>
        </w:numPr>
        <w:rPr>
          <w:szCs w:val="22"/>
        </w:rPr>
      </w:pPr>
      <w:r w:rsidRPr="00EF4F33">
        <w:rPr>
          <w:szCs w:val="22"/>
        </w:rPr>
        <w:t xml:space="preserve">The blue card system limits </w:t>
      </w:r>
      <w:r w:rsidR="00BB004B">
        <w:rPr>
          <w:szCs w:val="22"/>
        </w:rPr>
        <w:t>a number of</w:t>
      </w:r>
      <w:r w:rsidRPr="00EF4F33">
        <w:rPr>
          <w:szCs w:val="22"/>
        </w:rPr>
        <w:t xml:space="preserve"> rights protected by the Human Rights Act</w:t>
      </w:r>
      <w:r>
        <w:rPr>
          <w:szCs w:val="22"/>
        </w:rPr>
        <w:t>, including:</w:t>
      </w:r>
    </w:p>
    <w:p w14:paraId="7F8F0698" w14:textId="782063BA" w:rsidR="00A73817" w:rsidRPr="008E026A" w:rsidRDefault="00A73817" w:rsidP="00C56751">
      <w:pPr>
        <w:pStyle w:val="Numberedparagraph"/>
        <w:numPr>
          <w:ilvl w:val="0"/>
          <w:numId w:val="0"/>
        </w:numPr>
        <w:rPr>
          <w:szCs w:val="22"/>
        </w:rPr>
      </w:pPr>
      <w:r w:rsidRPr="00C56751">
        <w:rPr>
          <w:i/>
        </w:rPr>
        <w:t xml:space="preserve">Right to privacy, section </w:t>
      </w:r>
      <w:r w:rsidR="00326328" w:rsidRPr="00C56751">
        <w:rPr>
          <w:i/>
        </w:rPr>
        <w:t xml:space="preserve">25 </w:t>
      </w:r>
    </w:p>
    <w:p w14:paraId="1BC3FD61" w14:textId="0B94CFC5" w:rsidR="006F4777" w:rsidRDefault="003A0E95" w:rsidP="00621EDD">
      <w:pPr>
        <w:pStyle w:val="Numberedparagraph"/>
        <w:numPr>
          <w:ilvl w:val="0"/>
          <w:numId w:val="0"/>
        </w:numPr>
      </w:pPr>
      <w:r>
        <w:rPr>
          <w:szCs w:val="22"/>
        </w:rPr>
        <w:t>Section 25</w:t>
      </w:r>
      <w:r w:rsidR="00DF0C44">
        <w:rPr>
          <w:szCs w:val="22"/>
        </w:rPr>
        <w:t xml:space="preserve"> </w:t>
      </w:r>
      <w:r w:rsidR="00DF0C44" w:rsidRPr="00614599">
        <w:rPr>
          <w:szCs w:val="22"/>
          <w:lang w:val="en-US"/>
        </w:rPr>
        <w:t>of the</w:t>
      </w:r>
      <w:r w:rsidR="00B91FAB">
        <w:rPr>
          <w:szCs w:val="22"/>
        </w:rPr>
        <w:t xml:space="preserve"> Human Rights Act</w:t>
      </w:r>
      <w:r>
        <w:rPr>
          <w:szCs w:val="22"/>
        </w:rPr>
        <w:t xml:space="preserve"> provides</w:t>
      </w:r>
      <w:r w:rsidR="003640B0">
        <w:rPr>
          <w:szCs w:val="22"/>
        </w:rPr>
        <w:t xml:space="preserve"> that</w:t>
      </w:r>
      <w:r>
        <w:rPr>
          <w:szCs w:val="22"/>
        </w:rPr>
        <w:t xml:space="preserve"> a</w:t>
      </w:r>
      <w:r w:rsidRPr="003A0E95">
        <w:t xml:space="preserve"> person has the right</w:t>
      </w:r>
      <w:r>
        <w:t xml:space="preserve"> </w:t>
      </w:r>
      <w:r w:rsidRPr="003A0E95">
        <w:t>not to have the</w:t>
      </w:r>
      <w:r>
        <w:t xml:space="preserve">ir </w:t>
      </w:r>
      <w:r w:rsidRPr="003A0E95">
        <w:t>privacy, family, home</w:t>
      </w:r>
      <w:r w:rsidR="00BB004B">
        <w:t>,</w:t>
      </w:r>
      <w:r w:rsidRPr="003A0E95">
        <w:t xml:space="preserve"> or correspondence unlawfully or arbitrarily interfered with</w:t>
      </w:r>
      <w:r>
        <w:t>. In</w:t>
      </w:r>
      <w:r w:rsidR="00B91FAB">
        <w:t xml:space="preserve"> </w:t>
      </w:r>
      <w:r w:rsidR="00B91FAB" w:rsidRPr="00C56751">
        <w:rPr>
          <w:i/>
        </w:rPr>
        <w:t>ZZ v Secretary, Department of Justice</w:t>
      </w:r>
      <w:r w:rsidR="00B91FAB">
        <w:t>,</w:t>
      </w:r>
      <w:r>
        <w:t xml:space="preserve"> </w:t>
      </w:r>
      <w:r w:rsidR="00CD67BE">
        <w:t>the court found that b</w:t>
      </w:r>
      <w:r w:rsidR="00CD67BE" w:rsidRPr="00CD67BE">
        <w:t xml:space="preserve">ecause of the </w:t>
      </w:r>
      <w:r w:rsidR="00CD67BE">
        <w:t>‘</w:t>
      </w:r>
      <w:r w:rsidR="00CD67BE" w:rsidRPr="00CD67BE">
        <w:t>intrinsic connection between employment, dignity and the private life of individuals</w:t>
      </w:r>
      <w:r w:rsidR="00CD67BE">
        <w:t>’</w:t>
      </w:r>
      <w:r w:rsidR="003640B0">
        <w:t>,</w:t>
      </w:r>
      <w:r w:rsidR="00CD67BE">
        <w:t xml:space="preserve"> the right to privacy should be read as protecting against arbitrary </w:t>
      </w:r>
      <w:r w:rsidR="00E468CF">
        <w:t>restrictions on employment</w:t>
      </w:r>
      <w:r w:rsidR="00BB004B">
        <w:t>’</w:t>
      </w:r>
      <w:r w:rsidR="00E468CF">
        <w:t>.</w:t>
      </w:r>
      <w:r w:rsidR="00E468CF">
        <w:rPr>
          <w:rStyle w:val="FootnoteReference"/>
        </w:rPr>
        <w:footnoteReference w:id="16"/>
      </w:r>
      <w:r w:rsidR="00C9301C">
        <w:t xml:space="preserve"> </w:t>
      </w:r>
      <w:r w:rsidR="00B91FAB">
        <w:t>As such, by</w:t>
      </w:r>
      <w:r w:rsidR="00C9301C">
        <w:t xml:space="preserve"> </w:t>
      </w:r>
      <w:r w:rsidR="00A77762">
        <w:t>preventing persons with relevant criminal or disciplinary histories from obtaining</w:t>
      </w:r>
      <w:r w:rsidR="006504CD">
        <w:t xml:space="preserve"> </w:t>
      </w:r>
      <w:r w:rsidR="00FB6709">
        <w:t xml:space="preserve">a blue card, and therefore </w:t>
      </w:r>
      <w:r w:rsidR="006504CD">
        <w:t>employment</w:t>
      </w:r>
      <w:r w:rsidR="00EF3F0F">
        <w:t>, the blue card scheme limits the right to privacy.</w:t>
      </w:r>
      <w:r w:rsidR="005E15DF" w:rsidRPr="005E15DF">
        <w:rPr>
          <w:rFonts w:eastAsiaTheme="minorHAnsi" w:cstheme="minorBidi"/>
          <w:sz w:val="24"/>
          <w:szCs w:val="22"/>
        </w:rPr>
        <w:t xml:space="preserve"> </w:t>
      </w:r>
      <w:r w:rsidR="005E15DF" w:rsidRPr="005E15DF">
        <w:t>The impact on the right will be more significant in regional and remote communities where many of the limited employment industries, such as education and health, typically require blue cards.</w:t>
      </w:r>
      <w:r w:rsidR="00EF3F0F">
        <w:t xml:space="preserve"> </w:t>
      </w:r>
    </w:p>
    <w:p w14:paraId="6A7AFD7F" w14:textId="73B05E25" w:rsidR="009D76CD" w:rsidRDefault="005821B7" w:rsidP="00621EDD">
      <w:pPr>
        <w:pStyle w:val="Numberedparagraph"/>
        <w:numPr>
          <w:ilvl w:val="0"/>
          <w:numId w:val="0"/>
        </w:numPr>
      </w:pPr>
      <w:r>
        <w:t xml:space="preserve">Whether or not that limit </w:t>
      </w:r>
      <w:r w:rsidR="00FA4780">
        <w:t>is</w:t>
      </w:r>
      <w:r>
        <w:t xml:space="preserve"> arbitrary</w:t>
      </w:r>
      <w:r w:rsidR="00984F19">
        <w:t xml:space="preserve"> will depend on whether the limit is </w:t>
      </w:r>
      <w:r w:rsidR="00597A24">
        <w:t>‘</w:t>
      </w:r>
      <w:r w:rsidR="00471833" w:rsidRPr="00471833">
        <w:t>capricious, unpredictable or unjust</w:t>
      </w:r>
      <w:r w:rsidR="007F2360">
        <w:t>,</w:t>
      </w:r>
      <w:r w:rsidR="00471833" w:rsidRPr="00471833">
        <w:t xml:space="preserve"> </w:t>
      </w:r>
      <w:r w:rsidR="00984F19">
        <w:t>or</w:t>
      </w:r>
      <w:r w:rsidR="00471833" w:rsidRPr="00471833">
        <w:t xml:space="preserve"> unreasonable in the sense of not being proportionate to a legitimate aim sought</w:t>
      </w:r>
      <w:r w:rsidR="00597A24">
        <w:t>’</w:t>
      </w:r>
      <w:r w:rsidR="00471833" w:rsidRPr="00471833">
        <w:t>.</w:t>
      </w:r>
      <w:r w:rsidR="00984F19">
        <w:rPr>
          <w:rStyle w:val="FootnoteReference"/>
        </w:rPr>
        <w:footnoteReference w:id="17"/>
      </w:r>
      <w:r w:rsidR="00471833" w:rsidRPr="00471833">
        <w:t xml:space="preserve"> </w:t>
      </w:r>
      <w:r w:rsidR="00144248">
        <w:t xml:space="preserve">Any limits on employment created by the blue card system are unlikely to be considered to be capricious or unpredictable, but must be carefully </w:t>
      </w:r>
      <w:r w:rsidR="006F4777">
        <w:t>balanced</w:t>
      </w:r>
      <w:r w:rsidR="00144248">
        <w:t xml:space="preserve"> to </w:t>
      </w:r>
      <w:r w:rsidR="000C12D9">
        <w:t xml:space="preserve">ensure they are not disproportionate </w:t>
      </w:r>
      <w:r w:rsidR="00A024AA">
        <w:t>to their aim.</w:t>
      </w:r>
      <w:r w:rsidR="006A2B85">
        <w:t xml:space="preserve"> </w:t>
      </w:r>
    </w:p>
    <w:p w14:paraId="0BB2564A" w14:textId="4DD38E44" w:rsidR="00A024AA" w:rsidRPr="006F4777" w:rsidRDefault="006A2B85" w:rsidP="00621EDD">
      <w:pPr>
        <w:pStyle w:val="Numberedparagraph"/>
        <w:numPr>
          <w:ilvl w:val="0"/>
          <w:numId w:val="0"/>
        </w:numPr>
        <w:rPr>
          <w:rFonts w:eastAsiaTheme="minorHAnsi" w:cstheme="minorBidi"/>
          <w:sz w:val="24"/>
          <w:szCs w:val="22"/>
        </w:rPr>
      </w:pPr>
      <w:r>
        <w:t>Signif</w:t>
      </w:r>
      <w:r w:rsidR="00117127">
        <w:t>icant concerns have been raised that the blue card system is not proportionate</w:t>
      </w:r>
      <w:r w:rsidR="00B43FB7">
        <w:t xml:space="preserve"> to its aim</w:t>
      </w:r>
      <w:r w:rsidR="00342D33">
        <w:t xml:space="preserve">. </w:t>
      </w:r>
      <w:r w:rsidR="005574F8">
        <w:t xml:space="preserve">As noted in the Board’s </w:t>
      </w:r>
      <w:r w:rsidR="00B43FB7" w:rsidRPr="00B43FB7">
        <w:rPr>
          <w:i/>
          <w:iCs/>
        </w:rPr>
        <w:t xml:space="preserve">Review of System Responses to child sexual abuse: </w:t>
      </w:r>
      <w:r w:rsidR="005574F8" w:rsidRPr="00B43FB7">
        <w:rPr>
          <w:i/>
          <w:iCs/>
        </w:rPr>
        <w:t>Progress Report</w:t>
      </w:r>
      <w:r w:rsidR="00B43FB7" w:rsidRPr="00B43FB7">
        <w:rPr>
          <w:i/>
          <w:iCs/>
        </w:rPr>
        <w:t xml:space="preserve"> 2</w:t>
      </w:r>
      <w:r w:rsidR="0057111B">
        <w:rPr>
          <w:i/>
          <w:iCs/>
        </w:rPr>
        <w:t xml:space="preserve"> </w:t>
      </w:r>
      <w:r w:rsidR="0057111B">
        <w:t xml:space="preserve">(the </w:t>
      </w:r>
      <w:r w:rsidR="0057111B" w:rsidRPr="0057111B">
        <w:rPr>
          <w:b/>
          <w:bCs/>
        </w:rPr>
        <w:t>Progres</w:t>
      </w:r>
      <w:r w:rsidR="0057111B">
        <w:rPr>
          <w:b/>
          <w:bCs/>
        </w:rPr>
        <w:t>s</w:t>
      </w:r>
      <w:r w:rsidR="0057111B" w:rsidRPr="0057111B">
        <w:rPr>
          <w:b/>
          <w:bCs/>
        </w:rPr>
        <w:t xml:space="preserve"> report</w:t>
      </w:r>
      <w:r w:rsidR="0057111B">
        <w:t>)</w:t>
      </w:r>
      <w:r w:rsidR="005574F8">
        <w:t xml:space="preserve">, </w:t>
      </w:r>
      <w:r w:rsidR="007A551D">
        <w:t>a significant percentage of negative notices (refusal of a blue card) have been overturned on appeal to the Queensland Civil and Administrative Tribunal.</w:t>
      </w:r>
      <w:r w:rsidR="003E420B">
        <w:rPr>
          <w:rStyle w:val="FootnoteReference"/>
        </w:rPr>
        <w:footnoteReference w:id="18"/>
      </w:r>
      <w:r w:rsidR="007A551D">
        <w:t xml:space="preserve"> This indicates </w:t>
      </w:r>
      <w:r w:rsidR="003E420B">
        <w:t>the legislative settings are not facilitating proportionate responses to applications.</w:t>
      </w:r>
      <w:r w:rsidR="00CC4EF5">
        <w:t xml:space="preserve"> Commentators have also consistently raised concerns that a blue card may be denied on the </w:t>
      </w:r>
      <w:r w:rsidR="00CC4EF5">
        <w:lastRenderedPageBreak/>
        <w:t xml:space="preserve">basis of crimes which do not have any connection to </w:t>
      </w:r>
      <w:r w:rsidR="00B92F1B">
        <w:t>the harming of a child e.g., unlawful entry to a motor vehicle for the purpose of committing and indictable offence.</w:t>
      </w:r>
      <w:r w:rsidR="00B92F1B">
        <w:rPr>
          <w:rStyle w:val="FootnoteReference"/>
        </w:rPr>
        <w:footnoteReference w:id="19"/>
      </w:r>
    </w:p>
    <w:p w14:paraId="4785D9AE" w14:textId="5A325AED" w:rsidR="00B90F9E" w:rsidRPr="00C56751" w:rsidRDefault="00B90F9E" w:rsidP="00C56751">
      <w:pPr>
        <w:rPr>
          <w:rFonts w:eastAsia="Aptos" w:cs="Times New Roman"/>
          <w:i/>
        </w:rPr>
      </w:pPr>
      <w:r w:rsidRPr="00C56751">
        <w:rPr>
          <w:rFonts w:eastAsia="Aptos" w:cs="Times New Roman"/>
          <w:i/>
          <w:sz w:val="22"/>
          <w:szCs w:val="20"/>
        </w:rPr>
        <w:t xml:space="preserve">Right to equality and recognition before the law, section 15 </w:t>
      </w:r>
    </w:p>
    <w:p w14:paraId="5E48103C" w14:textId="4EF048F0" w:rsidR="00531239" w:rsidRPr="00C56751" w:rsidRDefault="004B6B4D" w:rsidP="00C56751">
      <w:pPr>
        <w:pStyle w:val="Numberedparagraph"/>
        <w:numPr>
          <w:ilvl w:val="0"/>
          <w:numId w:val="0"/>
        </w:numPr>
        <w:rPr>
          <w:szCs w:val="22"/>
        </w:rPr>
      </w:pPr>
      <w:r w:rsidRPr="004B6B4D">
        <w:rPr>
          <w:szCs w:val="22"/>
        </w:rPr>
        <w:t>The right to recognition and equality before the law encompasses the right to recognition as a person before the law and the right to enjoy the person’s human rights without discrimination</w:t>
      </w:r>
      <w:r w:rsidR="002407EF">
        <w:rPr>
          <w:szCs w:val="22"/>
        </w:rPr>
        <w:t>,</w:t>
      </w:r>
      <w:r w:rsidR="0078152A">
        <w:rPr>
          <w:szCs w:val="22"/>
        </w:rPr>
        <w:t xml:space="preserve"> as well as the </w:t>
      </w:r>
      <w:r w:rsidRPr="004B6B4D">
        <w:rPr>
          <w:szCs w:val="22"/>
        </w:rPr>
        <w:t>right to equal and effective protection against discrimination</w:t>
      </w:r>
      <w:r>
        <w:rPr>
          <w:szCs w:val="22"/>
        </w:rPr>
        <w:t>.</w:t>
      </w:r>
      <w:r w:rsidR="008121ED">
        <w:rPr>
          <w:rStyle w:val="FootnoteReference"/>
          <w:szCs w:val="22"/>
        </w:rPr>
        <w:footnoteReference w:id="20"/>
      </w:r>
      <w:r w:rsidR="008121ED">
        <w:rPr>
          <w:szCs w:val="22"/>
        </w:rPr>
        <w:t xml:space="preserve"> </w:t>
      </w:r>
      <w:r w:rsidR="00531239" w:rsidRPr="00531239">
        <w:rPr>
          <w:rFonts w:eastAsia="Times New Roman"/>
          <w:bCs/>
          <w:iCs/>
          <w:lang w:eastAsia="en-GB"/>
        </w:rPr>
        <w:t xml:space="preserve">The Human Rights Act defines discrimination to include ‘direct discrimination or indirect discrimination’, within the meaning of the </w:t>
      </w:r>
      <w:r w:rsidR="00531239" w:rsidRPr="00531239">
        <w:rPr>
          <w:rFonts w:eastAsia="Times New Roman"/>
          <w:bCs/>
          <w:i/>
          <w:iCs/>
          <w:lang w:eastAsia="en-GB"/>
        </w:rPr>
        <w:t xml:space="preserve">Anti-Discrimination Act 1991 </w:t>
      </w:r>
      <w:r w:rsidR="00531239" w:rsidRPr="00531239">
        <w:rPr>
          <w:rFonts w:eastAsia="Times New Roman"/>
          <w:bCs/>
          <w:iCs/>
          <w:lang w:eastAsia="en-GB"/>
        </w:rPr>
        <w:t>(Qld) (</w:t>
      </w:r>
      <w:r w:rsidR="00531239" w:rsidRPr="00385FEC">
        <w:rPr>
          <w:rFonts w:eastAsia="Times New Roman"/>
          <w:b/>
          <w:iCs/>
          <w:lang w:eastAsia="en-GB"/>
        </w:rPr>
        <w:t>A</w:t>
      </w:r>
      <w:r w:rsidR="00BB6A71">
        <w:rPr>
          <w:rFonts w:eastAsia="Times New Roman"/>
          <w:b/>
          <w:iCs/>
          <w:lang w:eastAsia="en-GB"/>
        </w:rPr>
        <w:t>nti-</w:t>
      </w:r>
      <w:r w:rsidR="00531239" w:rsidRPr="00385FEC">
        <w:rPr>
          <w:rFonts w:eastAsia="Times New Roman"/>
          <w:b/>
          <w:iCs/>
          <w:lang w:eastAsia="en-GB"/>
        </w:rPr>
        <w:t>D</w:t>
      </w:r>
      <w:r w:rsidR="00BB6A71">
        <w:rPr>
          <w:rFonts w:eastAsia="Times New Roman"/>
          <w:b/>
          <w:iCs/>
          <w:lang w:eastAsia="en-GB"/>
        </w:rPr>
        <w:t>iscrimination</w:t>
      </w:r>
      <w:r w:rsidR="00531239" w:rsidRPr="00385FEC">
        <w:rPr>
          <w:rFonts w:eastAsia="Times New Roman"/>
          <w:b/>
          <w:iCs/>
          <w:lang w:eastAsia="en-GB"/>
        </w:rPr>
        <w:t xml:space="preserve"> Act</w:t>
      </w:r>
      <w:r w:rsidR="00531239" w:rsidRPr="00531239">
        <w:rPr>
          <w:rFonts w:eastAsia="Times New Roman"/>
          <w:bCs/>
          <w:iCs/>
          <w:lang w:eastAsia="en-GB"/>
        </w:rPr>
        <w:t xml:space="preserve">). At a minimum, therefore, it extends to </w:t>
      </w:r>
      <w:r w:rsidR="00C74B65">
        <w:rPr>
          <w:rFonts w:eastAsia="Times New Roman"/>
          <w:bCs/>
          <w:iCs/>
          <w:lang w:eastAsia="en-GB"/>
        </w:rPr>
        <w:t xml:space="preserve">protect against </w:t>
      </w:r>
      <w:r w:rsidR="00531239" w:rsidRPr="00531239">
        <w:rPr>
          <w:rFonts w:eastAsia="Times New Roman"/>
          <w:bCs/>
          <w:iCs/>
          <w:lang w:eastAsia="en-GB"/>
        </w:rPr>
        <w:t>discrimination on the grounds recognised in the A</w:t>
      </w:r>
      <w:r w:rsidR="00BB6A71">
        <w:rPr>
          <w:rFonts w:eastAsia="Times New Roman"/>
          <w:bCs/>
          <w:iCs/>
          <w:lang w:eastAsia="en-GB"/>
        </w:rPr>
        <w:t>nti-</w:t>
      </w:r>
      <w:r w:rsidR="00531239" w:rsidRPr="00531239">
        <w:rPr>
          <w:rFonts w:eastAsia="Times New Roman"/>
          <w:bCs/>
          <w:iCs/>
          <w:lang w:eastAsia="en-GB"/>
        </w:rPr>
        <w:t>D</w:t>
      </w:r>
      <w:r w:rsidR="00BB6A71">
        <w:rPr>
          <w:rFonts w:eastAsia="Times New Roman"/>
          <w:bCs/>
          <w:iCs/>
          <w:lang w:eastAsia="en-GB"/>
        </w:rPr>
        <w:t>iscrimination</w:t>
      </w:r>
      <w:r w:rsidR="00531239" w:rsidRPr="00531239">
        <w:rPr>
          <w:rFonts w:eastAsia="Times New Roman"/>
          <w:bCs/>
          <w:iCs/>
          <w:lang w:eastAsia="en-GB"/>
        </w:rPr>
        <w:t xml:space="preserve"> Act.</w:t>
      </w:r>
      <w:r w:rsidR="00D52362" w:rsidRPr="00531239">
        <w:rPr>
          <w:rFonts w:eastAsia="Times New Roman"/>
          <w:bCs/>
          <w:iCs/>
          <w:lang w:eastAsia="en-GB"/>
        </w:rPr>
        <w:t xml:space="preserve"> Those grounds include </w:t>
      </w:r>
      <w:r w:rsidR="00D52362">
        <w:rPr>
          <w:rFonts w:eastAsia="Times New Roman"/>
          <w:bCs/>
          <w:iCs/>
          <w:lang w:eastAsia="en-GB"/>
        </w:rPr>
        <w:t>race</w:t>
      </w:r>
      <w:r w:rsidR="00D52362" w:rsidRPr="00531239">
        <w:rPr>
          <w:rFonts w:eastAsia="Times New Roman"/>
          <w:bCs/>
          <w:iCs/>
          <w:lang w:eastAsia="en-GB"/>
        </w:rPr>
        <w:t>.</w:t>
      </w:r>
      <w:r w:rsidR="00D52362" w:rsidRPr="00531239">
        <w:rPr>
          <w:rFonts w:eastAsia="Times New Roman"/>
          <w:bCs/>
          <w:iCs/>
          <w:color w:val="000000"/>
          <w:vertAlign w:val="superscript"/>
          <w:lang w:eastAsia="en-GB"/>
        </w:rPr>
        <w:footnoteReference w:id="21"/>
      </w:r>
      <w:r w:rsidR="00D52362" w:rsidRPr="00531239">
        <w:rPr>
          <w:rFonts w:eastAsia="Times New Roman"/>
          <w:bCs/>
          <w:iCs/>
          <w:lang w:eastAsia="en-GB"/>
        </w:rPr>
        <w:t xml:space="preserve"> </w:t>
      </w:r>
    </w:p>
    <w:p w14:paraId="11910477" w14:textId="707849C4" w:rsidR="00663797" w:rsidRDefault="00D52362" w:rsidP="00621EDD">
      <w:pPr>
        <w:pStyle w:val="Numberedparagraph"/>
        <w:numPr>
          <w:ilvl w:val="0"/>
          <w:numId w:val="0"/>
        </w:numPr>
        <w:rPr>
          <w:bCs/>
          <w:iCs/>
        </w:rPr>
      </w:pPr>
      <w:r w:rsidRPr="00F06BB7">
        <w:rPr>
          <w:bCs/>
          <w:iCs/>
        </w:rPr>
        <w:t xml:space="preserve">Direct and indirect discrimination are defined in the </w:t>
      </w:r>
      <w:r w:rsidR="00BB6A71" w:rsidRPr="00531239">
        <w:rPr>
          <w:rFonts w:eastAsia="Times New Roman"/>
          <w:bCs/>
          <w:iCs/>
          <w:lang w:eastAsia="en-GB"/>
        </w:rPr>
        <w:t>A</w:t>
      </w:r>
      <w:r w:rsidR="00BB6A71">
        <w:rPr>
          <w:rFonts w:eastAsia="Times New Roman"/>
          <w:bCs/>
          <w:iCs/>
          <w:lang w:eastAsia="en-GB"/>
        </w:rPr>
        <w:t>nti-</w:t>
      </w:r>
      <w:r w:rsidR="00BB6A71" w:rsidRPr="00531239">
        <w:rPr>
          <w:rFonts w:eastAsia="Times New Roman"/>
          <w:bCs/>
          <w:iCs/>
          <w:lang w:eastAsia="en-GB"/>
        </w:rPr>
        <w:t>D</w:t>
      </w:r>
      <w:r w:rsidR="00BB6A71">
        <w:rPr>
          <w:rFonts w:eastAsia="Times New Roman"/>
          <w:bCs/>
          <w:iCs/>
          <w:lang w:eastAsia="en-GB"/>
        </w:rPr>
        <w:t>iscrimination</w:t>
      </w:r>
      <w:r w:rsidR="00BB6A71" w:rsidRPr="00531239">
        <w:rPr>
          <w:rFonts w:eastAsia="Times New Roman"/>
          <w:bCs/>
          <w:iCs/>
          <w:lang w:eastAsia="en-GB"/>
        </w:rPr>
        <w:t xml:space="preserve"> </w:t>
      </w:r>
      <w:r w:rsidR="00BB6A71" w:rsidRPr="00F06BB7">
        <w:t>Act</w:t>
      </w:r>
      <w:r w:rsidRPr="00F06BB7">
        <w:rPr>
          <w:bCs/>
          <w:iCs/>
        </w:rPr>
        <w:t>. Direct discrimination occurs when ‘a person treats, or proposes to treat, a person with an attribute less favourably than another person without the attribute is or would be treated in circumstances that are the same or not materially different’</w:t>
      </w:r>
      <w:r>
        <w:rPr>
          <w:bCs/>
          <w:iCs/>
        </w:rPr>
        <w:t>.</w:t>
      </w:r>
      <w:r w:rsidRPr="00F06BB7">
        <w:rPr>
          <w:bCs/>
          <w:iCs/>
          <w:vertAlign w:val="superscript"/>
        </w:rPr>
        <w:footnoteReference w:id="22"/>
      </w:r>
      <w:r w:rsidRPr="00F06BB7">
        <w:rPr>
          <w:bCs/>
          <w:iCs/>
        </w:rPr>
        <w:t xml:space="preserve"> Indirect discrimination </w:t>
      </w:r>
      <w:r w:rsidR="009F7B1D">
        <w:rPr>
          <w:bCs/>
          <w:iCs/>
        </w:rPr>
        <w:t>occurs</w:t>
      </w:r>
      <w:r w:rsidRPr="00F06BB7">
        <w:rPr>
          <w:bCs/>
          <w:iCs/>
        </w:rPr>
        <w:t xml:space="preserve"> ‘if a person imposes, or proposes to impose, a term’ (which includes a condition, requirement or practice) ‘(a) with which a person with an attribute does not or is not able to comply; and (b) with which a higher proportion of people without the attribute comply or are able to comply; and (c) that is not reasonable’.</w:t>
      </w:r>
      <w:r w:rsidRPr="00F06BB7">
        <w:rPr>
          <w:bCs/>
          <w:iCs/>
          <w:vertAlign w:val="superscript"/>
        </w:rPr>
        <w:footnoteReference w:id="23"/>
      </w:r>
      <w:r w:rsidRPr="00F06BB7">
        <w:rPr>
          <w:bCs/>
          <w:iCs/>
        </w:rPr>
        <w:t xml:space="preserve"> </w:t>
      </w:r>
    </w:p>
    <w:p w14:paraId="43FF811F" w14:textId="34AEF141" w:rsidR="005037EC" w:rsidRPr="00B26F38" w:rsidRDefault="005037EC" w:rsidP="005037EC">
      <w:pPr>
        <w:pStyle w:val="Numberedparagraph"/>
        <w:numPr>
          <w:ilvl w:val="0"/>
          <w:numId w:val="0"/>
        </w:numPr>
        <w:rPr>
          <w:szCs w:val="22"/>
        </w:rPr>
      </w:pPr>
      <w:r w:rsidRPr="007E7482">
        <w:rPr>
          <w:szCs w:val="22"/>
        </w:rPr>
        <w:t>While the blue card system</w:t>
      </w:r>
      <w:r>
        <w:rPr>
          <w:szCs w:val="22"/>
        </w:rPr>
        <w:t xml:space="preserve"> applies</w:t>
      </w:r>
      <w:r w:rsidR="00B77862">
        <w:rPr>
          <w:szCs w:val="22"/>
        </w:rPr>
        <w:t xml:space="preserve"> </w:t>
      </w:r>
      <w:r w:rsidR="00385FEC">
        <w:rPr>
          <w:szCs w:val="22"/>
        </w:rPr>
        <w:t xml:space="preserve">to </w:t>
      </w:r>
      <w:r w:rsidR="00B77862">
        <w:rPr>
          <w:szCs w:val="22"/>
        </w:rPr>
        <w:t>everyone regardless of race</w:t>
      </w:r>
      <w:r w:rsidRPr="007E7482">
        <w:rPr>
          <w:szCs w:val="22"/>
        </w:rPr>
        <w:t xml:space="preserve">, it has a </w:t>
      </w:r>
      <w:r w:rsidR="00315DA6">
        <w:rPr>
          <w:szCs w:val="22"/>
        </w:rPr>
        <w:t>disproportionate</w:t>
      </w:r>
      <w:r w:rsidRPr="007E7482">
        <w:rPr>
          <w:szCs w:val="22"/>
        </w:rPr>
        <w:t xml:space="preserve"> impact on</w:t>
      </w:r>
      <w:r w:rsidR="00D32124">
        <w:rPr>
          <w:szCs w:val="22"/>
        </w:rPr>
        <w:t xml:space="preserve"> </w:t>
      </w:r>
      <w:r w:rsidR="002665FB">
        <w:rPr>
          <w:szCs w:val="22"/>
        </w:rPr>
        <w:t>First Nations</w:t>
      </w:r>
      <w:r w:rsidR="002665FB" w:rsidRPr="007E7482">
        <w:rPr>
          <w:szCs w:val="22"/>
        </w:rPr>
        <w:t xml:space="preserve"> people</w:t>
      </w:r>
      <w:r w:rsidR="00BA0DBE">
        <w:rPr>
          <w:szCs w:val="22"/>
        </w:rPr>
        <w:t>s</w:t>
      </w:r>
      <w:r w:rsidR="001C5BB2">
        <w:rPr>
          <w:szCs w:val="22"/>
        </w:rPr>
        <w:t>,</w:t>
      </w:r>
      <w:r w:rsidR="002665FB" w:rsidRPr="007E7482">
        <w:rPr>
          <w:szCs w:val="22"/>
        </w:rPr>
        <w:t xml:space="preserve"> </w:t>
      </w:r>
      <w:r>
        <w:rPr>
          <w:szCs w:val="22"/>
        </w:rPr>
        <w:t>who</w:t>
      </w:r>
      <w:r w:rsidRPr="007E7482">
        <w:rPr>
          <w:szCs w:val="22"/>
        </w:rPr>
        <w:t xml:space="preserve"> </w:t>
      </w:r>
      <w:r>
        <w:rPr>
          <w:szCs w:val="22"/>
        </w:rPr>
        <w:t xml:space="preserve">due systemic and institutional racism </w:t>
      </w:r>
      <w:r w:rsidR="002665FB">
        <w:rPr>
          <w:szCs w:val="22"/>
        </w:rPr>
        <w:t>are overrepresented in the criminal justice system</w:t>
      </w:r>
      <w:r w:rsidR="00636AB5">
        <w:rPr>
          <w:szCs w:val="22"/>
        </w:rPr>
        <w:t xml:space="preserve"> and are more likely to have a criminal history which excludes them from getting a blue card</w:t>
      </w:r>
      <w:r w:rsidRPr="007E7482">
        <w:rPr>
          <w:szCs w:val="22"/>
        </w:rPr>
        <w:t>.</w:t>
      </w:r>
      <w:r>
        <w:rPr>
          <w:szCs w:val="22"/>
        </w:rPr>
        <w:t xml:space="preserve"> In this sense</w:t>
      </w:r>
      <w:r w:rsidR="002665FB">
        <w:rPr>
          <w:szCs w:val="22"/>
        </w:rPr>
        <w:t xml:space="preserve">, the blue card </w:t>
      </w:r>
      <w:r>
        <w:rPr>
          <w:szCs w:val="22"/>
        </w:rPr>
        <w:t xml:space="preserve">system </w:t>
      </w:r>
      <w:r w:rsidR="005B0C21">
        <w:rPr>
          <w:szCs w:val="22"/>
        </w:rPr>
        <w:t xml:space="preserve">creates a </w:t>
      </w:r>
      <w:r>
        <w:rPr>
          <w:szCs w:val="22"/>
        </w:rPr>
        <w:t>requirement that First Nations persons, due to their race, may be unable to comply</w:t>
      </w:r>
      <w:r w:rsidR="00B77862">
        <w:rPr>
          <w:szCs w:val="22"/>
        </w:rPr>
        <w:t xml:space="preserve"> </w:t>
      </w:r>
      <w:r w:rsidR="00624060">
        <w:rPr>
          <w:szCs w:val="22"/>
        </w:rPr>
        <w:t>with</w:t>
      </w:r>
      <w:r w:rsidR="00DD31CB">
        <w:rPr>
          <w:szCs w:val="22"/>
        </w:rPr>
        <w:t xml:space="preserve"> and which may not be reasonable in certain circumstances</w:t>
      </w:r>
      <w:r w:rsidR="00B77862">
        <w:rPr>
          <w:szCs w:val="22"/>
        </w:rPr>
        <w:t xml:space="preserve"> (indirect discrimination)</w:t>
      </w:r>
      <w:r>
        <w:rPr>
          <w:szCs w:val="22"/>
        </w:rPr>
        <w:t>. This limits First Nations persons’</w:t>
      </w:r>
      <w:r w:rsidRPr="007E7482">
        <w:rPr>
          <w:szCs w:val="22"/>
        </w:rPr>
        <w:t xml:space="preserve"> right to equality. </w:t>
      </w:r>
    </w:p>
    <w:p w14:paraId="0F1322EB" w14:textId="1292C709" w:rsidR="002665FB" w:rsidRPr="000217A3" w:rsidRDefault="002665FB" w:rsidP="00C56751">
      <w:pPr>
        <w:pStyle w:val="Numberedparagraph"/>
        <w:numPr>
          <w:ilvl w:val="0"/>
          <w:numId w:val="0"/>
        </w:numPr>
        <w:rPr>
          <w:bCs/>
          <w:iCs/>
        </w:rPr>
      </w:pPr>
      <w:r w:rsidRPr="00B26F38">
        <w:rPr>
          <w:lang w:val="en-US"/>
        </w:rPr>
        <w:t xml:space="preserve">The reasons for </w:t>
      </w:r>
      <w:r w:rsidR="00A42996">
        <w:rPr>
          <w:lang w:val="en-US"/>
        </w:rPr>
        <w:t xml:space="preserve">First </w:t>
      </w:r>
      <w:r w:rsidR="00D62756">
        <w:rPr>
          <w:lang w:val="en-US"/>
        </w:rPr>
        <w:t>Nations</w:t>
      </w:r>
      <w:r w:rsidRPr="00B26F38">
        <w:rPr>
          <w:lang w:val="en-US"/>
        </w:rPr>
        <w:t xml:space="preserve"> person’s overrepresentation in the justice system are inextricably linked with dispossession, colonisation, discrimination, and experiences of systemic and institutional racism.</w:t>
      </w:r>
      <w:r w:rsidRPr="00B26F38">
        <w:rPr>
          <w:vertAlign w:val="superscript"/>
          <w:lang w:val="en-US"/>
        </w:rPr>
        <w:footnoteReference w:id="24"/>
      </w:r>
      <w:r w:rsidRPr="00B26F38">
        <w:rPr>
          <w:lang w:val="en-US"/>
        </w:rPr>
        <w:t xml:space="preserve"> </w:t>
      </w:r>
      <w:r w:rsidRPr="00B26F38">
        <w:t xml:space="preserve">Colonisation and dispossession, which involved the forced removal of </w:t>
      </w:r>
      <w:r w:rsidR="00D62756">
        <w:t>First Nations</w:t>
      </w:r>
      <w:r w:rsidRPr="00B26F38">
        <w:t xml:space="preserve"> peoples from their lands, the attempted destruction of their cultures, and the introduction of discriminatory laws and policies, has led to profound and lasting inequalities. Today, these historical injustices are reflected in significant disparities in health, education and housing - which create the conditions conducive to offending.</w:t>
      </w:r>
      <w:r w:rsidRPr="00B26F38">
        <w:rPr>
          <w:lang w:val="en-US"/>
        </w:rPr>
        <w:t xml:space="preserve"> </w:t>
      </w:r>
    </w:p>
    <w:p w14:paraId="7685DEA1" w14:textId="25BDB2D0" w:rsidR="002665FB" w:rsidRPr="00B26F38" w:rsidRDefault="002665FB" w:rsidP="00C9753C">
      <w:pPr>
        <w:pStyle w:val="Numberedparagraph"/>
        <w:numPr>
          <w:ilvl w:val="0"/>
          <w:numId w:val="0"/>
        </w:numPr>
        <w:rPr>
          <w:lang w:val="en-US"/>
        </w:rPr>
      </w:pPr>
      <w:r w:rsidRPr="00B26F38">
        <w:rPr>
          <w:lang w:val="en-US"/>
        </w:rPr>
        <w:lastRenderedPageBreak/>
        <w:t>Additionally, there is clear evidence of institutional racism within Queensland’s criminal justice system.</w:t>
      </w:r>
      <w:r w:rsidRPr="00B26F38">
        <w:rPr>
          <w:vertAlign w:val="superscript"/>
          <w:lang w:val="en-US"/>
        </w:rPr>
        <w:footnoteReference w:id="25"/>
      </w:r>
      <w:r w:rsidRPr="00B26F38">
        <w:rPr>
          <w:lang w:val="en-US"/>
        </w:rPr>
        <w:t xml:space="preserve"> In Queensland, a First Nations adult is seven times more likely to be arrested than a non-First Nations adult.</w:t>
      </w:r>
      <w:r>
        <w:rPr>
          <w:rStyle w:val="FootnoteReference"/>
          <w:lang w:val="en-US"/>
        </w:rPr>
        <w:footnoteReference w:id="26"/>
      </w:r>
      <w:r w:rsidRPr="00B26F38">
        <w:rPr>
          <w:lang w:val="en-US"/>
        </w:rPr>
        <w:t xml:space="preserve"> Indigenous children are </w:t>
      </w:r>
      <w:r w:rsidR="00637A2D">
        <w:rPr>
          <w:lang w:val="en-US"/>
        </w:rPr>
        <w:t xml:space="preserve">also </w:t>
      </w:r>
      <w:r w:rsidRPr="00B26F38">
        <w:rPr>
          <w:lang w:val="en-US"/>
        </w:rPr>
        <w:t>more likely to be arrested than non-Indigenous children, ‘even after factors such as the offence, offending history and background factors are taken into account’.</w:t>
      </w:r>
      <w:r w:rsidRPr="00B26F38">
        <w:rPr>
          <w:vertAlign w:val="superscript"/>
          <w:lang w:val="en-US"/>
        </w:rPr>
        <w:footnoteReference w:id="27"/>
      </w:r>
      <w:r w:rsidRPr="00B26F38">
        <w:rPr>
          <w:lang w:val="en-US"/>
        </w:rPr>
        <w:t xml:space="preserve"> First Nations children in Queensland ‘are </w:t>
      </w:r>
      <w:r w:rsidR="00637A2D">
        <w:rPr>
          <w:lang w:val="en-US"/>
        </w:rPr>
        <w:t>[also]</w:t>
      </w:r>
      <w:r w:rsidRPr="00B26F38">
        <w:rPr>
          <w:lang w:val="en-US"/>
        </w:rPr>
        <w:t xml:space="preserve"> less likely to receive a diversion decision, and less likely to be granted bail’, as well as being disproportionately exposed to the watchhouse system.</w:t>
      </w:r>
      <w:r w:rsidRPr="00B26F38">
        <w:rPr>
          <w:vertAlign w:val="superscript"/>
          <w:lang w:val="en-US"/>
        </w:rPr>
        <w:footnoteReference w:id="28"/>
      </w:r>
    </w:p>
    <w:p w14:paraId="12CA6E22" w14:textId="13133005" w:rsidR="00315DA6" w:rsidRDefault="00315DA6" w:rsidP="00315DA6">
      <w:pPr>
        <w:pStyle w:val="Numberedparagraph"/>
        <w:numPr>
          <w:ilvl w:val="0"/>
          <w:numId w:val="0"/>
        </w:numPr>
        <w:rPr>
          <w:bCs/>
          <w:iCs/>
        </w:rPr>
      </w:pPr>
      <w:r>
        <w:rPr>
          <w:bCs/>
          <w:iCs/>
        </w:rPr>
        <w:t xml:space="preserve">The </w:t>
      </w:r>
      <w:r w:rsidR="005A0E9C">
        <w:rPr>
          <w:bCs/>
          <w:iCs/>
        </w:rPr>
        <w:t xml:space="preserve">disproportionate </w:t>
      </w:r>
      <w:r>
        <w:rPr>
          <w:bCs/>
          <w:iCs/>
        </w:rPr>
        <w:t xml:space="preserve">impact of the blue card system on First Nations persons can be observed in the </w:t>
      </w:r>
      <w:r w:rsidR="00DE260C">
        <w:rPr>
          <w:bCs/>
          <w:iCs/>
        </w:rPr>
        <w:t xml:space="preserve">statistics on blue card rejection. </w:t>
      </w:r>
      <w:r w:rsidRPr="00315DA6">
        <w:rPr>
          <w:bCs/>
          <w:iCs/>
        </w:rPr>
        <w:t xml:space="preserve">In 2021, evidence presented to Queensland Parliament flagged that First Nations people account for 5% of </w:t>
      </w:r>
      <w:r w:rsidR="008C4F5D">
        <w:rPr>
          <w:bCs/>
          <w:iCs/>
        </w:rPr>
        <w:t xml:space="preserve">blue card </w:t>
      </w:r>
      <w:r w:rsidRPr="00315DA6">
        <w:rPr>
          <w:bCs/>
          <w:iCs/>
        </w:rPr>
        <w:t xml:space="preserve">applicants but make up 22% of rejected applicants. This may be an underreported problem, as anecdotal evidence was also provided that many First Nations people do not apply for </w:t>
      </w:r>
      <w:r w:rsidR="008C4F5D">
        <w:rPr>
          <w:bCs/>
          <w:iCs/>
        </w:rPr>
        <w:t xml:space="preserve">blue cards </w:t>
      </w:r>
      <w:r w:rsidRPr="00315DA6">
        <w:rPr>
          <w:bCs/>
          <w:iCs/>
        </w:rPr>
        <w:t>due to the known barriers.</w:t>
      </w:r>
      <w:r w:rsidRPr="00315DA6">
        <w:rPr>
          <w:bCs/>
          <w:iCs/>
          <w:vertAlign w:val="superscript"/>
        </w:rPr>
        <w:footnoteReference w:id="29"/>
      </w:r>
      <w:r w:rsidRPr="00315DA6">
        <w:rPr>
          <w:bCs/>
          <w:iCs/>
        </w:rPr>
        <w:t xml:space="preserve"> </w:t>
      </w:r>
    </w:p>
    <w:p w14:paraId="2A18463D" w14:textId="77777777" w:rsidR="00F51D11" w:rsidRDefault="004A5086" w:rsidP="003374DD">
      <w:pPr>
        <w:pStyle w:val="Numberedparagraph"/>
        <w:numPr>
          <w:ilvl w:val="0"/>
          <w:numId w:val="0"/>
        </w:numPr>
        <w:rPr>
          <w:szCs w:val="22"/>
        </w:rPr>
      </w:pPr>
      <w:r>
        <w:rPr>
          <w:szCs w:val="22"/>
        </w:rPr>
        <w:t>Where a First Nations person is unable to obtain alternative appropriate employment within their local area, the</w:t>
      </w:r>
      <w:r w:rsidR="005C35CD">
        <w:rPr>
          <w:szCs w:val="22"/>
        </w:rPr>
        <w:t xml:space="preserve"> </w:t>
      </w:r>
      <w:r w:rsidR="00A92397">
        <w:rPr>
          <w:szCs w:val="22"/>
        </w:rPr>
        <w:t>blue card system</w:t>
      </w:r>
      <w:r w:rsidR="0092058D" w:rsidRPr="007E7482">
        <w:rPr>
          <w:szCs w:val="22"/>
        </w:rPr>
        <w:t xml:space="preserve"> </w:t>
      </w:r>
      <w:r>
        <w:rPr>
          <w:szCs w:val="22"/>
        </w:rPr>
        <w:t xml:space="preserve">will </w:t>
      </w:r>
      <w:r w:rsidR="0092058D" w:rsidRPr="007E7482">
        <w:rPr>
          <w:szCs w:val="22"/>
        </w:rPr>
        <w:t>create</w:t>
      </w:r>
      <w:r>
        <w:rPr>
          <w:szCs w:val="22"/>
        </w:rPr>
        <w:t xml:space="preserve"> a</w:t>
      </w:r>
      <w:r w:rsidR="0092058D" w:rsidRPr="007E7482">
        <w:rPr>
          <w:szCs w:val="22"/>
        </w:rPr>
        <w:t xml:space="preserve"> barrier to employment for First Nations peopl</w:t>
      </w:r>
      <w:r>
        <w:rPr>
          <w:szCs w:val="22"/>
        </w:rPr>
        <w:t>e</w:t>
      </w:r>
      <w:r w:rsidR="0092058D" w:rsidRPr="007E7482">
        <w:rPr>
          <w:szCs w:val="22"/>
        </w:rPr>
        <w:t>, worsening unemployment and deepening</w:t>
      </w:r>
      <w:r w:rsidR="0092058D">
        <w:rPr>
          <w:szCs w:val="22"/>
        </w:rPr>
        <w:t xml:space="preserve"> social and economic</w:t>
      </w:r>
      <w:r w:rsidR="0092058D" w:rsidRPr="007E7482">
        <w:rPr>
          <w:szCs w:val="22"/>
        </w:rPr>
        <w:t xml:space="preserve"> inequality </w:t>
      </w:r>
      <w:r w:rsidR="0092058D">
        <w:rPr>
          <w:szCs w:val="22"/>
        </w:rPr>
        <w:t xml:space="preserve">in </w:t>
      </w:r>
      <w:r w:rsidR="0092058D" w:rsidRPr="007E7482">
        <w:rPr>
          <w:szCs w:val="22"/>
        </w:rPr>
        <w:t>First Nations communities.</w:t>
      </w:r>
    </w:p>
    <w:p w14:paraId="7B38E2BF" w14:textId="7143B68F" w:rsidR="006012F8" w:rsidRPr="00F51D11" w:rsidRDefault="00BD4604" w:rsidP="00B75156">
      <w:pPr>
        <w:pStyle w:val="Numberedparagraph"/>
        <w:keepNext/>
        <w:numPr>
          <w:ilvl w:val="0"/>
          <w:numId w:val="0"/>
        </w:numPr>
        <w:rPr>
          <w:szCs w:val="22"/>
        </w:rPr>
      </w:pPr>
      <w:r>
        <w:rPr>
          <w:bCs/>
          <w:i/>
        </w:rPr>
        <w:t>R</w:t>
      </w:r>
      <w:r w:rsidR="00CB6ECA" w:rsidRPr="00C56751">
        <w:rPr>
          <w:bCs/>
          <w:i/>
        </w:rPr>
        <w:t>ight</w:t>
      </w:r>
      <w:r w:rsidR="00CB6ECA" w:rsidRPr="00C56751">
        <w:rPr>
          <w:i/>
        </w:rPr>
        <w:t xml:space="preserve"> to protection of families and children, section 26</w:t>
      </w:r>
      <w:r w:rsidR="00F51D11">
        <w:rPr>
          <w:i/>
        </w:rPr>
        <w:t>;</w:t>
      </w:r>
      <w:r>
        <w:rPr>
          <w:bCs/>
          <w:i/>
        </w:rPr>
        <w:t xml:space="preserve"> </w:t>
      </w:r>
      <w:r w:rsidR="00F51D11">
        <w:rPr>
          <w:bCs/>
          <w:i/>
        </w:rPr>
        <w:t>c</w:t>
      </w:r>
      <w:r w:rsidRPr="00B26F38">
        <w:rPr>
          <w:bCs/>
          <w:i/>
        </w:rPr>
        <w:t xml:space="preserve">ultural rights, section 28 </w:t>
      </w:r>
    </w:p>
    <w:p w14:paraId="45255F4A" w14:textId="185F5EAE" w:rsidR="00BD4604" w:rsidRPr="00B26F38" w:rsidRDefault="00BD4604" w:rsidP="00BD4604">
      <w:pPr>
        <w:pStyle w:val="Numberedparagraph"/>
        <w:numPr>
          <w:ilvl w:val="0"/>
          <w:numId w:val="0"/>
        </w:numPr>
        <w:rPr>
          <w:szCs w:val="22"/>
          <w:lang w:val="en-US"/>
        </w:rPr>
      </w:pPr>
      <w:r w:rsidRPr="00614599">
        <w:rPr>
          <w:szCs w:val="22"/>
          <w:lang w:val="en-US"/>
        </w:rPr>
        <w:t>Section 26 of the H</w:t>
      </w:r>
      <w:r w:rsidR="00A2251C">
        <w:rPr>
          <w:szCs w:val="22"/>
          <w:lang w:val="en-US"/>
        </w:rPr>
        <w:t>uman Rights</w:t>
      </w:r>
      <w:r w:rsidRPr="00614599">
        <w:rPr>
          <w:szCs w:val="22"/>
          <w:lang w:val="en-US"/>
        </w:rPr>
        <w:t xml:space="preserve"> Act provides that </w:t>
      </w:r>
      <w:r>
        <w:rPr>
          <w:szCs w:val="22"/>
          <w:lang w:val="en-US"/>
        </w:rPr>
        <w:t xml:space="preserve">(1) families are entitled to be protected by society and state and </w:t>
      </w:r>
      <w:r w:rsidR="00446EA0">
        <w:rPr>
          <w:szCs w:val="22"/>
          <w:lang w:val="en-US"/>
        </w:rPr>
        <w:t xml:space="preserve">(as above) </w:t>
      </w:r>
      <w:r>
        <w:rPr>
          <w:szCs w:val="22"/>
          <w:lang w:val="en-US"/>
        </w:rPr>
        <w:t xml:space="preserve">(2) </w:t>
      </w:r>
      <w:r w:rsidRPr="00614599">
        <w:rPr>
          <w:szCs w:val="22"/>
          <w:lang w:val="en-US"/>
        </w:rPr>
        <w:t>every child has the right, without discrimination, to the protection that is needed by the child, and is in the child’s best interests, because of being a child.</w:t>
      </w:r>
      <w:r w:rsidR="00C863E0" w:rsidRPr="0000262A">
        <w:rPr>
          <w:rStyle w:val="FootnoteReference"/>
        </w:rPr>
        <w:footnoteReference w:id="30"/>
      </w:r>
    </w:p>
    <w:p w14:paraId="631D6BDD" w14:textId="59B0FD80" w:rsidR="005B58A8" w:rsidRDefault="005B58A8" w:rsidP="003374DD">
      <w:pPr>
        <w:pStyle w:val="Numberedparagraph"/>
        <w:numPr>
          <w:ilvl w:val="0"/>
          <w:numId w:val="0"/>
        </w:numPr>
      </w:pPr>
      <w:r w:rsidRPr="00C56751">
        <w:t xml:space="preserve">Section 28 of the </w:t>
      </w:r>
      <w:r w:rsidRPr="00C56751">
        <w:rPr>
          <w:bCs/>
          <w:iCs/>
        </w:rPr>
        <w:t>H</w:t>
      </w:r>
      <w:r w:rsidR="00A2251C">
        <w:rPr>
          <w:bCs/>
          <w:iCs/>
        </w:rPr>
        <w:t>uman Rights</w:t>
      </w:r>
      <w:r w:rsidRPr="00C56751">
        <w:t xml:space="preserve"> Act</w:t>
      </w:r>
      <w:r w:rsidRPr="005B58A8">
        <w:rPr>
          <w:bCs/>
          <w:i/>
        </w:rPr>
        <w:t xml:space="preserve"> </w:t>
      </w:r>
      <w:r w:rsidRPr="00C56751">
        <w:t xml:space="preserve">recognises the special importance of human rights for </w:t>
      </w:r>
      <w:r w:rsidR="00446EA0">
        <w:t>First Nations</w:t>
      </w:r>
      <w:r w:rsidRPr="00C56751">
        <w:t xml:space="preserve"> peoples and explicitly protects their distinct cultural rights</w:t>
      </w:r>
      <w:r w:rsidR="00FA3C75" w:rsidRPr="00C56751">
        <w:t xml:space="preserve"> </w:t>
      </w:r>
      <w:r w:rsidRPr="00C56751">
        <w:t>as Australia’s first peoples to enjoy, maintain, control, protect and develop their identity and</w:t>
      </w:r>
      <w:r w:rsidR="00FA3C75" w:rsidRPr="00C56751">
        <w:t xml:space="preserve"> </w:t>
      </w:r>
      <w:r w:rsidRPr="00C56751">
        <w:t xml:space="preserve">cultural heritage. It further protects the right of </w:t>
      </w:r>
      <w:r w:rsidR="00446EA0">
        <w:t>First Nations</w:t>
      </w:r>
      <w:r w:rsidRPr="00C56751">
        <w:t xml:space="preserve"> peoples</w:t>
      </w:r>
      <w:r w:rsidR="00FA3C75" w:rsidRPr="00C56751">
        <w:t xml:space="preserve"> </w:t>
      </w:r>
      <w:r w:rsidRPr="00C56751">
        <w:t>to use their language and enjoy their kinship ties</w:t>
      </w:r>
      <w:r w:rsidR="00A92397">
        <w:rPr>
          <w:bCs/>
          <w:iCs/>
        </w:rPr>
        <w:t>.</w:t>
      </w:r>
      <w:r w:rsidR="00A92397">
        <w:rPr>
          <w:rStyle w:val="FootnoteReference"/>
          <w:bCs/>
          <w:iCs/>
        </w:rPr>
        <w:footnoteReference w:id="31"/>
      </w:r>
    </w:p>
    <w:p w14:paraId="343C4288" w14:textId="00CB3F9D" w:rsidR="002665FB" w:rsidRPr="0000262A" w:rsidRDefault="00342747" w:rsidP="00C56751">
      <w:pPr>
        <w:pStyle w:val="Numberedparagraph"/>
        <w:numPr>
          <w:ilvl w:val="0"/>
          <w:numId w:val="0"/>
        </w:numPr>
      </w:pPr>
      <w:r>
        <w:t>A</w:t>
      </w:r>
      <w:r w:rsidR="002665FB">
        <w:t>s foster and kinship carers are currently required to obtain a blue card, the blue card system contribute</w:t>
      </w:r>
      <w:r w:rsidR="007E2AAC">
        <w:t>s</w:t>
      </w:r>
      <w:r w:rsidR="002665FB">
        <w:t xml:space="preserve"> to </w:t>
      </w:r>
      <w:r w:rsidR="002665FB" w:rsidRPr="0000262A">
        <w:t>the removal of children from their families and communities</w:t>
      </w:r>
      <w:r>
        <w:t xml:space="preserve"> limiting </w:t>
      </w:r>
      <w:r w:rsidR="00B47831">
        <w:t>fami</w:t>
      </w:r>
      <w:r w:rsidR="000034E1">
        <w:t>lies’</w:t>
      </w:r>
      <w:r w:rsidR="00B47831">
        <w:t xml:space="preserve"> and children’</w:t>
      </w:r>
      <w:r w:rsidR="000034E1">
        <w:t>s</w:t>
      </w:r>
      <w:r w:rsidR="00B47831">
        <w:t xml:space="preserve"> rights to protection</w:t>
      </w:r>
      <w:r w:rsidR="00B910A0">
        <w:t xml:space="preserve"> and to </w:t>
      </w:r>
      <w:r>
        <w:t>culture</w:t>
      </w:r>
      <w:r w:rsidR="002665FB" w:rsidRPr="0000262A">
        <w:t xml:space="preserve">. </w:t>
      </w:r>
      <w:r w:rsidR="00E3735C">
        <w:t>The r</w:t>
      </w:r>
      <w:r w:rsidR="002665FB">
        <w:t xml:space="preserve">emoval of children </w:t>
      </w:r>
      <w:r w:rsidR="00E3735C" w:rsidRPr="00E3735C">
        <w:t xml:space="preserve">introduces additional risks </w:t>
      </w:r>
      <w:r w:rsidR="00E3735C" w:rsidRPr="00E3735C">
        <w:lastRenderedPageBreak/>
        <w:t>of sexual abuse due to the child’s heightened vulnerability, isolation from their families and communities</w:t>
      </w:r>
      <w:r w:rsidR="00945A6B">
        <w:t>,</w:t>
      </w:r>
      <w:r w:rsidR="00E3735C" w:rsidRPr="00E3735C">
        <w:t xml:space="preserve"> and</w:t>
      </w:r>
      <w:r w:rsidR="00533BD1">
        <w:t xml:space="preserve"> potentially</w:t>
      </w:r>
      <w:r w:rsidR="00E3735C" w:rsidRPr="00E3735C">
        <w:t xml:space="preserve"> </w:t>
      </w:r>
      <w:r w:rsidR="008711A8">
        <w:t xml:space="preserve">less </w:t>
      </w:r>
      <w:r w:rsidR="00945A6B">
        <w:t>stable</w:t>
      </w:r>
      <w:r w:rsidR="00E3735C" w:rsidRPr="00E3735C">
        <w:t xml:space="preserve"> living situation</w:t>
      </w:r>
      <w:r w:rsidR="002665FB">
        <w:t>.</w:t>
      </w:r>
      <w:r w:rsidR="001B0FE1">
        <w:rPr>
          <w:rStyle w:val="FootnoteReference"/>
        </w:rPr>
        <w:footnoteReference w:id="32"/>
      </w:r>
      <w:r w:rsidR="002665FB">
        <w:t xml:space="preserve"> </w:t>
      </w:r>
    </w:p>
    <w:p w14:paraId="4AD7C734" w14:textId="78C890D5" w:rsidR="00D20AE9" w:rsidRPr="003F6059" w:rsidRDefault="00D20AE9" w:rsidP="00C56751">
      <w:pPr>
        <w:pStyle w:val="Numberedparagraph"/>
        <w:numPr>
          <w:ilvl w:val="0"/>
          <w:numId w:val="0"/>
        </w:numPr>
      </w:pPr>
      <w:r>
        <w:t xml:space="preserve">The Commission understands the requirement </w:t>
      </w:r>
      <w:r w:rsidR="00AE1076">
        <w:t>for kinship carers to hold a blue card will be removed pending the development of a new screening framework that is fit-for-purpose and culturally safe.</w:t>
      </w:r>
      <w:r w:rsidR="00D96EB0">
        <w:rPr>
          <w:rStyle w:val="FootnoteReference"/>
        </w:rPr>
        <w:footnoteReference w:id="33"/>
      </w:r>
      <w:r w:rsidR="00AE1076">
        <w:t xml:space="preserve"> </w:t>
      </w:r>
      <w:r w:rsidR="00D96EB0">
        <w:t xml:space="preserve">The Commission urges the Board to consider the above impacts on rights when making recommendations in relation to any new screening framework. </w:t>
      </w:r>
    </w:p>
    <w:p w14:paraId="3E5C16AE" w14:textId="31BD2002" w:rsidR="001D3FB3" w:rsidRPr="00515655" w:rsidRDefault="002F6F1D" w:rsidP="001D3FB3">
      <w:pPr>
        <w:rPr>
          <w:rFonts w:cs="Arial"/>
          <w:sz w:val="22"/>
          <w:u w:val="single"/>
        </w:rPr>
      </w:pPr>
      <w:r>
        <w:rPr>
          <w:rFonts w:cs="Arial"/>
          <w:sz w:val="22"/>
          <w:u w:val="single"/>
        </w:rPr>
        <w:t>The Board</w:t>
      </w:r>
      <w:r w:rsidR="009F00D5">
        <w:rPr>
          <w:rFonts w:cs="Arial"/>
          <w:sz w:val="22"/>
          <w:u w:val="single"/>
        </w:rPr>
        <w:t>’</w:t>
      </w:r>
      <w:r>
        <w:rPr>
          <w:rFonts w:cs="Arial"/>
          <w:sz w:val="22"/>
          <w:u w:val="single"/>
        </w:rPr>
        <w:t>s obligations with respect to</w:t>
      </w:r>
      <w:r w:rsidR="00AD5B11">
        <w:rPr>
          <w:rFonts w:cs="Arial"/>
          <w:sz w:val="22"/>
          <w:u w:val="single"/>
        </w:rPr>
        <w:t xml:space="preserve"> human rights</w:t>
      </w:r>
    </w:p>
    <w:p w14:paraId="0B473D75" w14:textId="61AA0DA5" w:rsidR="0075254D" w:rsidRDefault="0075254D" w:rsidP="0075254D">
      <w:pPr>
        <w:rPr>
          <w:rFonts w:cs="Arial"/>
          <w:sz w:val="22"/>
        </w:rPr>
      </w:pPr>
      <w:r>
        <w:rPr>
          <w:rFonts w:cs="Arial"/>
          <w:sz w:val="22"/>
          <w:lang w:val="en-US"/>
        </w:rPr>
        <w:t xml:space="preserve">The Human Rights Act </w:t>
      </w:r>
      <w:r w:rsidR="002939C8">
        <w:rPr>
          <w:rFonts w:cs="Arial"/>
          <w:sz w:val="22"/>
          <w:lang w:val="en-US"/>
        </w:rPr>
        <w:t>provides</w:t>
      </w:r>
      <w:r>
        <w:rPr>
          <w:rFonts w:cs="Arial"/>
          <w:sz w:val="22"/>
          <w:lang w:val="en-US"/>
        </w:rPr>
        <w:t xml:space="preserve"> a framework </w:t>
      </w:r>
      <w:r w:rsidR="002939C8">
        <w:rPr>
          <w:rFonts w:cs="Arial"/>
          <w:sz w:val="22"/>
          <w:lang w:val="en-US"/>
        </w:rPr>
        <w:t>for</w:t>
      </w:r>
      <w:r>
        <w:rPr>
          <w:rFonts w:cs="Arial"/>
          <w:sz w:val="22"/>
          <w:lang w:val="en-US"/>
        </w:rPr>
        <w:t xml:space="preserve"> robust decision-making. It seeks to ensure </w:t>
      </w:r>
      <w:r w:rsidRPr="00C56751">
        <w:rPr>
          <w:rFonts w:cs="Arial"/>
          <w:sz w:val="22"/>
          <w:lang w:val="en-US"/>
        </w:rPr>
        <w:t xml:space="preserve">policy and </w:t>
      </w:r>
      <w:r>
        <w:rPr>
          <w:rFonts w:cs="Arial"/>
          <w:sz w:val="22"/>
          <w:lang w:val="en-US"/>
        </w:rPr>
        <w:t xml:space="preserve">legislation is effective and does not create more harm than is necessary to achieve its purpose. </w:t>
      </w:r>
      <w:r>
        <w:rPr>
          <w:rFonts w:cs="Arial"/>
          <w:sz w:val="22"/>
        </w:rPr>
        <w:t>A human rights compatible approach to blue cards will create more effective, sustainable solutions that will enhance child safety</w:t>
      </w:r>
      <w:r w:rsidR="00832F67">
        <w:rPr>
          <w:rFonts w:cs="Arial"/>
          <w:sz w:val="22"/>
        </w:rPr>
        <w:t xml:space="preserve"> and will not disproportionately limit the rights of members of our community.</w:t>
      </w:r>
    </w:p>
    <w:p w14:paraId="72D5ABEA" w14:textId="4F8811CD" w:rsidR="00251FE4" w:rsidRPr="0000262A" w:rsidRDefault="00293E21" w:rsidP="00251FE4">
      <w:pPr>
        <w:rPr>
          <w:rFonts w:cs="Arial"/>
          <w:sz w:val="22"/>
        </w:rPr>
      </w:pPr>
      <w:r>
        <w:rPr>
          <w:rFonts w:cs="Arial"/>
          <w:sz w:val="22"/>
        </w:rPr>
        <w:t>P</w:t>
      </w:r>
      <w:r w:rsidR="002F6F1D" w:rsidRPr="002F6F1D">
        <w:rPr>
          <w:rFonts w:cs="Arial"/>
          <w:sz w:val="22"/>
        </w:rPr>
        <w:t xml:space="preserve">ublic entities </w:t>
      </w:r>
      <w:r w:rsidR="001C36C2">
        <w:rPr>
          <w:rFonts w:cs="Arial"/>
          <w:sz w:val="22"/>
        </w:rPr>
        <w:t xml:space="preserve">are </w:t>
      </w:r>
      <w:r w:rsidR="002F6F1D" w:rsidRPr="002F6F1D">
        <w:rPr>
          <w:rFonts w:cs="Arial"/>
          <w:sz w:val="22"/>
        </w:rPr>
        <w:t>to properly consider human rights when making decisions and to make decisions compatibility with human rights.</w:t>
      </w:r>
      <w:r w:rsidR="004206DD">
        <w:rPr>
          <w:rStyle w:val="FootnoteReference"/>
          <w:rFonts w:cs="Arial"/>
          <w:sz w:val="22"/>
        </w:rPr>
        <w:footnoteReference w:id="34"/>
      </w:r>
      <w:r w:rsidR="002F6F1D" w:rsidRPr="002F6F1D">
        <w:rPr>
          <w:rFonts w:cs="Arial"/>
          <w:sz w:val="22"/>
        </w:rPr>
        <w:t xml:space="preserve"> </w:t>
      </w:r>
      <w:r w:rsidR="00251FE4">
        <w:rPr>
          <w:rFonts w:cs="Arial"/>
          <w:sz w:val="22"/>
        </w:rPr>
        <w:t>As t</w:t>
      </w:r>
      <w:r w:rsidR="00251FE4" w:rsidRPr="0000262A">
        <w:rPr>
          <w:rFonts w:cs="Arial"/>
          <w:sz w:val="22"/>
        </w:rPr>
        <w:t>he Board is a public entity</w:t>
      </w:r>
      <w:r w:rsidR="00251FE4">
        <w:rPr>
          <w:rFonts w:cs="Arial"/>
          <w:sz w:val="22"/>
        </w:rPr>
        <w:t>,</w:t>
      </w:r>
      <w:r w:rsidR="00251FE4" w:rsidRPr="0000262A">
        <w:rPr>
          <w:rStyle w:val="FootnoteReference"/>
          <w:rFonts w:cs="Arial"/>
          <w:sz w:val="22"/>
        </w:rPr>
        <w:footnoteReference w:id="35"/>
      </w:r>
      <w:r w:rsidR="00251FE4" w:rsidRPr="0000262A">
        <w:rPr>
          <w:rFonts w:cs="Arial"/>
          <w:sz w:val="22"/>
        </w:rPr>
        <w:t xml:space="preserve"> </w:t>
      </w:r>
      <w:r w:rsidR="00251FE4">
        <w:rPr>
          <w:rFonts w:cs="Arial"/>
          <w:sz w:val="22"/>
        </w:rPr>
        <w:t>the Board must properly consider human rights and make decisions compatibly with human rights, including when developing</w:t>
      </w:r>
      <w:r w:rsidR="00251FE4" w:rsidRPr="004E4DC4">
        <w:rPr>
          <w:rFonts w:cs="Arial"/>
          <w:sz w:val="22"/>
        </w:rPr>
        <w:t xml:space="preserve"> recommendations </w:t>
      </w:r>
      <w:r w:rsidR="00251FE4">
        <w:rPr>
          <w:rFonts w:cs="Arial"/>
          <w:sz w:val="22"/>
        </w:rPr>
        <w:t>i</w:t>
      </w:r>
      <w:r w:rsidR="00251FE4" w:rsidRPr="004E4DC4">
        <w:rPr>
          <w:rFonts w:cs="Arial"/>
          <w:sz w:val="22"/>
        </w:rPr>
        <w:t>n relation to the</w:t>
      </w:r>
      <w:r w:rsidR="00251FE4">
        <w:rPr>
          <w:rFonts w:cs="Arial"/>
          <w:sz w:val="22"/>
        </w:rPr>
        <w:t xml:space="preserve"> </w:t>
      </w:r>
      <w:r w:rsidR="0009023F">
        <w:rPr>
          <w:rFonts w:cs="Arial"/>
          <w:sz w:val="22"/>
        </w:rPr>
        <w:t>blue card</w:t>
      </w:r>
      <w:r w:rsidR="00251FE4">
        <w:rPr>
          <w:rFonts w:cs="Arial"/>
          <w:sz w:val="22"/>
        </w:rPr>
        <w:t xml:space="preserve"> </w:t>
      </w:r>
      <w:r w:rsidR="00251FE4" w:rsidRPr="004E4DC4">
        <w:rPr>
          <w:rFonts w:cs="Arial"/>
          <w:sz w:val="22"/>
        </w:rPr>
        <w:t>system</w:t>
      </w:r>
      <w:r w:rsidR="0009023F">
        <w:rPr>
          <w:rFonts w:cs="Arial"/>
          <w:sz w:val="22"/>
        </w:rPr>
        <w:t xml:space="preserve"> and any alternative screening system for kinship carers</w:t>
      </w:r>
      <w:r w:rsidR="00251FE4" w:rsidRPr="004E4DC4">
        <w:rPr>
          <w:rFonts w:cs="Arial"/>
          <w:sz w:val="22"/>
        </w:rPr>
        <w:t>.</w:t>
      </w:r>
      <w:r w:rsidR="00251FE4" w:rsidRPr="0000262A">
        <w:rPr>
          <w:rStyle w:val="FootnoteReference"/>
          <w:rFonts w:cs="Arial"/>
          <w:sz w:val="22"/>
        </w:rPr>
        <w:footnoteReference w:id="36"/>
      </w:r>
    </w:p>
    <w:p w14:paraId="673F1D00" w14:textId="2A533283" w:rsidR="00B172FB" w:rsidRPr="00B172FB" w:rsidRDefault="0032656E" w:rsidP="00B172FB">
      <w:pPr>
        <w:rPr>
          <w:rFonts w:cs="Arial"/>
          <w:sz w:val="22"/>
        </w:rPr>
      </w:pPr>
      <w:r w:rsidRPr="0032656E">
        <w:rPr>
          <w:rFonts w:cs="Arial"/>
          <w:sz w:val="22"/>
        </w:rPr>
        <w:t>A decision will be compatible with human rights where it does not limit human rights or where any limits are reasonable and justifiable</w:t>
      </w:r>
      <w:r w:rsidR="002664C3" w:rsidRPr="0000262A">
        <w:rPr>
          <w:rFonts w:cs="Arial"/>
          <w:sz w:val="22"/>
        </w:rPr>
        <w:t>.</w:t>
      </w:r>
      <w:r w:rsidR="002664C3" w:rsidRPr="0000262A">
        <w:rPr>
          <w:rFonts w:cs="Arial"/>
          <w:sz w:val="22"/>
          <w:vertAlign w:val="superscript"/>
        </w:rPr>
        <w:footnoteReference w:id="37"/>
      </w:r>
      <w:r w:rsidR="002664C3" w:rsidRPr="0000262A">
        <w:rPr>
          <w:rFonts w:cs="Arial"/>
          <w:sz w:val="22"/>
        </w:rPr>
        <w:t xml:space="preserve"> </w:t>
      </w:r>
      <w:r w:rsidR="00B172FB" w:rsidRPr="00B172FB">
        <w:rPr>
          <w:rFonts w:cs="Arial"/>
          <w:sz w:val="22"/>
        </w:rPr>
        <w:t xml:space="preserve">In determining whether a limit is justifiable </w:t>
      </w:r>
      <w:r w:rsidR="00407FD7" w:rsidRPr="00B172FB">
        <w:rPr>
          <w:rFonts w:cs="Arial"/>
          <w:sz w:val="22"/>
        </w:rPr>
        <w:t>several</w:t>
      </w:r>
      <w:r w:rsidR="00B172FB" w:rsidRPr="00B172FB">
        <w:rPr>
          <w:rFonts w:cs="Arial"/>
          <w:sz w:val="22"/>
        </w:rPr>
        <w:t xml:space="preserve"> factors must be considered. First</w:t>
      </w:r>
      <w:r w:rsidR="000738B9">
        <w:rPr>
          <w:rFonts w:cs="Arial"/>
          <w:sz w:val="22"/>
        </w:rPr>
        <w:t>,</w:t>
      </w:r>
      <w:r w:rsidR="00B172FB" w:rsidRPr="00B172FB">
        <w:rPr>
          <w:rFonts w:cs="Arial"/>
          <w:sz w:val="22"/>
        </w:rPr>
        <w:t xml:space="preserve"> the limit must be for a legitimate purpose and there must be a rational connection between the limit on rights and the legitimate purpose (</w:t>
      </w:r>
      <w:r w:rsidR="008D63AA">
        <w:rPr>
          <w:rFonts w:cs="Arial"/>
          <w:sz w:val="22"/>
        </w:rPr>
        <w:t xml:space="preserve">in other words, </w:t>
      </w:r>
      <w:r w:rsidR="00B172FB" w:rsidRPr="00B172FB">
        <w:rPr>
          <w:rFonts w:cs="Arial"/>
          <w:sz w:val="22"/>
        </w:rPr>
        <w:t>the limit must help to achieve the purpose). Additionally, there must be no less restrictive, reasonably available alternative and the limit on rights must be proportionate</w:t>
      </w:r>
      <w:r w:rsidR="009C2F63">
        <w:rPr>
          <w:rFonts w:cs="Arial"/>
          <w:sz w:val="22"/>
        </w:rPr>
        <w:t>,</w:t>
      </w:r>
      <w:r w:rsidR="00B172FB" w:rsidRPr="00B172FB">
        <w:rPr>
          <w:rFonts w:cs="Arial"/>
          <w:sz w:val="22"/>
        </w:rPr>
        <w:t xml:space="preserve"> taking into account the importance of the purpose of the limitation and of preserving the relevant rights.</w:t>
      </w:r>
      <w:r w:rsidR="00055F59">
        <w:rPr>
          <w:rStyle w:val="FootnoteReference"/>
          <w:rFonts w:cs="Arial"/>
          <w:sz w:val="22"/>
        </w:rPr>
        <w:footnoteReference w:id="38"/>
      </w:r>
    </w:p>
    <w:p w14:paraId="0B7EA9A1" w14:textId="77777777" w:rsidR="0057111B" w:rsidRDefault="00E77B77" w:rsidP="00AA6FC8">
      <w:pPr>
        <w:rPr>
          <w:rFonts w:cs="Arial"/>
          <w:sz w:val="22"/>
        </w:rPr>
      </w:pPr>
      <w:r>
        <w:rPr>
          <w:rFonts w:cs="Arial"/>
          <w:sz w:val="22"/>
        </w:rPr>
        <w:t>The protection of children from abuse is a legitimate purpose</w:t>
      </w:r>
      <w:r w:rsidR="00CD42E9">
        <w:rPr>
          <w:rFonts w:cs="Arial"/>
          <w:sz w:val="22"/>
        </w:rPr>
        <w:t xml:space="preserve"> and </w:t>
      </w:r>
      <w:r w:rsidR="007E68AA">
        <w:rPr>
          <w:rFonts w:cs="Arial"/>
          <w:sz w:val="22"/>
        </w:rPr>
        <w:t xml:space="preserve">the </w:t>
      </w:r>
      <w:r w:rsidR="007712CD">
        <w:rPr>
          <w:rFonts w:cs="Arial"/>
          <w:sz w:val="22"/>
        </w:rPr>
        <w:t xml:space="preserve">limitation of others’ rights in service of the </w:t>
      </w:r>
      <w:r w:rsidR="007E68AA">
        <w:rPr>
          <w:rFonts w:cs="Arial"/>
          <w:sz w:val="22"/>
        </w:rPr>
        <w:t>fulfillment of children’s rights to protection in their best interests</w:t>
      </w:r>
      <w:r w:rsidR="007712CD">
        <w:rPr>
          <w:rFonts w:cs="Arial"/>
          <w:sz w:val="22"/>
        </w:rPr>
        <w:t xml:space="preserve"> will often be justifiable</w:t>
      </w:r>
      <w:r w:rsidR="00C94050" w:rsidRPr="00C94050">
        <w:rPr>
          <w:rFonts w:cs="Arial"/>
          <w:sz w:val="22"/>
        </w:rPr>
        <w:t xml:space="preserve">. </w:t>
      </w:r>
      <w:r w:rsidR="009C2675" w:rsidRPr="0000262A">
        <w:rPr>
          <w:rFonts w:cs="Arial"/>
          <w:sz w:val="22"/>
        </w:rPr>
        <w:t xml:space="preserve">However, </w:t>
      </w:r>
      <w:r w:rsidR="00BD36DF">
        <w:rPr>
          <w:rFonts w:cs="Arial"/>
          <w:sz w:val="22"/>
        </w:rPr>
        <w:t xml:space="preserve">any limit on others’ rights must </w:t>
      </w:r>
      <w:r w:rsidR="003A769D">
        <w:rPr>
          <w:rFonts w:cs="Arial"/>
          <w:sz w:val="22"/>
        </w:rPr>
        <w:t xml:space="preserve">be shown to be least restrictive and capable of achieving </w:t>
      </w:r>
      <w:r w:rsidR="0057111B">
        <w:rPr>
          <w:rFonts w:cs="Arial"/>
          <w:sz w:val="22"/>
        </w:rPr>
        <w:t>its purpose to protect children</w:t>
      </w:r>
      <w:r w:rsidR="003A769D">
        <w:rPr>
          <w:rFonts w:cs="Arial"/>
          <w:sz w:val="22"/>
        </w:rPr>
        <w:t xml:space="preserve">. </w:t>
      </w:r>
    </w:p>
    <w:p w14:paraId="41029DE4" w14:textId="11F82A20" w:rsidR="00EB6CF2" w:rsidRPr="00AA6FC8" w:rsidRDefault="003A769D" w:rsidP="00AA6FC8">
      <w:pPr>
        <w:rPr>
          <w:rFonts w:cs="Arial"/>
          <w:sz w:val="22"/>
        </w:rPr>
      </w:pPr>
      <w:r>
        <w:rPr>
          <w:rFonts w:cs="Arial"/>
          <w:sz w:val="22"/>
        </w:rPr>
        <w:t xml:space="preserve">When considering these elements of the compatibility analysis, </w:t>
      </w:r>
      <w:r w:rsidR="009C2675" w:rsidRPr="0000262A">
        <w:rPr>
          <w:rFonts w:cs="Arial"/>
          <w:sz w:val="22"/>
        </w:rPr>
        <w:t>i</w:t>
      </w:r>
      <w:r w:rsidR="005252A8" w:rsidRPr="0000262A">
        <w:rPr>
          <w:rFonts w:cs="Arial"/>
          <w:sz w:val="22"/>
        </w:rPr>
        <w:t>t is</w:t>
      </w:r>
      <w:r w:rsidR="00D8702A">
        <w:rPr>
          <w:rFonts w:cs="Arial"/>
          <w:sz w:val="22"/>
        </w:rPr>
        <w:t xml:space="preserve"> </w:t>
      </w:r>
      <w:r w:rsidR="0057111B">
        <w:rPr>
          <w:rFonts w:cs="Arial"/>
          <w:sz w:val="22"/>
        </w:rPr>
        <w:t>relevant</w:t>
      </w:r>
      <w:r w:rsidR="005252A8" w:rsidRPr="0000262A">
        <w:rPr>
          <w:rFonts w:cs="Arial"/>
          <w:sz w:val="22"/>
        </w:rPr>
        <w:t xml:space="preserve"> that a </w:t>
      </w:r>
      <w:r>
        <w:rPr>
          <w:rFonts w:cs="Arial"/>
          <w:sz w:val="22"/>
        </w:rPr>
        <w:t>b</w:t>
      </w:r>
      <w:r w:rsidR="004C5E18">
        <w:rPr>
          <w:rFonts w:cs="Arial"/>
          <w:sz w:val="22"/>
        </w:rPr>
        <w:t xml:space="preserve">lue </w:t>
      </w:r>
      <w:r>
        <w:rPr>
          <w:rFonts w:cs="Arial"/>
          <w:sz w:val="22"/>
        </w:rPr>
        <w:t>c</w:t>
      </w:r>
      <w:r w:rsidR="004C5E18">
        <w:rPr>
          <w:rFonts w:cs="Arial"/>
          <w:sz w:val="22"/>
        </w:rPr>
        <w:t>ard</w:t>
      </w:r>
      <w:r w:rsidR="00C03BF7" w:rsidRPr="0000262A">
        <w:rPr>
          <w:rFonts w:cs="Arial"/>
          <w:sz w:val="22"/>
        </w:rPr>
        <w:t xml:space="preserve"> </w:t>
      </w:r>
      <w:r w:rsidR="005252A8" w:rsidRPr="0000262A">
        <w:rPr>
          <w:rFonts w:cs="Arial"/>
          <w:sz w:val="22"/>
        </w:rPr>
        <w:t>is</w:t>
      </w:r>
      <w:r w:rsidR="004C5E18">
        <w:rPr>
          <w:rFonts w:cs="Arial"/>
          <w:sz w:val="22"/>
        </w:rPr>
        <w:t xml:space="preserve"> just</w:t>
      </w:r>
      <w:r w:rsidR="005252A8" w:rsidRPr="0000262A">
        <w:rPr>
          <w:rFonts w:cs="Arial"/>
          <w:sz w:val="22"/>
        </w:rPr>
        <w:t xml:space="preserve"> one tool in the broader system for keeping children safe and does not</w:t>
      </w:r>
      <w:r w:rsidR="00B5449A">
        <w:rPr>
          <w:rFonts w:cs="Arial"/>
          <w:sz w:val="22"/>
        </w:rPr>
        <w:t>,</w:t>
      </w:r>
      <w:r w:rsidR="005252A8" w:rsidRPr="0000262A">
        <w:rPr>
          <w:rFonts w:cs="Arial"/>
          <w:sz w:val="22"/>
        </w:rPr>
        <w:t xml:space="preserve"> </w:t>
      </w:r>
      <w:r w:rsidR="004C5E18">
        <w:rPr>
          <w:rFonts w:cs="Arial"/>
          <w:sz w:val="22"/>
        </w:rPr>
        <w:t>of itself</w:t>
      </w:r>
      <w:r w:rsidR="00B5449A">
        <w:rPr>
          <w:rFonts w:cs="Arial"/>
          <w:sz w:val="22"/>
        </w:rPr>
        <w:t>,</w:t>
      </w:r>
      <w:r w:rsidR="004C5E18">
        <w:rPr>
          <w:rFonts w:cs="Arial"/>
          <w:sz w:val="22"/>
        </w:rPr>
        <w:t xml:space="preserve"> </w:t>
      </w:r>
      <w:r w:rsidR="005252A8" w:rsidRPr="0000262A">
        <w:rPr>
          <w:rFonts w:cs="Arial"/>
          <w:sz w:val="22"/>
        </w:rPr>
        <w:t>guarantee</w:t>
      </w:r>
      <w:r w:rsidR="004C5E18">
        <w:rPr>
          <w:rFonts w:cs="Arial"/>
          <w:sz w:val="22"/>
        </w:rPr>
        <w:t xml:space="preserve"> safety</w:t>
      </w:r>
      <w:r w:rsidR="004C5E18" w:rsidRPr="00A52866">
        <w:rPr>
          <w:rFonts w:eastAsia="SimSun" w:cs="Arial"/>
          <w:sz w:val="22"/>
        </w:rPr>
        <w:t>.</w:t>
      </w:r>
      <w:r w:rsidR="00EB6CF2" w:rsidRPr="00EB6CF2">
        <w:rPr>
          <w:rFonts w:eastAsia="SimSun" w:cs="Arial"/>
          <w:sz w:val="22"/>
          <w:vertAlign w:val="superscript"/>
        </w:rPr>
        <w:footnoteReference w:id="39"/>
      </w:r>
      <w:r w:rsidR="00EB6CF2" w:rsidRPr="00EB6CF2">
        <w:rPr>
          <w:rFonts w:eastAsia="SimSun" w:cs="Arial"/>
          <w:sz w:val="22"/>
        </w:rPr>
        <w:t xml:space="preserve"> </w:t>
      </w:r>
      <w:r w:rsidR="0057111B">
        <w:rPr>
          <w:rFonts w:eastAsia="SimSun" w:cs="Arial"/>
          <w:sz w:val="22"/>
        </w:rPr>
        <w:t>As noted by the Board’s Progress report, t</w:t>
      </w:r>
      <w:r w:rsidR="00EB6CF2" w:rsidRPr="00EB6CF2">
        <w:rPr>
          <w:rFonts w:eastAsia="SimSun" w:cs="Arial"/>
          <w:sz w:val="22"/>
        </w:rPr>
        <w:t xml:space="preserve">he existing assessment process only </w:t>
      </w:r>
      <w:r w:rsidR="00EB6CF2" w:rsidRPr="00EB6CF2">
        <w:rPr>
          <w:rFonts w:eastAsia="SimSun" w:cs="Arial"/>
          <w:sz w:val="22"/>
        </w:rPr>
        <w:lastRenderedPageBreak/>
        <w:t>prevents employment where there has been a criminal charge or conviction and does not raise alarms about the conduct of individuals who are yet to be convicted.</w:t>
      </w:r>
      <w:r w:rsidR="0057111B">
        <w:rPr>
          <w:rStyle w:val="FootnoteReference"/>
          <w:rFonts w:eastAsia="SimSun" w:cs="Arial"/>
          <w:sz w:val="22"/>
        </w:rPr>
        <w:footnoteReference w:id="40"/>
      </w:r>
      <w:r w:rsidR="0058707E">
        <w:rPr>
          <w:rFonts w:eastAsia="SimSun" w:cs="Arial"/>
          <w:sz w:val="22"/>
        </w:rPr>
        <w:t xml:space="preserve"> </w:t>
      </w:r>
    </w:p>
    <w:p w14:paraId="6F2C10BC" w14:textId="77777777" w:rsidR="0059011B" w:rsidRDefault="00EB6CF2" w:rsidP="0059011B">
      <w:pPr>
        <w:spacing w:before="120" w:after="240"/>
        <w:rPr>
          <w:rFonts w:eastAsia="SimSun" w:cs="Arial"/>
          <w:sz w:val="22"/>
        </w:rPr>
      </w:pPr>
      <w:r w:rsidRPr="00EB6CF2">
        <w:rPr>
          <w:rFonts w:eastAsia="SimSun" w:cs="Arial"/>
          <w:sz w:val="22"/>
        </w:rPr>
        <w:t>The case of former Queensland childcare worker Ashley Paul Griffith provides a stark example of the</w:t>
      </w:r>
      <w:r w:rsidR="0058707E">
        <w:rPr>
          <w:rFonts w:eastAsia="SimSun" w:cs="Arial"/>
          <w:sz w:val="22"/>
        </w:rPr>
        <w:t xml:space="preserve"> limitations </w:t>
      </w:r>
      <w:r w:rsidRPr="00EB6CF2">
        <w:rPr>
          <w:rFonts w:eastAsia="SimSun" w:cs="Arial"/>
          <w:sz w:val="22"/>
        </w:rPr>
        <w:t xml:space="preserve">of the </w:t>
      </w:r>
      <w:r w:rsidR="0058707E">
        <w:rPr>
          <w:rFonts w:eastAsia="SimSun" w:cs="Arial"/>
          <w:sz w:val="22"/>
        </w:rPr>
        <w:t>b</w:t>
      </w:r>
      <w:r w:rsidRPr="00EB6CF2">
        <w:rPr>
          <w:rFonts w:eastAsia="SimSun" w:cs="Arial"/>
          <w:sz w:val="22"/>
        </w:rPr>
        <w:t xml:space="preserve">lue </w:t>
      </w:r>
      <w:r w:rsidR="0058707E">
        <w:rPr>
          <w:rFonts w:eastAsia="SimSun" w:cs="Arial"/>
          <w:sz w:val="22"/>
        </w:rPr>
        <w:t>c</w:t>
      </w:r>
      <w:r w:rsidRPr="00EB6CF2">
        <w:rPr>
          <w:rFonts w:eastAsia="SimSun" w:cs="Arial"/>
          <w:sz w:val="22"/>
        </w:rPr>
        <w:t xml:space="preserve">ard system. Despite more than one complaint being made against Ashley Paul Griffith to his employers, until the date of his arrest on 1,623 charges of child abuse, Griffith met all requirements to obtain and maintain a </w:t>
      </w:r>
      <w:r w:rsidR="0058707E">
        <w:rPr>
          <w:rFonts w:eastAsia="SimSun" w:cs="Arial"/>
          <w:sz w:val="22"/>
        </w:rPr>
        <w:t>b</w:t>
      </w:r>
      <w:r w:rsidRPr="00EB6CF2">
        <w:rPr>
          <w:rFonts w:eastAsia="SimSun" w:cs="Arial"/>
          <w:sz w:val="22"/>
        </w:rPr>
        <w:t xml:space="preserve">lue </w:t>
      </w:r>
      <w:r w:rsidR="0058707E">
        <w:rPr>
          <w:rFonts w:eastAsia="SimSun" w:cs="Arial"/>
          <w:sz w:val="22"/>
        </w:rPr>
        <w:t>c</w:t>
      </w:r>
      <w:r w:rsidRPr="00EB6CF2">
        <w:rPr>
          <w:rFonts w:eastAsia="SimSun" w:cs="Arial"/>
          <w:sz w:val="22"/>
        </w:rPr>
        <w:t>ard.</w:t>
      </w:r>
      <w:r w:rsidRPr="00EB6CF2">
        <w:rPr>
          <w:rFonts w:eastAsia="SimSun" w:cs="Arial"/>
          <w:sz w:val="22"/>
          <w:vertAlign w:val="superscript"/>
        </w:rPr>
        <w:footnoteReference w:id="41"/>
      </w:r>
      <w:r w:rsidRPr="00EB6CF2">
        <w:rPr>
          <w:rFonts w:eastAsia="SimSun" w:cs="Arial"/>
          <w:sz w:val="22"/>
        </w:rPr>
        <w:t xml:space="preserve"> </w:t>
      </w:r>
    </w:p>
    <w:p w14:paraId="4F54AD23" w14:textId="7DDB37BA" w:rsidR="006C0310" w:rsidRDefault="008F19DB" w:rsidP="0059011B">
      <w:pPr>
        <w:spacing w:before="120" w:after="240"/>
        <w:rPr>
          <w:rFonts w:cs="Arial"/>
          <w:sz w:val="22"/>
        </w:rPr>
      </w:pPr>
      <w:r>
        <w:rPr>
          <w:rFonts w:cs="Arial"/>
          <w:sz w:val="22"/>
        </w:rPr>
        <w:t>The Commission urges that a</w:t>
      </w:r>
      <w:r w:rsidR="003D7905">
        <w:rPr>
          <w:rFonts w:cs="Arial"/>
          <w:sz w:val="22"/>
        </w:rPr>
        <w:t>ny recommendations for</w:t>
      </w:r>
      <w:r w:rsidR="0078228F">
        <w:rPr>
          <w:rFonts w:cs="Arial"/>
          <w:sz w:val="22"/>
        </w:rPr>
        <w:t xml:space="preserve"> changes to the </w:t>
      </w:r>
      <w:r w:rsidR="0058707E">
        <w:rPr>
          <w:rFonts w:cs="Arial"/>
          <w:sz w:val="22"/>
        </w:rPr>
        <w:t>b</w:t>
      </w:r>
      <w:r w:rsidR="00B5449A">
        <w:rPr>
          <w:rFonts w:cs="Arial"/>
          <w:sz w:val="22"/>
        </w:rPr>
        <w:t xml:space="preserve">lue </w:t>
      </w:r>
      <w:r w:rsidR="0058707E">
        <w:rPr>
          <w:rFonts w:cs="Arial"/>
          <w:sz w:val="22"/>
        </w:rPr>
        <w:t>c</w:t>
      </w:r>
      <w:r w:rsidR="00B5449A">
        <w:rPr>
          <w:rFonts w:cs="Arial"/>
          <w:sz w:val="22"/>
        </w:rPr>
        <w:t>ard</w:t>
      </w:r>
      <w:r w:rsidR="00E33AD8" w:rsidRPr="0000262A">
        <w:rPr>
          <w:rFonts w:cs="Arial"/>
          <w:sz w:val="22"/>
        </w:rPr>
        <w:t xml:space="preserve"> </w:t>
      </w:r>
      <w:r w:rsidR="0078228F">
        <w:rPr>
          <w:rFonts w:cs="Arial"/>
          <w:sz w:val="22"/>
        </w:rPr>
        <w:t>system</w:t>
      </w:r>
      <w:r>
        <w:rPr>
          <w:rFonts w:cs="Arial"/>
          <w:sz w:val="22"/>
        </w:rPr>
        <w:t xml:space="preserve"> or </w:t>
      </w:r>
      <w:r w:rsidR="00251AEF">
        <w:rPr>
          <w:rFonts w:cs="Arial"/>
          <w:sz w:val="22"/>
        </w:rPr>
        <w:t xml:space="preserve">in relation to the development of an </w:t>
      </w:r>
      <w:r>
        <w:rPr>
          <w:rFonts w:cs="Arial"/>
          <w:sz w:val="22"/>
        </w:rPr>
        <w:t>alternative screening system for kinship carers</w:t>
      </w:r>
      <w:r w:rsidR="00F01558">
        <w:rPr>
          <w:rFonts w:cs="Arial"/>
          <w:sz w:val="22"/>
        </w:rPr>
        <w:t xml:space="preserve"> take a least restrictive approach </w:t>
      </w:r>
      <w:r w:rsidR="00251AEF">
        <w:rPr>
          <w:rFonts w:cs="Arial"/>
          <w:sz w:val="22"/>
        </w:rPr>
        <w:t xml:space="preserve">which </w:t>
      </w:r>
      <w:r w:rsidR="00C94150">
        <w:rPr>
          <w:rFonts w:cs="Arial"/>
          <w:sz w:val="22"/>
        </w:rPr>
        <w:t>is demonstrably proportionate</w:t>
      </w:r>
      <w:r w:rsidR="00E408DA">
        <w:rPr>
          <w:rFonts w:cs="Arial"/>
          <w:sz w:val="22"/>
        </w:rPr>
        <w:t xml:space="preserve"> and based</w:t>
      </w:r>
      <w:r w:rsidR="00251AEF">
        <w:rPr>
          <w:rFonts w:cs="Arial"/>
          <w:sz w:val="22"/>
        </w:rPr>
        <w:t xml:space="preserve"> on </w:t>
      </w:r>
      <w:r w:rsidR="00E408DA">
        <w:rPr>
          <w:rFonts w:cs="Arial"/>
          <w:sz w:val="22"/>
        </w:rPr>
        <w:t>clear evidence</w:t>
      </w:r>
      <w:r w:rsidR="008F51FA">
        <w:rPr>
          <w:rFonts w:cs="Arial"/>
          <w:sz w:val="22"/>
        </w:rPr>
        <w:t xml:space="preserve"> of </w:t>
      </w:r>
      <w:r w:rsidR="00E408DA">
        <w:rPr>
          <w:rFonts w:cs="Arial"/>
          <w:sz w:val="22"/>
        </w:rPr>
        <w:t>increased safety</w:t>
      </w:r>
      <w:r w:rsidR="00FE7175">
        <w:rPr>
          <w:rFonts w:cs="Arial"/>
          <w:sz w:val="22"/>
        </w:rPr>
        <w:t xml:space="preserve"> for</w:t>
      </w:r>
      <w:r w:rsidR="008F51FA">
        <w:rPr>
          <w:rFonts w:cs="Arial"/>
          <w:sz w:val="22"/>
        </w:rPr>
        <w:t xml:space="preserve"> children</w:t>
      </w:r>
      <w:r w:rsidR="00C94150">
        <w:rPr>
          <w:rFonts w:cs="Arial"/>
          <w:sz w:val="22"/>
        </w:rPr>
        <w:t xml:space="preserve"> (</w:t>
      </w:r>
      <w:r w:rsidR="00C94150" w:rsidRPr="00123FD2">
        <w:rPr>
          <w:rFonts w:cs="Arial"/>
          <w:b/>
          <w:bCs/>
          <w:sz w:val="22"/>
        </w:rPr>
        <w:t>Recommendation</w:t>
      </w:r>
      <w:r w:rsidR="00E408DA" w:rsidRPr="00123FD2">
        <w:rPr>
          <w:rFonts w:cs="Arial"/>
          <w:b/>
          <w:bCs/>
          <w:sz w:val="22"/>
        </w:rPr>
        <w:t xml:space="preserve"> 1</w:t>
      </w:r>
      <w:r w:rsidR="00C94150">
        <w:rPr>
          <w:rFonts w:cs="Arial"/>
          <w:sz w:val="22"/>
        </w:rPr>
        <w:t>)</w:t>
      </w:r>
      <w:r w:rsidR="00E408DA">
        <w:rPr>
          <w:rFonts w:cs="Arial"/>
          <w:sz w:val="22"/>
        </w:rPr>
        <w:t xml:space="preserve"> and do not have </w:t>
      </w:r>
      <w:r w:rsidR="0083441D">
        <w:rPr>
          <w:rFonts w:cs="Arial"/>
          <w:sz w:val="22"/>
        </w:rPr>
        <w:t xml:space="preserve">unjustifiable and disproportionate impacts on </w:t>
      </w:r>
      <w:r w:rsidR="00DD1A1C">
        <w:rPr>
          <w:rFonts w:cs="Arial"/>
          <w:sz w:val="22"/>
        </w:rPr>
        <w:t>First Nations</w:t>
      </w:r>
      <w:r w:rsidR="0083441D">
        <w:rPr>
          <w:rFonts w:cs="Arial"/>
          <w:sz w:val="22"/>
        </w:rPr>
        <w:t xml:space="preserve"> peoples (</w:t>
      </w:r>
      <w:r w:rsidR="0083441D" w:rsidRPr="00123FD2">
        <w:rPr>
          <w:rFonts w:cs="Arial"/>
          <w:b/>
          <w:bCs/>
          <w:sz w:val="22"/>
        </w:rPr>
        <w:t>Recommendation 2</w:t>
      </w:r>
      <w:r w:rsidR="0083441D">
        <w:rPr>
          <w:rFonts w:cs="Arial"/>
          <w:sz w:val="22"/>
        </w:rPr>
        <w:t>).</w:t>
      </w:r>
      <w:r w:rsidR="00665E7E">
        <w:rPr>
          <w:rFonts w:cs="Arial"/>
          <w:sz w:val="22"/>
        </w:rPr>
        <w:t xml:space="preserve"> </w:t>
      </w:r>
    </w:p>
    <w:p w14:paraId="225C78E6" w14:textId="3737B9C6" w:rsidR="00926C88" w:rsidRPr="0000262A" w:rsidRDefault="00926C88" w:rsidP="00926C88">
      <w:pPr>
        <w:pStyle w:val="Numberedparagraph"/>
        <w:numPr>
          <w:ilvl w:val="0"/>
          <w:numId w:val="0"/>
        </w:numPr>
        <w:rPr>
          <w:szCs w:val="22"/>
        </w:rPr>
      </w:pPr>
      <w:r>
        <w:rPr>
          <w:szCs w:val="22"/>
        </w:rPr>
        <w:t>For further commentary by the Commission on the impact of the blue card system on human rights, please see</w:t>
      </w:r>
      <w:r w:rsidRPr="0000262A">
        <w:rPr>
          <w:szCs w:val="22"/>
        </w:rPr>
        <w:t>:</w:t>
      </w:r>
    </w:p>
    <w:p w14:paraId="5096E007" w14:textId="77777777" w:rsidR="00926C88" w:rsidRPr="00B374CA" w:rsidRDefault="00926C88" w:rsidP="00926C88">
      <w:pPr>
        <w:pStyle w:val="ListParagraph"/>
        <w:numPr>
          <w:ilvl w:val="0"/>
          <w:numId w:val="46"/>
        </w:numPr>
        <w:rPr>
          <w:rFonts w:cs="Arial"/>
          <w:sz w:val="22"/>
        </w:rPr>
      </w:pPr>
      <w:r w:rsidRPr="00B374CA">
        <w:rPr>
          <w:rFonts w:cs="Arial"/>
          <w:sz w:val="22"/>
        </w:rPr>
        <w:t xml:space="preserve">10 July 2024, Working with Children (Risk Management and Screening) and Other Legislation Amendment Bill 2024, </w:t>
      </w:r>
      <w:hyperlink r:id="rId13" w:history="1">
        <w:r w:rsidRPr="00B374CA">
          <w:rPr>
            <w:rStyle w:val="Hyperlink"/>
            <w:rFonts w:cs="Arial"/>
            <w:sz w:val="22"/>
          </w:rPr>
          <w:t>available here.</w:t>
        </w:r>
      </w:hyperlink>
      <w:r>
        <w:rPr>
          <w:rStyle w:val="FootnoteReference"/>
        </w:rPr>
        <w:footnoteReference w:id="42"/>
      </w:r>
      <w:r w:rsidRPr="00B374CA">
        <w:rPr>
          <w:rFonts w:cs="Arial"/>
          <w:sz w:val="22"/>
        </w:rPr>
        <w:t xml:space="preserve"> </w:t>
      </w:r>
    </w:p>
    <w:p w14:paraId="32131D6C" w14:textId="3101CE4F" w:rsidR="00926C88" w:rsidRPr="00926C88" w:rsidRDefault="00926C88" w:rsidP="00926C88">
      <w:pPr>
        <w:pStyle w:val="ListParagraph"/>
        <w:numPr>
          <w:ilvl w:val="0"/>
          <w:numId w:val="46"/>
        </w:numPr>
        <w:rPr>
          <w:sz w:val="22"/>
        </w:rPr>
      </w:pPr>
      <w:r w:rsidRPr="00B374CA">
        <w:rPr>
          <w:rFonts w:cs="Arial"/>
          <w:sz w:val="22"/>
        </w:rPr>
        <w:t xml:space="preserve">22 November 2021, Working with Children (Indigenous Communities) Amendment Bill 2021, </w:t>
      </w:r>
      <w:hyperlink r:id="rId14" w:history="1">
        <w:r w:rsidRPr="00B374CA">
          <w:rPr>
            <w:rStyle w:val="Hyperlink"/>
            <w:rFonts w:cs="Arial"/>
            <w:sz w:val="22"/>
          </w:rPr>
          <w:t>available here</w:t>
        </w:r>
      </w:hyperlink>
      <w:r w:rsidRPr="00B374CA">
        <w:rPr>
          <w:rFonts w:cs="Arial"/>
          <w:sz w:val="22"/>
        </w:rPr>
        <w:t>.</w:t>
      </w:r>
      <w:r>
        <w:rPr>
          <w:rStyle w:val="FootnoteReference"/>
          <w:rFonts w:cs="Arial"/>
          <w:sz w:val="22"/>
        </w:rPr>
        <w:footnoteReference w:id="43"/>
      </w:r>
      <w:r w:rsidRPr="00B374CA">
        <w:rPr>
          <w:rFonts w:cs="Arial"/>
          <w:sz w:val="22"/>
        </w:rPr>
        <w:t xml:space="preserve"> </w:t>
      </w:r>
    </w:p>
    <w:p w14:paraId="7CA2AD0F" w14:textId="0164811D" w:rsidR="00CB6122" w:rsidRPr="00103FB0" w:rsidRDefault="0032014D" w:rsidP="00103FB0">
      <w:pPr>
        <w:keepNext/>
        <w:rPr>
          <w:rFonts w:cs="Arial"/>
          <w:b/>
          <w:bCs/>
          <w:sz w:val="22"/>
        </w:rPr>
      </w:pPr>
      <w:r>
        <w:rPr>
          <w:rFonts w:cs="Arial"/>
          <w:b/>
          <w:bCs/>
          <w:sz w:val="22"/>
        </w:rPr>
        <w:t>Beyond blue car</w:t>
      </w:r>
      <w:r w:rsidR="00E40D84">
        <w:rPr>
          <w:rFonts w:cs="Arial"/>
          <w:b/>
          <w:bCs/>
          <w:sz w:val="22"/>
        </w:rPr>
        <w:t xml:space="preserve">ds – evidence-based systems for </w:t>
      </w:r>
      <w:r w:rsidR="009C7432" w:rsidRPr="00103FB0">
        <w:rPr>
          <w:rFonts w:cs="Arial"/>
          <w:b/>
          <w:bCs/>
          <w:sz w:val="22"/>
        </w:rPr>
        <w:t>preventing child sexual abuse</w:t>
      </w:r>
      <w:r w:rsidR="00665E7E" w:rsidRPr="00103FB0">
        <w:rPr>
          <w:rFonts w:cs="Arial"/>
          <w:b/>
          <w:bCs/>
          <w:sz w:val="22"/>
        </w:rPr>
        <w:t xml:space="preserve"> </w:t>
      </w:r>
    </w:p>
    <w:p w14:paraId="06124345" w14:textId="77777777" w:rsidR="006C2D60" w:rsidRDefault="00863AAE" w:rsidP="00842D33">
      <w:pPr>
        <w:rPr>
          <w:rFonts w:cs="Arial"/>
          <w:sz w:val="22"/>
        </w:rPr>
      </w:pPr>
      <w:r>
        <w:rPr>
          <w:rFonts w:cs="Arial"/>
          <w:sz w:val="22"/>
        </w:rPr>
        <w:t>In recognition of the</w:t>
      </w:r>
      <w:r w:rsidR="00665E7E">
        <w:rPr>
          <w:rFonts w:cs="Arial"/>
          <w:sz w:val="22"/>
        </w:rPr>
        <w:t xml:space="preserve"> limitation</w:t>
      </w:r>
      <w:r>
        <w:rPr>
          <w:rFonts w:cs="Arial"/>
          <w:sz w:val="22"/>
        </w:rPr>
        <w:t>s</w:t>
      </w:r>
      <w:r w:rsidR="00665E7E">
        <w:rPr>
          <w:rFonts w:cs="Arial"/>
          <w:sz w:val="22"/>
        </w:rPr>
        <w:t xml:space="preserve"> of the blue card system</w:t>
      </w:r>
      <w:r>
        <w:rPr>
          <w:rFonts w:cs="Arial"/>
          <w:sz w:val="22"/>
        </w:rPr>
        <w:t xml:space="preserve"> and </w:t>
      </w:r>
      <w:r w:rsidR="00C4468D">
        <w:rPr>
          <w:rFonts w:cs="Arial"/>
          <w:sz w:val="22"/>
        </w:rPr>
        <w:t>its potential to impact others’ rights</w:t>
      </w:r>
      <w:r w:rsidR="00665E7E">
        <w:rPr>
          <w:rFonts w:cs="Arial"/>
          <w:sz w:val="22"/>
        </w:rPr>
        <w:t>, t</w:t>
      </w:r>
      <w:r w:rsidR="00CB6122">
        <w:rPr>
          <w:rFonts w:cs="Arial"/>
          <w:sz w:val="22"/>
        </w:rPr>
        <w:t>he Commission</w:t>
      </w:r>
      <w:r w:rsidR="00665E7E">
        <w:rPr>
          <w:rFonts w:cs="Arial"/>
          <w:sz w:val="22"/>
        </w:rPr>
        <w:t xml:space="preserve"> </w:t>
      </w:r>
      <w:r w:rsidR="00B44956" w:rsidRPr="00B44956">
        <w:rPr>
          <w:rFonts w:cs="Arial"/>
          <w:sz w:val="22"/>
        </w:rPr>
        <w:t>urges the Board, in making its recommendations, to prioritise the need for investment in early intervention, therapeutic models and whole of system accountability</w:t>
      </w:r>
      <w:r w:rsidR="006C2D60">
        <w:rPr>
          <w:rFonts w:cs="Arial"/>
          <w:sz w:val="22"/>
        </w:rPr>
        <w:t xml:space="preserve"> (</w:t>
      </w:r>
      <w:r w:rsidR="006C2D60" w:rsidRPr="006C2D60">
        <w:rPr>
          <w:rFonts w:cs="Arial"/>
          <w:b/>
          <w:bCs/>
          <w:sz w:val="22"/>
        </w:rPr>
        <w:t>Recommendation</w:t>
      </w:r>
      <w:r w:rsidR="006C2D60" w:rsidRPr="00123FD2">
        <w:rPr>
          <w:rFonts w:cs="Arial"/>
          <w:b/>
          <w:bCs/>
          <w:sz w:val="22"/>
        </w:rPr>
        <w:t xml:space="preserve"> 3</w:t>
      </w:r>
      <w:r w:rsidR="006C2D60">
        <w:rPr>
          <w:rFonts w:cs="Arial"/>
          <w:sz w:val="22"/>
        </w:rPr>
        <w:t>)</w:t>
      </w:r>
      <w:r w:rsidR="00B44956" w:rsidRPr="00B44956">
        <w:rPr>
          <w:rFonts w:cs="Arial"/>
          <w:sz w:val="22"/>
        </w:rPr>
        <w:t xml:space="preserve">. </w:t>
      </w:r>
    </w:p>
    <w:p w14:paraId="30EEB7E4" w14:textId="2450FBDE" w:rsidR="00CB6122" w:rsidRDefault="00665E7E" w:rsidP="00842D33">
      <w:pPr>
        <w:rPr>
          <w:rFonts w:cs="Arial"/>
          <w:sz w:val="22"/>
        </w:rPr>
      </w:pPr>
      <w:r>
        <w:rPr>
          <w:rFonts w:cs="Arial"/>
          <w:sz w:val="22"/>
        </w:rPr>
        <w:t xml:space="preserve">This includes </w:t>
      </w:r>
      <w:r w:rsidR="00C4468D">
        <w:rPr>
          <w:rFonts w:cs="Arial"/>
          <w:sz w:val="22"/>
        </w:rPr>
        <w:t xml:space="preserve">a </w:t>
      </w:r>
      <w:r w:rsidR="00296686">
        <w:rPr>
          <w:rFonts w:cs="Arial"/>
          <w:sz w:val="22"/>
        </w:rPr>
        <w:t>reportable conduct</w:t>
      </w:r>
      <w:r>
        <w:rPr>
          <w:rFonts w:cs="Arial"/>
          <w:sz w:val="22"/>
        </w:rPr>
        <w:t xml:space="preserve"> scheme</w:t>
      </w:r>
      <w:r w:rsidR="00E95E51">
        <w:rPr>
          <w:rFonts w:cs="Arial"/>
          <w:sz w:val="22"/>
        </w:rPr>
        <w:t xml:space="preserve">, which will commence </w:t>
      </w:r>
      <w:r w:rsidR="00C4468D">
        <w:rPr>
          <w:rFonts w:cs="Arial"/>
          <w:sz w:val="22"/>
        </w:rPr>
        <w:t>mid-</w:t>
      </w:r>
      <w:r w:rsidR="00E95E51">
        <w:rPr>
          <w:rFonts w:cs="Arial"/>
          <w:sz w:val="22"/>
        </w:rPr>
        <w:t>next year.</w:t>
      </w:r>
      <w:r w:rsidR="008466A2">
        <w:rPr>
          <w:rStyle w:val="FootnoteReference"/>
          <w:rFonts w:cs="Arial"/>
          <w:sz w:val="22"/>
        </w:rPr>
        <w:footnoteReference w:id="44"/>
      </w:r>
      <w:r w:rsidR="00E95E51">
        <w:rPr>
          <w:rFonts w:cs="Arial"/>
          <w:sz w:val="22"/>
        </w:rPr>
        <w:t xml:space="preserve"> </w:t>
      </w:r>
      <w:r>
        <w:rPr>
          <w:rFonts w:cs="Arial"/>
          <w:sz w:val="22"/>
        </w:rPr>
        <w:t>The Commission</w:t>
      </w:r>
      <w:r w:rsidR="00CB6122">
        <w:rPr>
          <w:rFonts w:cs="Arial"/>
          <w:sz w:val="22"/>
        </w:rPr>
        <w:t xml:space="preserve"> is</w:t>
      </w:r>
      <w:r>
        <w:rPr>
          <w:rFonts w:cs="Arial"/>
          <w:sz w:val="22"/>
        </w:rPr>
        <w:t xml:space="preserve"> also</w:t>
      </w:r>
      <w:r w:rsidR="00CB6122">
        <w:rPr>
          <w:rFonts w:cs="Arial"/>
          <w:sz w:val="22"/>
        </w:rPr>
        <w:t xml:space="preserve"> supportive</w:t>
      </w:r>
      <w:r w:rsidR="00AA42F4">
        <w:rPr>
          <w:rFonts w:cs="Arial"/>
          <w:sz w:val="22"/>
        </w:rPr>
        <w:t xml:space="preserve"> of the development of a nationally consistent</w:t>
      </w:r>
      <w:r w:rsidR="00CB6122" w:rsidRPr="00CB6122">
        <w:rPr>
          <w:rFonts w:cs="Arial"/>
          <w:sz w:val="22"/>
        </w:rPr>
        <w:t xml:space="preserve"> </w:t>
      </w:r>
      <w:r w:rsidR="00722FFA">
        <w:rPr>
          <w:rFonts w:cs="Arial"/>
          <w:sz w:val="22"/>
        </w:rPr>
        <w:t>w</w:t>
      </w:r>
      <w:r w:rsidR="00CB6122" w:rsidRPr="00CB6122">
        <w:rPr>
          <w:rFonts w:cs="Arial"/>
          <w:sz w:val="22"/>
        </w:rPr>
        <w:t xml:space="preserve">orking with </w:t>
      </w:r>
      <w:r w:rsidR="00722FFA">
        <w:rPr>
          <w:rFonts w:cs="Arial"/>
          <w:sz w:val="22"/>
        </w:rPr>
        <w:t>c</w:t>
      </w:r>
      <w:r w:rsidR="00CB6122" w:rsidRPr="00CB6122">
        <w:rPr>
          <w:rFonts w:cs="Arial"/>
          <w:sz w:val="22"/>
        </w:rPr>
        <w:t xml:space="preserve">hildren </w:t>
      </w:r>
      <w:r w:rsidR="00722FFA">
        <w:rPr>
          <w:rFonts w:cs="Arial"/>
          <w:sz w:val="22"/>
        </w:rPr>
        <w:t>c</w:t>
      </w:r>
      <w:r w:rsidR="00CB6122" w:rsidRPr="00CB6122">
        <w:rPr>
          <w:rFonts w:cs="Arial"/>
          <w:sz w:val="22"/>
        </w:rPr>
        <w:t>heck framework which will ensure children receive equal legal protection against the risk of sexual abuse across Australia.</w:t>
      </w:r>
      <w:r w:rsidR="00CB6122" w:rsidRPr="00CB6122">
        <w:rPr>
          <w:rStyle w:val="FootnoteReference"/>
        </w:rPr>
        <w:footnoteReference w:id="45"/>
      </w:r>
    </w:p>
    <w:p w14:paraId="7343E35F" w14:textId="2B04A5ED" w:rsidR="00CC706B" w:rsidRPr="00CC706B" w:rsidRDefault="00C32BB0" w:rsidP="00842D33">
      <w:pPr>
        <w:rPr>
          <w:rFonts w:cs="Arial"/>
          <w:sz w:val="22"/>
          <w:u w:val="single"/>
        </w:rPr>
      </w:pPr>
      <w:r>
        <w:rPr>
          <w:rFonts w:cs="Arial"/>
          <w:sz w:val="22"/>
          <w:u w:val="single"/>
        </w:rPr>
        <w:t>Preventing c</w:t>
      </w:r>
      <w:r w:rsidR="00CC706B" w:rsidRPr="00CC706B">
        <w:rPr>
          <w:rFonts w:cs="Arial"/>
          <w:sz w:val="22"/>
          <w:u w:val="single"/>
        </w:rPr>
        <w:t>hild sexual abuse perpetrated by children</w:t>
      </w:r>
    </w:p>
    <w:p w14:paraId="2242BA2C" w14:textId="3775DB60" w:rsidR="00F61FAF" w:rsidRDefault="00CC6E4A" w:rsidP="00842D33">
      <w:pPr>
        <w:rPr>
          <w:rFonts w:cs="Arial"/>
          <w:sz w:val="22"/>
        </w:rPr>
      </w:pPr>
      <w:r>
        <w:rPr>
          <w:rFonts w:cs="Arial"/>
          <w:sz w:val="22"/>
        </w:rPr>
        <w:t>Additionally, t</w:t>
      </w:r>
      <w:r w:rsidR="00CC706B">
        <w:rPr>
          <w:rFonts w:cs="Arial"/>
          <w:sz w:val="22"/>
        </w:rPr>
        <w:t xml:space="preserve">he Commission is cognisant that </w:t>
      </w:r>
      <w:r w:rsidR="00F941DB">
        <w:rPr>
          <w:rFonts w:cs="Arial"/>
          <w:sz w:val="22"/>
        </w:rPr>
        <w:t xml:space="preserve">while the Ashley Paul Griffith matter concerned an adult perpetrator, up to one third of child sexual abuse is perpetrated by people under the </w:t>
      </w:r>
      <w:r w:rsidR="00F941DB">
        <w:rPr>
          <w:rFonts w:cs="Arial"/>
          <w:sz w:val="22"/>
        </w:rPr>
        <w:lastRenderedPageBreak/>
        <w:t xml:space="preserve">age of </w:t>
      </w:r>
      <w:r w:rsidR="001C0BDB">
        <w:rPr>
          <w:rFonts w:cs="Arial"/>
          <w:sz w:val="22"/>
        </w:rPr>
        <w:t>18.</w:t>
      </w:r>
      <w:r w:rsidR="00584CF9">
        <w:rPr>
          <w:rStyle w:val="FootnoteReference"/>
          <w:rFonts w:cs="Arial"/>
          <w:sz w:val="22"/>
        </w:rPr>
        <w:footnoteReference w:id="46"/>
      </w:r>
      <w:r w:rsidR="001C0BDB">
        <w:rPr>
          <w:rFonts w:cs="Arial"/>
          <w:sz w:val="22"/>
        </w:rPr>
        <w:t xml:space="preserve"> </w:t>
      </w:r>
      <w:r w:rsidR="00097D5E">
        <w:rPr>
          <w:rFonts w:cs="Arial"/>
          <w:sz w:val="22"/>
        </w:rPr>
        <w:t>In Queensland</w:t>
      </w:r>
      <w:r w:rsidR="000230F2">
        <w:rPr>
          <w:rFonts w:cs="Arial"/>
          <w:sz w:val="22"/>
        </w:rPr>
        <w:t xml:space="preserve">, the Government </w:t>
      </w:r>
      <w:r w:rsidR="006D22DB">
        <w:rPr>
          <w:rFonts w:cs="Arial"/>
          <w:sz w:val="22"/>
        </w:rPr>
        <w:t>has taken a</w:t>
      </w:r>
      <w:r w:rsidR="006A451B">
        <w:rPr>
          <w:rFonts w:cs="Arial"/>
          <w:sz w:val="22"/>
        </w:rPr>
        <w:t xml:space="preserve"> ‘tough on crime’ approach to crime committed by children.</w:t>
      </w:r>
      <w:r w:rsidR="00B244DE">
        <w:rPr>
          <w:rFonts w:cs="Arial"/>
          <w:sz w:val="22"/>
        </w:rPr>
        <w:t xml:space="preserve"> This approach is poorly evidenced and is unlikely to lead to lower crime rates in the long run.</w:t>
      </w:r>
      <w:r w:rsidR="00844B55">
        <w:rPr>
          <w:rStyle w:val="FootnoteReference"/>
          <w:rFonts w:cs="Arial"/>
          <w:sz w:val="22"/>
        </w:rPr>
        <w:footnoteReference w:id="47"/>
      </w:r>
      <w:r w:rsidR="00B244DE">
        <w:rPr>
          <w:rFonts w:cs="Arial"/>
          <w:sz w:val="22"/>
        </w:rPr>
        <w:t xml:space="preserve"> </w:t>
      </w:r>
      <w:r w:rsidR="008E605E">
        <w:rPr>
          <w:rFonts w:cs="Arial"/>
          <w:sz w:val="22"/>
        </w:rPr>
        <w:t xml:space="preserve">In relation </w:t>
      </w:r>
      <w:r w:rsidR="00F61FAF">
        <w:rPr>
          <w:rFonts w:cs="Arial"/>
          <w:sz w:val="22"/>
        </w:rPr>
        <w:t>to the prevention of child sexual abuse committed by children, t</w:t>
      </w:r>
      <w:r w:rsidR="00B244DE">
        <w:rPr>
          <w:rFonts w:cs="Arial"/>
          <w:sz w:val="22"/>
        </w:rPr>
        <w:t xml:space="preserve">he Commission </w:t>
      </w:r>
      <w:r w:rsidR="00F51425">
        <w:rPr>
          <w:rFonts w:cs="Arial"/>
          <w:sz w:val="22"/>
        </w:rPr>
        <w:t xml:space="preserve">urges an approach which favours prevention and intervention. </w:t>
      </w:r>
    </w:p>
    <w:p w14:paraId="54D15AA3" w14:textId="36A2D7CD" w:rsidR="00CC706B" w:rsidRPr="00CB6122" w:rsidRDefault="00F51425" w:rsidP="00842D33">
      <w:pPr>
        <w:rPr>
          <w:rFonts w:cs="Arial"/>
          <w:sz w:val="22"/>
        </w:rPr>
      </w:pPr>
      <w:r>
        <w:rPr>
          <w:rFonts w:cs="Arial"/>
          <w:sz w:val="22"/>
        </w:rPr>
        <w:t>Recent research conducted in Queensland</w:t>
      </w:r>
      <w:r w:rsidR="00C54B20">
        <w:rPr>
          <w:rFonts w:cs="Arial"/>
          <w:sz w:val="22"/>
        </w:rPr>
        <w:t xml:space="preserve"> involving 1</w:t>
      </w:r>
      <w:r w:rsidR="00471F69">
        <w:rPr>
          <w:rFonts w:cs="Arial"/>
          <w:sz w:val="22"/>
        </w:rPr>
        <w:t>,</w:t>
      </w:r>
      <w:r w:rsidR="00C54B20">
        <w:rPr>
          <w:rFonts w:cs="Arial"/>
          <w:sz w:val="22"/>
        </w:rPr>
        <w:t>400 children</w:t>
      </w:r>
      <w:r w:rsidR="006A4CF7">
        <w:rPr>
          <w:rFonts w:cs="Arial"/>
          <w:sz w:val="22"/>
        </w:rPr>
        <w:t xml:space="preserve"> who </w:t>
      </w:r>
      <w:r w:rsidR="006A4CF7" w:rsidRPr="33DBC074">
        <w:rPr>
          <w:rFonts w:cs="Arial"/>
          <w:sz w:val="22"/>
        </w:rPr>
        <w:t>ha</w:t>
      </w:r>
      <w:r w:rsidR="27DDAB9D" w:rsidRPr="485DD97E">
        <w:rPr>
          <w:rFonts w:cs="Arial"/>
          <w:sz w:val="22"/>
        </w:rPr>
        <w:t>ve</w:t>
      </w:r>
      <w:r w:rsidR="006A4CF7">
        <w:rPr>
          <w:rFonts w:cs="Arial"/>
          <w:sz w:val="22"/>
        </w:rPr>
        <w:t xml:space="preserve"> been processed for sexual offences</w:t>
      </w:r>
      <w:r w:rsidR="00C54B20">
        <w:rPr>
          <w:rFonts w:cs="Arial"/>
          <w:sz w:val="22"/>
        </w:rPr>
        <w:t>,</w:t>
      </w:r>
      <w:r>
        <w:rPr>
          <w:rFonts w:cs="Arial"/>
          <w:sz w:val="22"/>
        </w:rPr>
        <w:t xml:space="preserve"> </w:t>
      </w:r>
      <w:r w:rsidR="001A0854">
        <w:rPr>
          <w:rFonts w:cs="Arial"/>
          <w:sz w:val="22"/>
        </w:rPr>
        <w:t>found that treatment by the Griffith Youth Forensic Service</w:t>
      </w:r>
      <w:r w:rsidR="008D44BB">
        <w:rPr>
          <w:rFonts w:cs="Arial"/>
          <w:sz w:val="22"/>
        </w:rPr>
        <w:t xml:space="preserve"> involving specialised</w:t>
      </w:r>
      <w:r w:rsidR="00157B2D">
        <w:rPr>
          <w:rFonts w:cs="Arial"/>
          <w:sz w:val="22"/>
        </w:rPr>
        <w:t>, trauma-informed, community-based treatment</w:t>
      </w:r>
      <w:r w:rsidR="001A0854">
        <w:rPr>
          <w:rFonts w:cs="Arial"/>
          <w:sz w:val="22"/>
        </w:rPr>
        <w:t xml:space="preserve"> </w:t>
      </w:r>
      <w:r w:rsidR="00844B55">
        <w:rPr>
          <w:rFonts w:cs="Arial"/>
          <w:sz w:val="22"/>
        </w:rPr>
        <w:t xml:space="preserve">achieved </w:t>
      </w:r>
      <w:r w:rsidR="001A0854">
        <w:rPr>
          <w:rFonts w:cs="Arial"/>
          <w:sz w:val="22"/>
        </w:rPr>
        <w:t xml:space="preserve">reduced </w:t>
      </w:r>
      <w:r w:rsidR="00CB6254">
        <w:rPr>
          <w:rFonts w:cs="Arial"/>
          <w:sz w:val="22"/>
        </w:rPr>
        <w:t xml:space="preserve">offending across different categories of </w:t>
      </w:r>
      <w:r w:rsidR="00CB6254" w:rsidRPr="33DBC074">
        <w:rPr>
          <w:rFonts w:cs="Arial"/>
          <w:sz w:val="22"/>
        </w:rPr>
        <w:t>offen</w:t>
      </w:r>
      <w:r w:rsidR="5F328B51" w:rsidRPr="33DBC074">
        <w:rPr>
          <w:rFonts w:cs="Arial"/>
          <w:sz w:val="22"/>
        </w:rPr>
        <w:t>ces</w:t>
      </w:r>
      <w:r w:rsidR="00CB6254">
        <w:rPr>
          <w:rFonts w:cs="Arial"/>
          <w:sz w:val="22"/>
        </w:rPr>
        <w:t xml:space="preserve">, and most </w:t>
      </w:r>
      <w:r w:rsidR="00C54B20">
        <w:rPr>
          <w:rFonts w:cs="Arial"/>
          <w:sz w:val="22"/>
        </w:rPr>
        <w:t>relevantly</w:t>
      </w:r>
      <w:r w:rsidR="00CB6254">
        <w:rPr>
          <w:rFonts w:cs="Arial"/>
          <w:sz w:val="22"/>
        </w:rPr>
        <w:t>, achieve</w:t>
      </w:r>
      <w:r w:rsidR="00C54B20">
        <w:rPr>
          <w:rFonts w:cs="Arial"/>
          <w:sz w:val="22"/>
        </w:rPr>
        <w:t>d</w:t>
      </w:r>
      <w:r w:rsidR="00CB6254">
        <w:rPr>
          <w:rFonts w:cs="Arial"/>
          <w:sz w:val="22"/>
        </w:rPr>
        <w:t xml:space="preserve"> a 78-90% </w:t>
      </w:r>
      <w:r w:rsidR="00C54B20">
        <w:rPr>
          <w:rFonts w:cs="Arial"/>
          <w:sz w:val="22"/>
        </w:rPr>
        <w:t>reduction</w:t>
      </w:r>
      <w:r w:rsidR="00CB6254">
        <w:rPr>
          <w:rFonts w:cs="Arial"/>
          <w:sz w:val="22"/>
        </w:rPr>
        <w:t xml:space="preserve"> in sexual reoffending</w:t>
      </w:r>
      <w:r w:rsidR="006A4CF7">
        <w:rPr>
          <w:rFonts w:cs="Arial"/>
          <w:sz w:val="22"/>
        </w:rPr>
        <w:t xml:space="preserve"> between 2010 and 2024.</w:t>
      </w:r>
      <w:r w:rsidR="00D7531C">
        <w:rPr>
          <w:rStyle w:val="FootnoteReference"/>
          <w:rFonts w:cs="Arial"/>
          <w:sz w:val="22"/>
        </w:rPr>
        <w:footnoteReference w:id="48"/>
      </w:r>
      <w:r w:rsidR="0029091E">
        <w:rPr>
          <w:rFonts w:cs="Arial"/>
          <w:sz w:val="22"/>
        </w:rPr>
        <w:t xml:space="preserve"> This study offers clear evidence that specialist, </w:t>
      </w:r>
      <w:r w:rsidR="008D44BB">
        <w:rPr>
          <w:rFonts w:cs="Arial"/>
          <w:sz w:val="22"/>
        </w:rPr>
        <w:t>community-based</w:t>
      </w:r>
      <w:r w:rsidR="0029091E">
        <w:rPr>
          <w:rFonts w:cs="Arial"/>
          <w:sz w:val="22"/>
        </w:rPr>
        <w:t xml:space="preserve"> intervention </w:t>
      </w:r>
      <w:r w:rsidR="004C6978">
        <w:rPr>
          <w:rFonts w:cs="Arial"/>
          <w:sz w:val="22"/>
        </w:rPr>
        <w:t>is substantially more successful than punishment in reducing offending.</w:t>
      </w:r>
    </w:p>
    <w:p w14:paraId="558E3997" w14:textId="548FD5D1" w:rsidR="005C0985" w:rsidRPr="004360F9" w:rsidRDefault="00C52825" w:rsidP="00DF13E6">
      <w:pPr>
        <w:rPr>
          <w:bCs/>
          <w:sz w:val="22"/>
        </w:rPr>
      </w:pPr>
      <w:r w:rsidRPr="004360F9">
        <w:rPr>
          <w:bCs/>
          <w:sz w:val="22"/>
        </w:rPr>
        <w:t xml:space="preserve">The Commission is grateful for the opportunity to </w:t>
      </w:r>
      <w:r w:rsidR="004360F9" w:rsidRPr="004360F9">
        <w:rPr>
          <w:bCs/>
          <w:sz w:val="22"/>
        </w:rPr>
        <w:t>contribute</w:t>
      </w:r>
      <w:r w:rsidR="004C1468">
        <w:rPr>
          <w:bCs/>
          <w:sz w:val="22"/>
        </w:rPr>
        <w:t xml:space="preserve"> to the Review</w:t>
      </w:r>
      <w:r w:rsidRPr="004360F9">
        <w:rPr>
          <w:bCs/>
          <w:sz w:val="22"/>
        </w:rPr>
        <w:t xml:space="preserve"> and </w:t>
      </w:r>
      <w:r w:rsidR="006B4183">
        <w:rPr>
          <w:bCs/>
          <w:sz w:val="22"/>
        </w:rPr>
        <w:t>would welcome any further requests for engagement to support the review process</w:t>
      </w:r>
      <w:r w:rsidRPr="004360F9">
        <w:rPr>
          <w:bCs/>
          <w:sz w:val="22"/>
        </w:rPr>
        <w:t>.</w:t>
      </w:r>
    </w:p>
    <w:p w14:paraId="613D925A" w14:textId="6609811E" w:rsidR="00B9782F" w:rsidRDefault="00F81F05" w:rsidP="00DF13E6">
      <w:pPr>
        <w:rPr>
          <w:rFonts w:cs="Arial"/>
          <w:sz w:val="22"/>
        </w:rPr>
      </w:pPr>
      <w:r w:rsidRPr="0000262A">
        <w:rPr>
          <w:rFonts w:cs="Arial"/>
          <w:sz w:val="22"/>
        </w:rPr>
        <w:t xml:space="preserve">If you have any questions regarding this correspondence, please do not hesitate to contact me on the details below. </w:t>
      </w:r>
    </w:p>
    <w:p w14:paraId="1D2BAD2D" w14:textId="77777777" w:rsidR="005C0985" w:rsidRPr="0000262A" w:rsidRDefault="005C0985" w:rsidP="00DF13E6">
      <w:pPr>
        <w:rPr>
          <w:rFonts w:cs="Arial"/>
          <w:sz w:val="22"/>
        </w:rPr>
      </w:pPr>
    </w:p>
    <w:p w14:paraId="12246FE6" w14:textId="77777777" w:rsidR="009F7DDE" w:rsidRPr="0000262A" w:rsidRDefault="009F7DDE" w:rsidP="002F6C3D">
      <w:pPr>
        <w:spacing w:after="0" w:line="240" w:lineRule="auto"/>
        <w:ind w:left="-6" w:hanging="11"/>
        <w:rPr>
          <w:rFonts w:eastAsia="Times New Roman" w:cs="Arial"/>
          <w:color w:val="000000"/>
          <w:sz w:val="22"/>
          <w:lang w:eastAsia="en-AU"/>
        </w:rPr>
      </w:pPr>
      <w:r w:rsidRPr="0000262A">
        <w:rPr>
          <w:rFonts w:eastAsia="Times New Roman" w:cs="Arial"/>
          <w:color w:val="000000"/>
          <w:sz w:val="22"/>
          <w:lang w:eastAsia="en-AU"/>
        </w:rPr>
        <w:t>Yours sincerely</w:t>
      </w:r>
    </w:p>
    <w:p w14:paraId="1AE58A65" w14:textId="77BB3B44" w:rsidR="002F6C3D" w:rsidRPr="0000262A" w:rsidRDefault="003A5B86" w:rsidP="002F6C3D">
      <w:pPr>
        <w:spacing w:after="0" w:line="240" w:lineRule="auto"/>
        <w:ind w:left="-6" w:hanging="11"/>
        <w:rPr>
          <w:rFonts w:eastAsia="Times New Roman" w:cs="Arial"/>
          <w:bCs/>
          <w:color w:val="000000"/>
          <w:sz w:val="22"/>
          <w:lang w:eastAsia="en-AU"/>
        </w:rPr>
      </w:pPr>
      <w:r w:rsidRPr="0000262A">
        <w:rPr>
          <w:rFonts w:cs="Arial"/>
          <w:noProof/>
          <w:sz w:val="22"/>
        </w:rPr>
        <w:drawing>
          <wp:inline distT="0" distB="0" distL="0" distR="0" wp14:anchorId="77C350EA" wp14:editId="6A3AE2D3">
            <wp:extent cx="1655179" cy="723429"/>
            <wp:effectExtent l="0" t="0" r="2540" b="635"/>
            <wp:docPr id="1783399689"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99689" name="Picture 1" descr="A close-up of a signature&#10;&#10;AI-generated content may be incorrect."/>
                    <pic:cNvPicPr/>
                  </pic:nvPicPr>
                  <pic:blipFill>
                    <a:blip r:embed="rId15"/>
                    <a:stretch>
                      <a:fillRect/>
                    </a:stretch>
                  </pic:blipFill>
                  <pic:spPr>
                    <a:xfrm>
                      <a:off x="0" y="0"/>
                      <a:ext cx="1674778" cy="731995"/>
                    </a:xfrm>
                    <a:prstGeom prst="rect">
                      <a:avLst/>
                    </a:prstGeom>
                  </pic:spPr>
                </pic:pic>
              </a:graphicData>
            </a:graphic>
          </wp:inline>
        </w:drawing>
      </w:r>
    </w:p>
    <w:p w14:paraId="72FB153D" w14:textId="77777777" w:rsidR="009F7DDE" w:rsidRPr="0000262A" w:rsidRDefault="009F7DDE" w:rsidP="002F6C3D">
      <w:pPr>
        <w:spacing w:after="0" w:line="240" w:lineRule="auto"/>
        <w:ind w:left="-6" w:hanging="11"/>
        <w:rPr>
          <w:rFonts w:eastAsia="Times New Roman" w:cs="Arial"/>
          <w:b/>
          <w:color w:val="000000"/>
          <w:sz w:val="22"/>
          <w:lang w:eastAsia="en-AU"/>
        </w:rPr>
      </w:pPr>
      <w:r w:rsidRPr="0000262A">
        <w:rPr>
          <w:rFonts w:eastAsia="Times New Roman" w:cs="Arial"/>
          <w:b/>
          <w:color w:val="000000"/>
          <w:sz w:val="22"/>
          <w:lang w:eastAsia="en-AU"/>
        </w:rPr>
        <w:t>Scott McDougall</w:t>
      </w:r>
    </w:p>
    <w:p w14:paraId="256AA91E" w14:textId="77777777" w:rsidR="009F7DDE" w:rsidRPr="0000262A" w:rsidRDefault="009F7DDE" w:rsidP="00B84C22">
      <w:pPr>
        <w:spacing w:after="240" w:line="240" w:lineRule="auto"/>
        <w:ind w:left="-6" w:hanging="11"/>
        <w:rPr>
          <w:rFonts w:eastAsia="Times New Roman" w:cs="Arial"/>
          <w:b/>
          <w:color w:val="000000"/>
          <w:sz w:val="22"/>
          <w:lang w:eastAsia="en-AU"/>
        </w:rPr>
      </w:pPr>
      <w:r w:rsidRPr="0000262A">
        <w:rPr>
          <w:rFonts w:eastAsia="Times New Roman" w:cs="Arial"/>
          <w:b/>
          <w:color w:val="000000"/>
          <w:sz w:val="22"/>
          <w:lang w:eastAsia="en-AU"/>
        </w:rPr>
        <w:t>Commissioner</w:t>
      </w:r>
    </w:p>
    <w:p w14:paraId="07E6A35E" w14:textId="77777777" w:rsidR="00600E3A" w:rsidRPr="0000262A" w:rsidRDefault="00B258F1" w:rsidP="00B84C22">
      <w:pPr>
        <w:spacing w:after="240" w:line="240" w:lineRule="auto"/>
        <w:ind w:left="-6" w:hanging="11"/>
        <w:rPr>
          <w:rFonts w:eastAsia="Times New Roman" w:cs="Arial"/>
          <w:bCs/>
          <w:color w:val="000000"/>
          <w:sz w:val="22"/>
          <w:lang w:eastAsia="en-AU"/>
        </w:rPr>
      </w:pPr>
      <w:r w:rsidRPr="0000262A">
        <w:rPr>
          <w:rFonts w:eastAsia="Times New Roman" w:cs="Arial"/>
          <w:bCs/>
          <w:color w:val="000000"/>
          <w:sz w:val="22"/>
          <w:lang w:eastAsia="en-AU"/>
        </w:rPr>
        <w:t xml:space="preserve">T 07 3021 9123 </w:t>
      </w:r>
      <w:r w:rsidR="00252470" w:rsidRPr="0000262A">
        <w:rPr>
          <w:rFonts w:eastAsia="Times New Roman" w:cs="Arial"/>
          <w:bCs/>
          <w:color w:val="000000"/>
          <w:sz w:val="22"/>
          <w:lang w:eastAsia="en-AU"/>
        </w:rPr>
        <w:t xml:space="preserve">| </w:t>
      </w:r>
      <w:r w:rsidR="006F768B" w:rsidRPr="0000262A">
        <w:rPr>
          <w:rFonts w:eastAsia="Times New Roman" w:cs="Arial"/>
          <w:bCs/>
          <w:color w:val="000000"/>
          <w:sz w:val="22"/>
          <w:lang w:eastAsia="en-AU"/>
        </w:rPr>
        <w:t xml:space="preserve">E </w:t>
      </w:r>
      <w:hyperlink r:id="rId16" w:history="1">
        <w:r w:rsidR="006F768B" w:rsidRPr="0000262A">
          <w:rPr>
            <w:rStyle w:val="Hyperlink"/>
            <w:rFonts w:eastAsia="Times New Roman" w:cs="Arial"/>
            <w:bCs/>
            <w:sz w:val="22"/>
            <w:lang w:eastAsia="en-AU"/>
          </w:rPr>
          <w:t>scott.mcdougall@qhrc.qld.gov.au</w:t>
        </w:r>
      </w:hyperlink>
      <w:r w:rsidR="00252470" w:rsidRPr="0000262A">
        <w:rPr>
          <w:rFonts w:eastAsia="Times New Roman" w:cs="Arial"/>
          <w:bCs/>
          <w:color w:val="000000"/>
          <w:sz w:val="22"/>
          <w:lang w:eastAsia="en-AU"/>
        </w:rPr>
        <w:t xml:space="preserve"> </w:t>
      </w:r>
    </w:p>
    <w:p w14:paraId="044575C2" w14:textId="77777777" w:rsidR="00B9782F" w:rsidRPr="0000262A" w:rsidRDefault="00B9782F" w:rsidP="002F6C3D">
      <w:pPr>
        <w:ind w:left="709" w:hanging="709"/>
        <w:rPr>
          <w:rFonts w:cs="Arial"/>
          <w:sz w:val="22"/>
        </w:rPr>
      </w:pPr>
    </w:p>
    <w:sectPr w:rsidR="00B9782F" w:rsidRPr="0000262A" w:rsidSect="00425394">
      <w:headerReference w:type="default" r:id="rId17"/>
      <w:footerReference w:type="default" r:id="rId18"/>
      <w:headerReference w:type="first" r:id="rId19"/>
      <w:footerReference w:type="first" r:id="rId20"/>
      <w:pgSz w:w="11906" w:h="16838"/>
      <w:pgMar w:top="1843" w:right="1440" w:bottom="1440" w:left="1134" w:header="708" w:footer="6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78F4" w14:textId="77777777" w:rsidR="00CA39D4" w:rsidRDefault="00CA39D4" w:rsidP="00304408">
      <w:pPr>
        <w:spacing w:after="0" w:line="240" w:lineRule="auto"/>
      </w:pPr>
      <w:r>
        <w:separator/>
      </w:r>
    </w:p>
  </w:endnote>
  <w:endnote w:type="continuationSeparator" w:id="0">
    <w:p w14:paraId="1EBB3DD5" w14:textId="77777777" w:rsidR="00CA39D4" w:rsidRDefault="00CA39D4" w:rsidP="00304408">
      <w:pPr>
        <w:spacing w:after="0" w:line="240" w:lineRule="auto"/>
      </w:pPr>
      <w:r>
        <w:continuationSeparator/>
      </w:r>
    </w:p>
  </w:endnote>
  <w:endnote w:type="continuationNotice" w:id="1">
    <w:p w14:paraId="7DFEFEE5" w14:textId="77777777" w:rsidR="00CA39D4" w:rsidRDefault="00CA3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1125" w14:textId="77777777" w:rsidR="00BC7248" w:rsidRDefault="00BC7248"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0113" w14:textId="14BBDD64" w:rsidR="00BC7248" w:rsidRDefault="00820885" w:rsidP="000C13C7">
    <w:pPr>
      <w:pStyle w:val="Footer"/>
      <w:tabs>
        <w:tab w:val="clear" w:pos="4513"/>
        <w:tab w:val="clear" w:pos="9026"/>
      </w:tabs>
    </w:pPr>
    <w:r>
      <w:rPr>
        <w:noProof/>
      </w:rPr>
      <w:drawing>
        <wp:anchor distT="0" distB="0" distL="114300" distR="114300" simplePos="0" relativeHeight="251658240" behindDoc="1" locked="0" layoutInCell="1" allowOverlap="1" wp14:anchorId="21474799" wp14:editId="7184E178">
          <wp:simplePos x="0" y="0"/>
          <wp:positionH relativeFrom="page">
            <wp:posOffset>521335</wp:posOffset>
          </wp:positionH>
          <wp:positionV relativeFrom="paragraph">
            <wp:posOffset>-497395</wp:posOffset>
          </wp:positionV>
          <wp:extent cx="6510401" cy="1240477"/>
          <wp:effectExtent l="0" t="0" r="5080" b="0"/>
          <wp:wrapNone/>
          <wp:docPr id="10160531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34775" name="Picture 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10401" cy="12404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7088" w14:textId="77777777" w:rsidR="00CA39D4" w:rsidRDefault="00CA39D4" w:rsidP="00304408">
      <w:pPr>
        <w:spacing w:after="0" w:line="240" w:lineRule="auto"/>
      </w:pPr>
      <w:r>
        <w:separator/>
      </w:r>
    </w:p>
  </w:footnote>
  <w:footnote w:type="continuationSeparator" w:id="0">
    <w:p w14:paraId="62DC5F2C" w14:textId="77777777" w:rsidR="00CA39D4" w:rsidRDefault="00CA39D4" w:rsidP="00304408">
      <w:pPr>
        <w:spacing w:after="0" w:line="240" w:lineRule="auto"/>
      </w:pPr>
      <w:r>
        <w:continuationSeparator/>
      </w:r>
    </w:p>
  </w:footnote>
  <w:footnote w:type="continuationNotice" w:id="1">
    <w:p w14:paraId="09902D45" w14:textId="77777777" w:rsidR="00CA39D4" w:rsidRDefault="00CA39D4">
      <w:pPr>
        <w:spacing w:after="0" w:line="240" w:lineRule="auto"/>
      </w:pPr>
    </w:p>
  </w:footnote>
  <w:footnote w:id="2">
    <w:p w14:paraId="6B8FC786" w14:textId="77777777" w:rsidR="00B00CFC" w:rsidRPr="00F47C76" w:rsidRDefault="00B00CFC" w:rsidP="00A47A9D">
      <w:pPr>
        <w:pStyle w:val="FootnoteText"/>
        <w:spacing w:before="40"/>
        <w:rPr>
          <w:rFonts w:cs="Arial"/>
          <w:lang w:val="en-GB"/>
        </w:rPr>
      </w:pPr>
      <w:r w:rsidRPr="00F47C76">
        <w:rPr>
          <w:rStyle w:val="FootnoteReference"/>
          <w:rFonts w:cs="Arial"/>
        </w:rPr>
        <w:footnoteRef/>
      </w:r>
      <w:r w:rsidRPr="00F47C76">
        <w:rPr>
          <w:rFonts w:cs="Arial"/>
        </w:rPr>
        <w:t xml:space="preserve"> </w:t>
      </w:r>
      <w:r w:rsidRPr="00F47C76">
        <w:rPr>
          <w:rFonts w:cs="Arial"/>
          <w:lang w:val="en-US"/>
        </w:rPr>
        <w:t xml:space="preserve">Explanatory Notes, </w:t>
      </w:r>
      <w:r w:rsidRPr="00F47C76">
        <w:rPr>
          <w:rFonts w:cs="Arial"/>
        </w:rPr>
        <w:t xml:space="preserve">Human Rights Bill 2018 (Qld) </w:t>
      </w:r>
      <w:r w:rsidRPr="00F47C76">
        <w:rPr>
          <w:rFonts w:cs="Arial"/>
          <w:lang w:val="en-US"/>
        </w:rPr>
        <w:t>22.</w:t>
      </w:r>
    </w:p>
  </w:footnote>
  <w:footnote w:id="3">
    <w:p w14:paraId="633A337D" w14:textId="1F8E0552" w:rsidR="007866FA" w:rsidRPr="00F47C76" w:rsidRDefault="007866FA" w:rsidP="00A47A9D">
      <w:pPr>
        <w:pStyle w:val="FootnoteText"/>
        <w:spacing w:before="40"/>
        <w:rPr>
          <w:rFonts w:cs="Arial"/>
          <w:lang w:val="en-GB"/>
        </w:rPr>
      </w:pPr>
      <w:r w:rsidRPr="00F47C76">
        <w:rPr>
          <w:rStyle w:val="FootnoteReference"/>
          <w:rFonts w:cs="Arial"/>
        </w:rPr>
        <w:footnoteRef/>
      </w:r>
      <w:r w:rsidRPr="00F47C76">
        <w:rPr>
          <w:rFonts w:cs="Arial"/>
        </w:rPr>
        <w:t xml:space="preserve"> </w:t>
      </w:r>
      <w:r w:rsidRPr="00F47C76">
        <w:rPr>
          <w:rFonts w:cs="Arial"/>
          <w:i/>
          <w:iCs/>
        </w:rPr>
        <w:t>Convention on the Rights of the Child</w:t>
      </w:r>
      <w:r w:rsidRPr="00F47C76">
        <w:rPr>
          <w:rFonts w:cs="Arial"/>
        </w:rPr>
        <w:t xml:space="preserve">, UN Doc A/RES/44/25 (20 November 1989, entered into force generally on 2 September 1990) arts 5, 12, 18; </w:t>
      </w:r>
      <w:r w:rsidRPr="00F47C76">
        <w:rPr>
          <w:rFonts w:cs="Arial"/>
          <w:lang w:val="en-US"/>
        </w:rPr>
        <w:t xml:space="preserve">Explanatory Notes, </w:t>
      </w:r>
      <w:r w:rsidRPr="00F47C76">
        <w:rPr>
          <w:rFonts w:cs="Arial"/>
        </w:rPr>
        <w:t xml:space="preserve">Human Rights Bill 2018 (Qld) </w:t>
      </w:r>
      <w:r w:rsidRPr="00F47C76">
        <w:rPr>
          <w:rFonts w:cs="Arial"/>
          <w:lang w:val="en-US"/>
        </w:rPr>
        <w:t xml:space="preserve">22; </w:t>
      </w:r>
      <w:r w:rsidRPr="00F47C76">
        <w:rPr>
          <w:rFonts w:cs="Arial"/>
          <w:i/>
          <w:iCs/>
          <w:lang w:val="en-US"/>
        </w:rPr>
        <w:t>Certain Children v Minister for Families and Children</w:t>
      </w:r>
      <w:r w:rsidRPr="00F47C76">
        <w:rPr>
          <w:rFonts w:cs="Arial"/>
          <w:lang w:val="en-US"/>
        </w:rPr>
        <w:t xml:space="preserve"> [2016] VSC 796; 51 VR 473 [146]. </w:t>
      </w:r>
    </w:p>
  </w:footnote>
  <w:footnote w:id="4">
    <w:p w14:paraId="256E5AB1" w14:textId="5BCC073D" w:rsidR="00435D60" w:rsidRPr="00435D60" w:rsidRDefault="00435D60">
      <w:pPr>
        <w:pStyle w:val="FootnoteText"/>
        <w:rPr>
          <w:lang w:val="en-GB"/>
        </w:rPr>
      </w:pPr>
      <w:r>
        <w:rPr>
          <w:rStyle w:val="FootnoteReference"/>
        </w:rPr>
        <w:footnoteRef/>
      </w:r>
      <w:r>
        <w:t xml:space="preserve"> </w:t>
      </w:r>
      <w:r w:rsidRPr="00F47C76">
        <w:rPr>
          <w:rFonts w:cs="Arial"/>
          <w:i/>
          <w:iCs/>
        </w:rPr>
        <w:t>C</w:t>
      </w:r>
      <w:r>
        <w:rPr>
          <w:rFonts w:cs="Arial"/>
          <w:i/>
          <w:iCs/>
        </w:rPr>
        <w:t>onvention on the Rights of the Child</w:t>
      </w:r>
      <w:r w:rsidRPr="00F47C76">
        <w:rPr>
          <w:rFonts w:cs="Arial"/>
        </w:rPr>
        <w:t xml:space="preserve"> </w:t>
      </w:r>
      <w:r w:rsidRPr="00F47C76">
        <w:rPr>
          <w:rFonts w:cs="Arial"/>
          <w:lang w:val="en-GB"/>
        </w:rPr>
        <w:t>art 3</w:t>
      </w:r>
      <w:r>
        <w:rPr>
          <w:rFonts w:cs="Arial"/>
          <w:lang w:val="en-GB"/>
        </w:rPr>
        <w:t>4.</w:t>
      </w:r>
    </w:p>
  </w:footnote>
  <w:footnote w:id="5">
    <w:p w14:paraId="202C0615" w14:textId="14785633" w:rsidR="00A954F3" w:rsidRPr="00F47C76" w:rsidRDefault="00A954F3" w:rsidP="00A954F3">
      <w:pPr>
        <w:pStyle w:val="FootnoteText"/>
        <w:spacing w:before="40"/>
        <w:rPr>
          <w:rFonts w:cs="Arial"/>
          <w:lang w:val="en-GB"/>
        </w:rPr>
      </w:pPr>
      <w:r w:rsidRPr="00F47C76">
        <w:rPr>
          <w:rStyle w:val="FootnoteReference"/>
          <w:rFonts w:cs="Arial"/>
        </w:rPr>
        <w:footnoteRef/>
      </w:r>
      <w:r w:rsidRPr="00F47C76">
        <w:rPr>
          <w:rFonts w:cs="Arial"/>
        </w:rPr>
        <w:t xml:space="preserve"> </w:t>
      </w:r>
      <w:r w:rsidRPr="00F47C76">
        <w:rPr>
          <w:rFonts w:cs="Arial"/>
          <w:i/>
          <w:iCs/>
        </w:rPr>
        <w:t>C</w:t>
      </w:r>
      <w:r>
        <w:rPr>
          <w:rFonts w:cs="Arial"/>
          <w:i/>
          <w:iCs/>
        </w:rPr>
        <w:t>onvention on the Rights of the Child</w:t>
      </w:r>
      <w:r w:rsidRPr="00F47C76">
        <w:rPr>
          <w:rFonts w:cs="Arial"/>
        </w:rPr>
        <w:t xml:space="preserve"> </w:t>
      </w:r>
      <w:r w:rsidRPr="00F47C76">
        <w:rPr>
          <w:rFonts w:cs="Arial"/>
          <w:lang w:val="en-GB"/>
        </w:rPr>
        <w:t>art 3(1)</w:t>
      </w:r>
      <w:r>
        <w:rPr>
          <w:rFonts w:cs="Arial"/>
          <w:lang w:val="en-GB"/>
        </w:rPr>
        <w:t>.</w:t>
      </w:r>
    </w:p>
  </w:footnote>
  <w:footnote w:id="6">
    <w:p w14:paraId="53F22513" w14:textId="77777777" w:rsidR="00A954F3" w:rsidRPr="00F47C76" w:rsidRDefault="00A954F3" w:rsidP="00A954F3">
      <w:pPr>
        <w:pStyle w:val="FootnoteText"/>
        <w:spacing w:before="40"/>
        <w:rPr>
          <w:rFonts w:cs="Arial"/>
          <w:lang w:val="en-GB"/>
        </w:rPr>
      </w:pPr>
      <w:r w:rsidRPr="00F47C76">
        <w:rPr>
          <w:rStyle w:val="FootnoteReference"/>
          <w:rFonts w:cs="Arial"/>
        </w:rPr>
        <w:footnoteRef/>
      </w:r>
      <w:r w:rsidRPr="00F47C76">
        <w:rPr>
          <w:rFonts w:cs="Arial"/>
        </w:rPr>
        <w:t xml:space="preserve"> </w:t>
      </w:r>
      <w:r w:rsidRPr="00F47C76">
        <w:rPr>
          <w:rFonts w:cs="Arial"/>
          <w:i/>
          <w:iCs/>
        </w:rPr>
        <w:t>C</w:t>
      </w:r>
      <w:r>
        <w:rPr>
          <w:rFonts w:cs="Arial"/>
          <w:i/>
          <w:iCs/>
        </w:rPr>
        <w:t>onvention on the Rights of the Child</w:t>
      </w:r>
      <w:r w:rsidRPr="00F47C76">
        <w:rPr>
          <w:rFonts w:cs="Arial"/>
        </w:rPr>
        <w:t xml:space="preserve"> </w:t>
      </w:r>
      <w:r w:rsidRPr="00F47C76">
        <w:rPr>
          <w:rFonts w:cs="Arial"/>
          <w:lang w:val="en-GB"/>
        </w:rPr>
        <w:t>art 6</w:t>
      </w:r>
      <w:r>
        <w:rPr>
          <w:rFonts w:cs="Arial"/>
          <w:lang w:val="en-GB"/>
        </w:rPr>
        <w:t>.</w:t>
      </w:r>
    </w:p>
  </w:footnote>
  <w:footnote w:id="7">
    <w:p w14:paraId="0593B044" w14:textId="77777777" w:rsidR="008E4EFA" w:rsidRPr="00F47C76" w:rsidRDefault="008E4EFA" w:rsidP="008E4EFA">
      <w:pPr>
        <w:pStyle w:val="FootnoteText"/>
        <w:spacing w:before="40"/>
        <w:rPr>
          <w:rFonts w:cs="Arial"/>
          <w:lang w:val="en-GB"/>
        </w:rPr>
      </w:pPr>
      <w:r w:rsidRPr="00F47C76">
        <w:rPr>
          <w:rStyle w:val="FootnoteReference"/>
          <w:rFonts w:cs="Arial"/>
        </w:rPr>
        <w:footnoteRef/>
      </w:r>
      <w:r w:rsidRPr="00F47C76">
        <w:rPr>
          <w:rFonts w:cs="Arial"/>
        </w:rPr>
        <w:t xml:space="preserve"> </w:t>
      </w:r>
      <w:r w:rsidRPr="00F47C76">
        <w:rPr>
          <w:rFonts w:cs="Arial"/>
          <w:i/>
          <w:iCs/>
        </w:rPr>
        <w:t>C</w:t>
      </w:r>
      <w:r>
        <w:rPr>
          <w:rFonts w:cs="Arial"/>
          <w:i/>
          <w:iCs/>
        </w:rPr>
        <w:t>onvention on the Rights of the Child</w:t>
      </w:r>
      <w:r w:rsidRPr="00F47C76">
        <w:rPr>
          <w:rFonts w:cs="Arial"/>
          <w:lang w:val="en-GB"/>
        </w:rPr>
        <w:t xml:space="preserve"> art 27</w:t>
      </w:r>
      <w:r>
        <w:rPr>
          <w:rFonts w:cs="Arial"/>
          <w:lang w:val="en-GB"/>
        </w:rPr>
        <w:t>.</w:t>
      </w:r>
    </w:p>
  </w:footnote>
  <w:footnote w:id="8">
    <w:p w14:paraId="6B551B05" w14:textId="6CFB58EC" w:rsidR="007866FA" w:rsidRPr="00F47C76" w:rsidRDefault="007866FA" w:rsidP="007866FA">
      <w:pPr>
        <w:pStyle w:val="FootnoteText"/>
        <w:rPr>
          <w:rFonts w:cs="Arial"/>
          <w:lang w:val="en-GB"/>
        </w:rPr>
      </w:pPr>
      <w:r w:rsidRPr="00F47C76">
        <w:rPr>
          <w:rStyle w:val="FootnoteReference"/>
          <w:rFonts w:cs="Arial"/>
        </w:rPr>
        <w:footnoteRef/>
      </w:r>
      <w:r w:rsidRPr="00F47C76">
        <w:rPr>
          <w:rFonts w:cs="Arial"/>
        </w:rPr>
        <w:t xml:space="preserve"> </w:t>
      </w:r>
      <w:r w:rsidR="00956EAC" w:rsidRPr="00F47C76" w:rsidDel="003539D1">
        <w:rPr>
          <w:rFonts w:cs="Arial"/>
        </w:rPr>
        <w:t xml:space="preserve">United Nations Committee on the Rights of the Children, </w:t>
      </w:r>
      <w:r w:rsidR="00956EAC" w:rsidRPr="00F47C76" w:rsidDel="003539D1">
        <w:rPr>
          <w:rFonts w:cs="Arial"/>
          <w:i/>
        </w:rPr>
        <w:t>General Comment No 14 (2013) on the right of the child to have his or her best interests taken as a primary consideration (art 3, para 1)</w:t>
      </w:r>
      <w:r w:rsidR="00956EAC" w:rsidRPr="00F47C76" w:rsidDel="003539D1">
        <w:rPr>
          <w:rFonts w:cs="Arial"/>
        </w:rPr>
        <w:t xml:space="preserve"> UN Doc CRC/C/GC/14 (29 May 2013) (‘</w:t>
      </w:r>
      <w:r w:rsidR="00956EAC" w:rsidRPr="00F47C76" w:rsidDel="003539D1">
        <w:rPr>
          <w:rFonts w:cs="Arial"/>
          <w:i/>
          <w:iCs/>
        </w:rPr>
        <w:t>CRC</w:t>
      </w:r>
      <w:r w:rsidR="00956EAC" w:rsidRPr="00F47C76" w:rsidDel="003539D1">
        <w:rPr>
          <w:rFonts w:cs="Arial"/>
        </w:rPr>
        <w:t xml:space="preserve"> </w:t>
      </w:r>
      <w:r w:rsidR="00956EAC" w:rsidRPr="00F47C76" w:rsidDel="003539D1">
        <w:rPr>
          <w:rFonts w:cs="Arial"/>
          <w:i/>
        </w:rPr>
        <w:t xml:space="preserve">General Comment No </w:t>
      </w:r>
      <w:r w:rsidR="00956EAC" w:rsidRPr="00F47C76" w:rsidDel="003539D1">
        <w:rPr>
          <w:rFonts w:cs="Arial"/>
          <w:i/>
          <w:iCs/>
        </w:rPr>
        <w:t>14</w:t>
      </w:r>
      <w:r w:rsidR="00956EAC" w:rsidRPr="00F47C76" w:rsidDel="003539D1">
        <w:rPr>
          <w:rFonts w:cs="Arial"/>
        </w:rPr>
        <w:t>’</w:t>
      </w:r>
      <w:r w:rsidR="00956EAC">
        <w:rPr>
          <w:rFonts w:cs="Arial"/>
        </w:rPr>
        <w:t>)</w:t>
      </w:r>
      <w:r w:rsidRPr="00F47C76">
        <w:rPr>
          <w:rFonts w:cs="Arial"/>
          <w:lang w:val="en-GB"/>
        </w:rPr>
        <w:t xml:space="preserve"> [14].</w:t>
      </w:r>
    </w:p>
  </w:footnote>
  <w:footnote w:id="9">
    <w:p w14:paraId="7C26AC35" w14:textId="39C3D772" w:rsidR="007866FA" w:rsidRPr="00F47C76" w:rsidDel="003539D1" w:rsidRDefault="007866FA" w:rsidP="00CB5405">
      <w:pPr>
        <w:pStyle w:val="FootnoteText"/>
        <w:rPr>
          <w:rFonts w:cs="Arial"/>
          <w:lang w:val="en-GB"/>
        </w:rPr>
      </w:pPr>
      <w:r w:rsidRPr="00F47C76" w:rsidDel="003539D1">
        <w:rPr>
          <w:rStyle w:val="FootnoteReference"/>
          <w:rFonts w:cs="Arial"/>
        </w:rPr>
        <w:footnoteRef/>
      </w:r>
      <w:r w:rsidRPr="00F47C76" w:rsidDel="003539D1">
        <w:rPr>
          <w:rFonts w:cs="Arial"/>
        </w:rPr>
        <w:t xml:space="preserve"> </w:t>
      </w:r>
      <w:r w:rsidR="009D4B91" w:rsidRPr="00F47C76" w:rsidDel="003539D1">
        <w:rPr>
          <w:rFonts w:cs="Arial"/>
          <w:i/>
          <w:iCs/>
        </w:rPr>
        <w:t>CRC</w:t>
      </w:r>
      <w:r w:rsidR="009D4B91" w:rsidRPr="00F47C76" w:rsidDel="003539D1">
        <w:rPr>
          <w:rFonts w:cs="Arial"/>
        </w:rPr>
        <w:t xml:space="preserve"> </w:t>
      </w:r>
      <w:r w:rsidR="009D4B91" w:rsidRPr="00F47C76" w:rsidDel="003539D1">
        <w:rPr>
          <w:rFonts w:cs="Arial"/>
          <w:i/>
        </w:rPr>
        <w:t xml:space="preserve">General Comment No </w:t>
      </w:r>
      <w:r w:rsidR="009D4B91" w:rsidRPr="00F47C76" w:rsidDel="003539D1">
        <w:rPr>
          <w:rFonts w:cs="Arial"/>
          <w:i/>
          <w:iCs/>
        </w:rPr>
        <w:t>14</w:t>
      </w:r>
      <w:r w:rsidR="00333A4F">
        <w:rPr>
          <w:rFonts w:cs="Arial"/>
          <w:i/>
          <w:iCs/>
        </w:rPr>
        <w:t xml:space="preserve"> </w:t>
      </w:r>
      <w:r w:rsidR="00333A4F" w:rsidRPr="00F47C76" w:rsidDel="003539D1">
        <w:rPr>
          <w:rFonts w:cs="Arial"/>
        </w:rPr>
        <w:t>[4]</w:t>
      </w:r>
      <w:r w:rsidRPr="00F47C76" w:rsidDel="003539D1">
        <w:rPr>
          <w:rFonts w:cs="Arial"/>
        </w:rPr>
        <w:t xml:space="preserve"> . </w:t>
      </w:r>
    </w:p>
  </w:footnote>
  <w:footnote w:id="10">
    <w:p w14:paraId="67634410" w14:textId="77777777" w:rsidR="007866FA" w:rsidRPr="00F47C76" w:rsidRDefault="007866FA" w:rsidP="007866FA">
      <w:pPr>
        <w:pStyle w:val="FootnoteText"/>
        <w:rPr>
          <w:rFonts w:cs="Arial"/>
          <w:lang w:val="en-GB"/>
        </w:rPr>
      </w:pPr>
      <w:r w:rsidRPr="00F47C76">
        <w:rPr>
          <w:rStyle w:val="FootnoteReference"/>
          <w:rFonts w:cs="Arial"/>
        </w:rPr>
        <w:footnoteRef/>
      </w:r>
      <w:r w:rsidRPr="00F47C76">
        <w:rPr>
          <w:rFonts w:cs="Arial"/>
        </w:rPr>
        <w:t xml:space="preserve"> </w:t>
      </w:r>
      <w:r w:rsidRPr="00F47C76">
        <w:rPr>
          <w:rFonts w:cs="Arial"/>
          <w:i/>
          <w:lang w:val="en-GB"/>
        </w:rPr>
        <w:t>CRC General Comment No 14</w:t>
      </w:r>
      <w:r w:rsidRPr="00F47C76">
        <w:rPr>
          <w:rFonts w:cs="Arial"/>
          <w:lang w:val="en-GB"/>
        </w:rPr>
        <w:t xml:space="preserve"> [37]. </w:t>
      </w:r>
    </w:p>
  </w:footnote>
  <w:footnote w:id="11">
    <w:p w14:paraId="6636F8E5" w14:textId="77777777" w:rsidR="007866FA" w:rsidRPr="00F47C76" w:rsidRDefault="007866FA" w:rsidP="007866FA">
      <w:pPr>
        <w:pStyle w:val="FootnoteText"/>
        <w:rPr>
          <w:rFonts w:cs="Arial"/>
          <w:lang w:val="en-GB"/>
        </w:rPr>
      </w:pPr>
      <w:r w:rsidRPr="00F47C76">
        <w:rPr>
          <w:rStyle w:val="FootnoteReference"/>
          <w:rFonts w:cs="Arial"/>
        </w:rPr>
        <w:footnoteRef/>
      </w:r>
      <w:r w:rsidRPr="00F47C76">
        <w:rPr>
          <w:rFonts w:cs="Arial"/>
        </w:rPr>
        <w:t xml:space="preserve"> </w:t>
      </w:r>
      <w:r w:rsidRPr="00F47C76">
        <w:rPr>
          <w:rFonts w:cs="Arial"/>
          <w:i/>
        </w:rPr>
        <w:t>CRC General Comment No 14</w:t>
      </w:r>
      <w:r w:rsidRPr="00F47C76">
        <w:rPr>
          <w:rFonts w:cs="Arial"/>
        </w:rPr>
        <w:t xml:space="preserve"> [11], [32]</w:t>
      </w:r>
    </w:p>
  </w:footnote>
  <w:footnote w:id="12">
    <w:p w14:paraId="65F75649" w14:textId="77777777" w:rsidR="007866FA" w:rsidRPr="00F47C76" w:rsidRDefault="007866FA" w:rsidP="007866FA">
      <w:pPr>
        <w:pStyle w:val="FootnoteText"/>
        <w:rPr>
          <w:rFonts w:cs="Arial"/>
          <w:lang w:val="en-GB"/>
        </w:rPr>
      </w:pPr>
      <w:r w:rsidRPr="00F47C76">
        <w:rPr>
          <w:rStyle w:val="FootnoteReference"/>
          <w:rFonts w:cs="Arial"/>
        </w:rPr>
        <w:footnoteRef/>
      </w:r>
      <w:r w:rsidRPr="00F47C76">
        <w:rPr>
          <w:rFonts w:cs="Arial"/>
        </w:rPr>
        <w:t xml:space="preserve"> </w:t>
      </w:r>
      <w:r w:rsidRPr="00F47C76">
        <w:rPr>
          <w:rFonts w:cs="Arial"/>
          <w:i/>
          <w:lang w:val="en-GB"/>
        </w:rPr>
        <w:t>CRC General Comment No 14</w:t>
      </w:r>
      <w:r w:rsidRPr="00F47C76">
        <w:rPr>
          <w:rFonts w:cs="Arial"/>
          <w:lang w:val="en-GB"/>
        </w:rPr>
        <w:t xml:space="preserve"> [52]</w:t>
      </w:r>
      <w:r>
        <w:rPr>
          <w:rFonts w:cs="Arial"/>
          <w:lang w:val="en-GB"/>
        </w:rPr>
        <w:t>–</w:t>
      </w:r>
      <w:r w:rsidRPr="00F47C76">
        <w:rPr>
          <w:rFonts w:cs="Arial"/>
          <w:lang w:val="en-GB"/>
        </w:rPr>
        <w:t>[79].</w:t>
      </w:r>
    </w:p>
  </w:footnote>
  <w:footnote w:id="13">
    <w:p w14:paraId="342C86AD" w14:textId="1CFED735" w:rsidR="00825AAF" w:rsidRPr="004D46CA" w:rsidRDefault="00825AAF" w:rsidP="00825AAF">
      <w:pPr>
        <w:pStyle w:val="FootnoteText"/>
        <w:rPr>
          <w:lang w:val="en-GB"/>
        </w:rPr>
      </w:pPr>
      <w:r>
        <w:rPr>
          <w:rStyle w:val="FootnoteReference"/>
        </w:rPr>
        <w:footnoteRef/>
      </w:r>
      <w:r>
        <w:t xml:space="preserve"> </w:t>
      </w:r>
      <w:r w:rsidRPr="00347E31">
        <w:rPr>
          <w:i/>
          <w:iCs/>
          <w:lang w:val="en-GB"/>
        </w:rPr>
        <w:t>Human Rights Act 2019</w:t>
      </w:r>
      <w:r>
        <w:rPr>
          <w:lang w:val="en-GB"/>
        </w:rPr>
        <w:t xml:space="preserve"> (Qld) s 28(2).</w:t>
      </w:r>
    </w:p>
  </w:footnote>
  <w:footnote w:id="14">
    <w:p w14:paraId="40BAA9EC" w14:textId="0B5DEACC" w:rsidR="00CB4F85" w:rsidRPr="0063280A" w:rsidRDefault="00CB4F85" w:rsidP="00CB4F85">
      <w:pPr>
        <w:pStyle w:val="FootnoteText"/>
        <w:rPr>
          <w:lang w:val="en-GB"/>
        </w:rPr>
      </w:pPr>
      <w:r>
        <w:rPr>
          <w:rStyle w:val="FootnoteReference"/>
        </w:rPr>
        <w:footnoteRef/>
      </w:r>
      <w:r>
        <w:t xml:space="preserve"> </w:t>
      </w:r>
      <w:r w:rsidR="00B43A01" w:rsidRPr="0063280A">
        <w:t xml:space="preserve">The Australian Child Maltreatment Study, </w:t>
      </w:r>
      <w:r w:rsidRPr="0063280A">
        <w:t xml:space="preserve">The </w:t>
      </w:r>
      <w:r w:rsidRPr="0063280A">
        <w:rPr>
          <w:i/>
          <w:iCs/>
        </w:rPr>
        <w:t>prevalence and impact of child maltreatment in Australia: Findings from the Australian Child Maltreatment Study</w:t>
      </w:r>
      <w:r w:rsidR="006E44CE" w:rsidRPr="0063280A">
        <w:rPr>
          <w:i/>
          <w:iCs/>
        </w:rPr>
        <w:t xml:space="preserve"> </w:t>
      </w:r>
      <w:r w:rsidR="006E44CE" w:rsidRPr="0063280A">
        <w:t>(</w:t>
      </w:r>
      <w:r w:rsidRPr="0063280A">
        <w:t>Brief Report</w:t>
      </w:r>
      <w:r w:rsidR="001F2DD4" w:rsidRPr="0063280A">
        <w:t>, 2023)</w:t>
      </w:r>
      <w:r w:rsidR="0063280A" w:rsidRPr="0063280A">
        <w:t>.</w:t>
      </w:r>
    </w:p>
  </w:footnote>
  <w:footnote w:id="15">
    <w:p w14:paraId="707F2259" w14:textId="77777777" w:rsidR="00DA6E8C" w:rsidRPr="005756CC" w:rsidRDefault="00DA6E8C" w:rsidP="00DA6E8C">
      <w:pPr>
        <w:pStyle w:val="FootnoteText"/>
        <w:rPr>
          <w:lang w:val="en-GB"/>
        </w:rPr>
      </w:pPr>
      <w:r>
        <w:rPr>
          <w:rStyle w:val="FootnoteReference"/>
        </w:rPr>
        <w:footnoteRef/>
      </w:r>
      <w:r>
        <w:t xml:space="preserve"> </w:t>
      </w:r>
      <w:r w:rsidRPr="005756CC">
        <w:rPr>
          <w:i/>
          <w:iCs/>
          <w:lang w:val="en-GB"/>
        </w:rPr>
        <w:t xml:space="preserve">Human Rights Act 2019 </w:t>
      </w:r>
      <w:r w:rsidRPr="00B26EB2">
        <w:rPr>
          <w:lang w:val="en-GB"/>
        </w:rPr>
        <w:t>(Qld)</w:t>
      </w:r>
      <w:r>
        <w:rPr>
          <w:lang w:val="en-GB"/>
        </w:rPr>
        <w:t xml:space="preserve"> s58. </w:t>
      </w:r>
    </w:p>
  </w:footnote>
  <w:footnote w:id="16">
    <w:p w14:paraId="184237F0" w14:textId="19053F54" w:rsidR="00E468CF" w:rsidRPr="00C56751" w:rsidRDefault="00E468CF">
      <w:pPr>
        <w:pStyle w:val="FootnoteText"/>
        <w:rPr>
          <w:lang w:val="en-GB"/>
        </w:rPr>
      </w:pPr>
      <w:r>
        <w:rPr>
          <w:rStyle w:val="FootnoteReference"/>
        </w:rPr>
        <w:footnoteRef/>
      </w:r>
      <w:r>
        <w:t xml:space="preserve"> </w:t>
      </w:r>
      <w:r w:rsidRPr="00984F19">
        <w:rPr>
          <w:i/>
          <w:iCs/>
        </w:rPr>
        <w:t>ZZ v Secretary, Department of Justice</w:t>
      </w:r>
      <w:r w:rsidRPr="00984F19">
        <w:t xml:space="preserve"> [2013] VSC 267</w:t>
      </w:r>
      <w:r>
        <w:t xml:space="preserve"> [87].</w:t>
      </w:r>
    </w:p>
  </w:footnote>
  <w:footnote w:id="17">
    <w:p w14:paraId="60DEEAC5" w14:textId="0908CB4D" w:rsidR="00984F19" w:rsidRPr="00984F19" w:rsidRDefault="00984F19">
      <w:pPr>
        <w:pStyle w:val="FootnoteText"/>
        <w:rPr>
          <w:lang w:val="en-GB"/>
        </w:rPr>
      </w:pPr>
      <w:r>
        <w:rPr>
          <w:rStyle w:val="FootnoteReference"/>
        </w:rPr>
        <w:footnoteRef/>
      </w:r>
      <w:r>
        <w:t xml:space="preserve"> </w:t>
      </w:r>
      <w:r w:rsidRPr="00984F19">
        <w:rPr>
          <w:i/>
          <w:iCs/>
        </w:rPr>
        <w:t>Jurecek v Director, Transport Safety Victoria</w:t>
      </w:r>
      <w:r w:rsidRPr="00984F19">
        <w:t xml:space="preserve"> [2016] VSC 285</w:t>
      </w:r>
      <w:r>
        <w:t>.</w:t>
      </w:r>
    </w:p>
  </w:footnote>
  <w:footnote w:id="18">
    <w:p w14:paraId="503A3966" w14:textId="5F34F55D" w:rsidR="003E420B" w:rsidRPr="003E420B" w:rsidRDefault="003E420B">
      <w:pPr>
        <w:pStyle w:val="FootnoteText"/>
        <w:rPr>
          <w:lang w:val="en-GB"/>
        </w:rPr>
      </w:pPr>
      <w:r>
        <w:rPr>
          <w:rStyle w:val="FootnoteReference"/>
        </w:rPr>
        <w:footnoteRef/>
      </w:r>
      <w:r>
        <w:t xml:space="preserve"> </w:t>
      </w:r>
      <w:r>
        <w:rPr>
          <w:lang w:val="en-GB"/>
        </w:rPr>
        <w:t>Child Death Review Board,</w:t>
      </w:r>
      <w:r w:rsidR="004B7E46">
        <w:rPr>
          <w:lang w:val="en-GB"/>
        </w:rPr>
        <w:t xml:space="preserve"> </w:t>
      </w:r>
      <w:r w:rsidR="00B43FB7" w:rsidRPr="00B43FB7">
        <w:rPr>
          <w:i/>
          <w:iCs/>
          <w:lang w:val="en-GB"/>
        </w:rPr>
        <w:t>Review of s</w:t>
      </w:r>
      <w:r w:rsidR="004B7E46" w:rsidRPr="00B43FB7">
        <w:rPr>
          <w:i/>
          <w:iCs/>
          <w:lang w:val="en-GB"/>
        </w:rPr>
        <w:t>y</w:t>
      </w:r>
      <w:r w:rsidR="004B7E46" w:rsidRPr="00DB77EC">
        <w:rPr>
          <w:i/>
          <w:iCs/>
          <w:lang w:val="en-GB"/>
        </w:rPr>
        <w:t>stem responses to child sexual abuse review:</w:t>
      </w:r>
      <w:r w:rsidRPr="00DB77EC">
        <w:rPr>
          <w:i/>
          <w:iCs/>
          <w:lang w:val="en-GB"/>
        </w:rPr>
        <w:t xml:space="preserve"> </w:t>
      </w:r>
      <w:r w:rsidR="004B7E46" w:rsidRPr="00DB77EC">
        <w:rPr>
          <w:i/>
          <w:iCs/>
          <w:lang w:val="en-GB"/>
        </w:rPr>
        <w:t>Progress Report</w:t>
      </w:r>
      <w:r w:rsidR="00B43FB7">
        <w:rPr>
          <w:i/>
          <w:iCs/>
          <w:lang w:val="en-GB"/>
        </w:rPr>
        <w:t xml:space="preserve"> 2</w:t>
      </w:r>
      <w:r w:rsidR="004B7E46">
        <w:rPr>
          <w:lang w:val="en-GB"/>
        </w:rPr>
        <w:t xml:space="preserve">, (June 2025, Progress report). </w:t>
      </w:r>
    </w:p>
  </w:footnote>
  <w:footnote w:id="19">
    <w:p w14:paraId="4805B1ED" w14:textId="0989A54A" w:rsidR="00B92F1B" w:rsidRPr="00B92F1B" w:rsidRDefault="00B92F1B">
      <w:pPr>
        <w:pStyle w:val="FootnoteText"/>
        <w:rPr>
          <w:lang w:val="en-GB"/>
        </w:rPr>
      </w:pPr>
      <w:r>
        <w:rPr>
          <w:rStyle w:val="FootnoteReference"/>
        </w:rPr>
        <w:footnoteRef/>
      </w:r>
      <w:r>
        <w:t xml:space="preserve"> </w:t>
      </w:r>
      <w:r w:rsidRPr="00B92F1B">
        <w:rPr>
          <w:i/>
          <w:iCs/>
          <w:lang w:val="en-GB"/>
        </w:rPr>
        <w:t>Working With Children (Risk Management and Screening) Act 2000 (Qld),</w:t>
      </w:r>
      <w:r>
        <w:rPr>
          <w:lang w:val="en-GB"/>
        </w:rPr>
        <w:t xml:space="preserve"> schedule 2. </w:t>
      </w:r>
    </w:p>
  </w:footnote>
  <w:footnote w:id="20">
    <w:p w14:paraId="2F4CB4B4" w14:textId="7ABA82FB" w:rsidR="008121ED" w:rsidRPr="00C56751" w:rsidRDefault="008121ED">
      <w:pPr>
        <w:pStyle w:val="FootnoteText"/>
        <w:rPr>
          <w:lang w:val="en-GB"/>
        </w:rPr>
      </w:pPr>
      <w:r>
        <w:rPr>
          <w:rStyle w:val="FootnoteReference"/>
        </w:rPr>
        <w:footnoteRef/>
      </w:r>
      <w:r>
        <w:t xml:space="preserve"> </w:t>
      </w:r>
      <w:r w:rsidR="000C4935" w:rsidRPr="000C4935">
        <w:rPr>
          <w:i/>
          <w:iCs/>
        </w:rPr>
        <w:t xml:space="preserve">Human Rights Act 2019 </w:t>
      </w:r>
      <w:r w:rsidR="000C4935" w:rsidRPr="00B26EB2">
        <w:t>(Qld)</w:t>
      </w:r>
      <w:r w:rsidR="000C4935">
        <w:t xml:space="preserve"> s15. </w:t>
      </w:r>
    </w:p>
  </w:footnote>
  <w:footnote w:id="21">
    <w:p w14:paraId="5CC44E78" w14:textId="3FA7E0A3" w:rsidR="00D52362" w:rsidRPr="00F47C76" w:rsidRDefault="00D52362" w:rsidP="00531239">
      <w:pPr>
        <w:pStyle w:val="FootnoteText"/>
        <w:rPr>
          <w:rFonts w:cs="Arial"/>
          <w:lang w:val="en-GB"/>
        </w:rPr>
      </w:pPr>
      <w:r w:rsidRPr="00F47C76">
        <w:rPr>
          <w:rStyle w:val="FootnoteReference"/>
          <w:rFonts w:cs="Arial"/>
        </w:rPr>
        <w:footnoteRef/>
      </w:r>
      <w:r w:rsidRPr="00F47C76">
        <w:rPr>
          <w:rFonts w:cs="Arial"/>
        </w:rPr>
        <w:t xml:space="preserve"> </w:t>
      </w:r>
      <w:r w:rsidRPr="00F47C76">
        <w:rPr>
          <w:rFonts w:cs="Arial"/>
          <w:i/>
        </w:rPr>
        <w:t>Anti-Discrimination Act 1991</w:t>
      </w:r>
      <w:r w:rsidRPr="00F47C76">
        <w:rPr>
          <w:rFonts w:cs="Arial"/>
        </w:rPr>
        <w:t xml:space="preserve"> (Qld) s</w:t>
      </w:r>
      <w:r w:rsidR="00D35CD7">
        <w:rPr>
          <w:rFonts w:cs="Arial"/>
        </w:rPr>
        <w:t>s</w:t>
      </w:r>
      <w:r w:rsidRPr="00F47C76">
        <w:rPr>
          <w:rFonts w:cs="Arial"/>
        </w:rPr>
        <w:t xml:space="preserve"> 7(f)</w:t>
      </w:r>
      <w:r>
        <w:rPr>
          <w:rFonts w:cs="Arial"/>
        </w:rPr>
        <w:t>, (g)</w:t>
      </w:r>
      <w:r w:rsidRPr="00F47C76">
        <w:rPr>
          <w:rFonts w:cs="Arial"/>
        </w:rPr>
        <w:t xml:space="preserve"> and (h). </w:t>
      </w:r>
      <w:r w:rsidRPr="00F47C76">
        <w:rPr>
          <w:rFonts w:cs="Arial"/>
          <w:lang w:val="en-GB"/>
        </w:rPr>
        <w:t xml:space="preserve">Impairment is defined in </w:t>
      </w:r>
      <w:r w:rsidRPr="00F47C76">
        <w:rPr>
          <w:rFonts w:cs="Arial"/>
          <w:i/>
          <w:iCs/>
          <w:lang w:val="en-GB"/>
        </w:rPr>
        <w:t>Anti-Discrimination Act 1991</w:t>
      </w:r>
      <w:r w:rsidRPr="00F47C76">
        <w:rPr>
          <w:rFonts w:cs="Arial"/>
          <w:lang w:val="en-GB"/>
        </w:rPr>
        <w:t xml:space="preserve"> (Qld) sch 1.</w:t>
      </w:r>
    </w:p>
  </w:footnote>
  <w:footnote w:id="22">
    <w:p w14:paraId="346192CF" w14:textId="77777777" w:rsidR="00D52362" w:rsidRPr="00F47C76" w:rsidRDefault="00D52362" w:rsidP="00F06BB7">
      <w:pPr>
        <w:pStyle w:val="FootnoteText"/>
        <w:rPr>
          <w:rFonts w:cs="Arial"/>
          <w:lang w:val="en-GB"/>
        </w:rPr>
      </w:pPr>
      <w:r w:rsidRPr="00F47C76">
        <w:rPr>
          <w:rStyle w:val="FootnoteReference"/>
          <w:rFonts w:cs="Arial"/>
        </w:rPr>
        <w:footnoteRef/>
      </w:r>
      <w:r w:rsidRPr="00F47C76">
        <w:rPr>
          <w:rFonts w:cs="Arial"/>
        </w:rPr>
        <w:t xml:space="preserve"> </w:t>
      </w:r>
      <w:r w:rsidRPr="00F47C76">
        <w:rPr>
          <w:rFonts w:cs="Arial"/>
          <w:i/>
          <w:iCs/>
          <w:lang w:val="en-GB"/>
        </w:rPr>
        <w:t>Anti-Discrimination Act 1991</w:t>
      </w:r>
      <w:r w:rsidRPr="00F47C76">
        <w:rPr>
          <w:rFonts w:cs="Arial"/>
          <w:lang w:val="en-GB"/>
        </w:rPr>
        <w:t xml:space="preserve"> (Qld) s 10.</w:t>
      </w:r>
    </w:p>
  </w:footnote>
  <w:footnote w:id="23">
    <w:p w14:paraId="1E49D599" w14:textId="77777777" w:rsidR="00D52362" w:rsidRPr="00F47C76" w:rsidRDefault="00D52362" w:rsidP="00F06BB7">
      <w:pPr>
        <w:pStyle w:val="FootnoteText"/>
        <w:rPr>
          <w:rFonts w:cs="Arial"/>
          <w:lang w:val="en-GB"/>
        </w:rPr>
      </w:pPr>
      <w:r w:rsidRPr="00F47C76">
        <w:rPr>
          <w:rStyle w:val="FootnoteReference"/>
          <w:rFonts w:cs="Arial"/>
        </w:rPr>
        <w:footnoteRef/>
      </w:r>
      <w:r w:rsidRPr="00F47C76">
        <w:rPr>
          <w:rFonts w:cs="Arial"/>
        </w:rPr>
        <w:t xml:space="preserve"> </w:t>
      </w:r>
      <w:r w:rsidRPr="00F47C76">
        <w:rPr>
          <w:rFonts w:cs="Arial"/>
          <w:i/>
          <w:iCs/>
          <w:lang w:val="en-GB"/>
        </w:rPr>
        <w:t>Anti-Discrimination Act 1991</w:t>
      </w:r>
      <w:r w:rsidRPr="00F47C76">
        <w:rPr>
          <w:rFonts w:cs="Arial"/>
          <w:lang w:val="en-GB"/>
        </w:rPr>
        <w:t xml:space="preserve"> (Qld) s 11.</w:t>
      </w:r>
    </w:p>
  </w:footnote>
  <w:footnote w:id="24">
    <w:p w14:paraId="4D766AD8" w14:textId="77777777" w:rsidR="002665FB" w:rsidRDefault="002665FB" w:rsidP="002665FB">
      <w:pPr>
        <w:pStyle w:val="FootnoteText"/>
        <w:rPr>
          <w:lang w:val="en-GB"/>
        </w:rPr>
      </w:pPr>
      <w:r>
        <w:rPr>
          <w:rStyle w:val="FootnoteReference"/>
        </w:rPr>
        <w:footnoteRef/>
      </w:r>
      <w:r>
        <w:t xml:space="preserve"> Youth Justice Reform Select Committee, </w:t>
      </w:r>
      <w:r w:rsidRPr="00A7020A">
        <w:rPr>
          <w:i/>
          <w:iCs/>
        </w:rPr>
        <w:t>Inquiry into ongoing reforms to the youth justice system and support for victims of crime</w:t>
      </w:r>
      <w:r>
        <w:t xml:space="preserve"> (Interim Report, April 2024) 8; National Children’s Commissioner, Australian Human Rights Commission, ‘</w:t>
      </w:r>
      <w:r>
        <w:rPr>
          <w:rFonts w:cs="Arial"/>
          <w:i/>
          <w:iCs/>
        </w:rPr>
        <w:t>Help Way Earlier!’ How Australia can transform child justice to improve safety and wellbeing</w:t>
      </w:r>
      <w:r>
        <w:rPr>
          <w:rFonts w:cs="Arial"/>
        </w:rPr>
        <w:t xml:space="preserve"> (21 June 2024) 98–101.</w:t>
      </w:r>
    </w:p>
  </w:footnote>
  <w:footnote w:id="25">
    <w:p w14:paraId="52EDC060" w14:textId="77777777" w:rsidR="002665FB" w:rsidRDefault="002665FB" w:rsidP="002665FB">
      <w:pPr>
        <w:pStyle w:val="FootnoteText"/>
        <w:rPr>
          <w:lang w:val="en-GB"/>
        </w:rPr>
      </w:pPr>
      <w:r w:rsidRPr="00710008">
        <w:rPr>
          <w:rStyle w:val="FootnoteReference"/>
        </w:rPr>
        <w:footnoteRef/>
      </w:r>
      <w:r w:rsidRPr="00710008">
        <w:t xml:space="preserve"> </w:t>
      </w:r>
      <w:r>
        <w:rPr>
          <w:lang w:val="en-GB"/>
        </w:rPr>
        <w:t xml:space="preserve">Australian Law Reform Commission, </w:t>
      </w:r>
      <w:r>
        <w:rPr>
          <w:i/>
          <w:iCs/>
          <w:lang w:val="en-GB"/>
        </w:rPr>
        <w:t xml:space="preserve">Pathways to Justice – Inquiry into the Incarceration Rate of Aboriginal and Torres Strait Islander Peoples </w:t>
      </w:r>
      <w:r>
        <w:rPr>
          <w:lang w:val="en-GB"/>
        </w:rPr>
        <w:t xml:space="preserve">(Report No 133, 28 March 2018) </w:t>
      </w:r>
      <w:r w:rsidRPr="0020715D">
        <w:rPr>
          <w:lang w:val="en-GB"/>
        </w:rPr>
        <w:t xml:space="preserve">434. </w:t>
      </w:r>
    </w:p>
  </w:footnote>
  <w:footnote w:id="26">
    <w:p w14:paraId="05FA0FE6" w14:textId="42C2D761" w:rsidR="002665FB" w:rsidRPr="00B26F38" w:rsidRDefault="002665FB" w:rsidP="002665FB">
      <w:pPr>
        <w:pStyle w:val="FootnoteText"/>
        <w:rPr>
          <w:lang w:val="en-GB"/>
        </w:rPr>
      </w:pPr>
      <w:r>
        <w:rPr>
          <w:rStyle w:val="FootnoteReference"/>
        </w:rPr>
        <w:footnoteRef/>
      </w:r>
      <w:r>
        <w:t xml:space="preserve"> </w:t>
      </w:r>
      <w:r w:rsidR="003A15F3">
        <w:t>Weatherburn D et al.</w:t>
      </w:r>
      <w:r w:rsidR="00153A68">
        <w:t xml:space="preserve">, </w:t>
      </w:r>
      <w:r w:rsidR="009436FB">
        <w:rPr>
          <w:i/>
          <w:iCs/>
        </w:rPr>
        <w:t xml:space="preserve">Toards a theory of Indigenous contact with the criminal justice system </w:t>
      </w:r>
      <w:r w:rsidR="009436FB">
        <w:t>(Research report 32, Australian Institute of Criminology)</w:t>
      </w:r>
      <w:r w:rsidR="000C0AB2">
        <w:t xml:space="preserve"> vii.</w:t>
      </w:r>
    </w:p>
  </w:footnote>
  <w:footnote w:id="27">
    <w:p w14:paraId="6540A90B" w14:textId="77777777" w:rsidR="002665FB" w:rsidRDefault="002665FB" w:rsidP="002665FB">
      <w:pPr>
        <w:pStyle w:val="FootnoteText"/>
        <w:rPr>
          <w:lang w:val="en-GB"/>
        </w:rPr>
      </w:pPr>
      <w:r>
        <w:rPr>
          <w:rStyle w:val="FootnoteReference"/>
        </w:rPr>
        <w:footnoteRef/>
      </w:r>
      <w:r>
        <w:t xml:space="preserve"> </w:t>
      </w:r>
      <w:r w:rsidRPr="004C1247">
        <w:rPr>
          <w:lang w:val="en-GB"/>
        </w:rPr>
        <w:t xml:space="preserve">Australian Law Reform Commission, Pathways to Justice – </w:t>
      </w:r>
      <w:r w:rsidRPr="00677C01">
        <w:rPr>
          <w:i/>
          <w:iCs/>
          <w:lang w:val="en-GB"/>
        </w:rPr>
        <w:t>Inquiry into the Incarceration Rate of Aboriginal and Torres Strait Islander Peoples</w:t>
      </w:r>
      <w:r w:rsidRPr="004C1247">
        <w:rPr>
          <w:lang w:val="en-GB"/>
        </w:rPr>
        <w:t xml:space="preserve"> (Report No 133, 28 March 2018)</w:t>
      </w:r>
      <w:r>
        <w:rPr>
          <w:lang w:val="en-GB"/>
        </w:rPr>
        <w:t xml:space="preserve"> 453.</w:t>
      </w:r>
    </w:p>
  </w:footnote>
  <w:footnote w:id="28">
    <w:p w14:paraId="7CA1F790" w14:textId="77777777" w:rsidR="002665FB" w:rsidRDefault="002665FB" w:rsidP="002665FB">
      <w:pPr>
        <w:pStyle w:val="FootnoteText"/>
        <w:rPr>
          <w:lang w:val="en-GB"/>
        </w:rPr>
      </w:pPr>
      <w:r w:rsidRPr="0020715D">
        <w:rPr>
          <w:rStyle w:val="FootnoteReference"/>
        </w:rPr>
        <w:footnoteRef/>
      </w:r>
      <w:r w:rsidRPr="0020715D">
        <w:t xml:space="preserve"> </w:t>
      </w:r>
      <w:r w:rsidRPr="0020715D">
        <w:rPr>
          <w:lang w:val="en-GB"/>
        </w:rPr>
        <w:t xml:space="preserve">Queensland Family &amp; Child Commission, </w:t>
      </w:r>
      <w:r w:rsidRPr="0020715D">
        <w:rPr>
          <w:i/>
          <w:iCs/>
          <w:lang w:val="en-GB"/>
        </w:rPr>
        <w:t>Who’s responsible: Understanding why young people are being held longer in Queensland watch houses</w:t>
      </w:r>
      <w:r w:rsidRPr="0020715D">
        <w:rPr>
          <w:lang w:val="en-GB"/>
        </w:rPr>
        <w:t xml:space="preserve"> (30 November 2023) </w:t>
      </w:r>
      <w:r w:rsidRPr="0020715D">
        <w:t>5.</w:t>
      </w:r>
    </w:p>
  </w:footnote>
  <w:footnote w:id="29">
    <w:p w14:paraId="7AEFD575" w14:textId="77777777" w:rsidR="00315DA6" w:rsidRPr="002D58B9" w:rsidRDefault="00315DA6" w:rsidP="00315DA6">
      <w:pPr>
        <w:pStyle w:val="FootnoteText"/>
        <w:rPr>
          <w:lang w:val="en-GB"/>
        </w:rPr>
      </w:pPr>
      <w:r>
        <w:rPr>
          <w:rStyle w:val="FootnoteReference"/>
        </w:rPr>
        <w:footnoteRef/>
      </w:r>
      <w:r>
        <w:t xml:space="preserve"> </w:t>
      </w:r>
      <w:r>
        <w:rPr>
          <w:rFonts w:cs="Arial"/>
        </w:rPr>
        <w:t>Evidence</w:t>
      </w:r>
      <w:r w:rsidRPr="00CA7271">
        <w:rPr>
          <w:rFonts w:cs="Arial"/>
        </w:rPr>
        <w:t xml:space="preserve"> to Legal Affairs and Safety Committee, Queensland Parliament, </w:t>
      </w:r>
      <w:r w:rsidRPr="00CA7271">
        <w:rPr>
          <w:rFonts w:cs="Arial"/>
          <w:i/>
          <w:iCs/>
        </w:rPr>
        <w:t>Inquiry into the Working with Children (Indigenous Communities) Amendment Bill 2021</w:t>
      </w:r>
      <w:r w:rsidRPr="00CA7271">
        <w:rPr>
          <w:rFonts w:cs="Arial"/>
          <w:iCs/>
        </w:rPr>
        <w:t>, Brisbane, 25 October 2021, 2 (Robbie Katter</w:t>
      </w:r>
      <w:r>
        <w:rPr>
          <w:rFonts w:cs="Arial"/>
          <w:iCs/>
        </w:rPr>
        <w:t xml:space="preserve"> MP</w:t>
      </w:r>
      <w:r w:rsidRPr="00CA7271">
        <w:rPr>
          <w:rFonts w:cs="Arial"/>
          <w:iCs/>
        </w:rPr>
        <w:t>).</w:t>
      </w:r>
    </w:p>
  </w:footnote>
  <w:footnote w:id="30">
    <w:p w14:paraId="4B867925" w14:textId="77777777" w:rsidR="00C863E0" w:rsidRPr="0064088A" w:rsidRDefault="00C863E0" w:rsidP="00C863E0">
      <w:pPr>
        <w:pStyle w:val="FootnoteText"/>
        <w:rPr>
          <w:lang w:val="en-GB"/>
        </w:rPr>
      </w:pPr>
      <w:r>
        <w:rPr>
          <w:rStyle w:val="FootnoteReference"/>
        </w:rPr>
        <w:footnoteRef/>
      </w:r>
      <w:r>
        <w:t xml:space="preserve"> Queensland Aboriginal and Torres Strait Islander Child Protection Peak Limited, Submission No. 007 to Legal Affairs &amp; Safety Committee,</w:t>
      </w:r>
      <w:r w:rsidRPr="00772C2E">
        <w:t xml:space="preserve"> </w:t>
      </w:r>
      <w:r w:rsidRPr="00772C2E">
        <w:rPr>
          <w:i/>
          <w:iCs/>
        </w:rPr>
        <w:t>Working with Children (Indigenous Communities) Amendment Bill 2021</w:t>
      </w:r>
      <w:r>
        <w:t xml:space="preserve"> (22 November 2021) 4.</w:t>
      </w:r>
    </w:p>
  </w:footnote>
  <w:footnote w:id="31">
    <w:p w14:paraId="3090C140" w14:textId="43FAB91E" w:rsidR="00A92397" w:rsidRPr="00C56751" w:rsidRDefault="00A92397">
      <w:pPr>
        <w:pStyle w:val="FootnoteText"/>
        <w:rPr>
          <w:lang w:val="en-GB"/>
        </w:rPr>
      </w:pPr>
      <w:r>
        <w:rPr>
          <w:rStyle w:val="FootnoteReference"/>
        </w:rPr>
        <w:footnoteRef/>
      </w:r>
      <w:r>
        <w:t xml:space="preserve"> </w:t>
      </w:r>
      <w:r w:rsidRPr="00C56751">
        <w:rPr>
          <w:i/>
          <w:iCs/>
          <w:lang w:val="en-GB"/>
        </w:rPr>
        <w:t xml:space="preserve">Human Rights Act 2019 </w:t>
      </w:r>
      <w:r w:rsidRPr="00B26EB2">
        <w:rPr>
          <w:lang w:val="en-GB"/>
        </w:rPr>
        <w:t>(Qld)</w:t>
      </w:r>
      <w:r>
        <w:rPr>
          <w:lang w:val="en-GB"/>
        </w:rPr>
        <w:t xml:space="preserve"> s28. </w:t>
      </w:r>
    </w:p>
  </w:footnote>
  <w:footnote w:id="32">
    <w:p w14:paraId="0149D24F" w14:textId="3BDC2909" w:rsidR="001B0FE1" w:rsidRPr="001B0FE1" w:rsidRDefault="001B0FE1">
      <w:pPr>
        <w:pStyle w:val="FootnoteText"/>
        <w:rPr>
          <w:lang w:val="en-GB"/>
        </w:rPr>
      </w:pPr>
      <w:r>
        <w:rPr>
          <w:rStyle w:val="FootnoteReference"/>
        </w:rPr>
        <w:footnoteRef/>
      </w:r>
      <w:r>
        <w:t xml:space="preserve"> </w:t>
      </w:r>
      <w:r w:rsidR="000B7F86" w:rsidRPr="000B7F86">
        <w:rPr>
          <w:i/>
          <w:iCs/>
        </w:rPr>
        <w:t>Royal Commission into Institutional Responses to Child Sexual Abuse</w:t>
      </w:r>
      <w:r w:rsidR="000B7F86" w:rsidRPr="000B7F86">
        <w:t xml:space="preserve"> (Final Report, 2017) vol 12, 12.</w:t>
      </w:r>
    </w:p>
  </w:footnote>
  <w:footnote w:id="33">
    <w:p w14:paraId="053DFAD4" w14:textId="5D42B5A7" w:rsidR="00D96EB0" w:rsidRPr="00C56751" w:rsidRDefault="00D96EB0">
      <w:pPr>
        <w:pStyle w:val="FootnoteText"/>
        <w:rPr>
          <w:lang w:val="en-GB"/>
        </w:rPr>
      </w:pPr>
      <w:r>
        <w:rPr>
          <w:rStyle w:val="FootnoteReference"/>
        </w:rPr>
        <w:footnoteRef/>
      </w:r>
      <w:r>
        <w:t xml:space="preserve"> </w:t>
      </w:r>
      <w:r w:rsidR="001B0FE1" w:rsidRPr="001B0FE1">
        <w:t>Working with Children (Risk Management and Screening) and Other Legislation Amendment Bill 2024</w:t>
      </w:r>
      <w:r w:rsidR="001B0FE1">
        <w:t>.</w:t>
      </w:r>
    </w:p>
  </w:footnote>
  <w:footnote w:id="34">
    <w:p w14:paraId="60EDDE2A" w14:textId="3CA915E1" w:rsidR="004206DD" w:rsidRPr="00C56751" w:rsidRDefault="004206DD">
      <w:pPr>
        <w:pStyle w:val="FootnoteText"/>
        <w:rPr>
          <w:lang w:val="en-GB"/>
        </w:rPr>
      </w:pPr>
      <w:r>
        <w:rPr>
          <w:rStyle w:val="FootnoteReference"/>
        </w:rPr>
        <w:footnoteRef/>
      </w:r>
      <w:r>
        <w:t xml:space="preserve"> </w:t>
      </w:r>
      <w:r w:rsidR="001B0FE1" w:rsidRPr="0008284B">
        <w:rPr>
          <w:i/>
          <w:iCs/>
        </w:rPr>
        <w:t>Human Rights Act 2019</w:t>
      </w:r>
      <w:r w:rsidR="001B0FE1" w:rsidRPr="0008284B">
        <w:t xml:space="preserve"> (Qld) s 58.</w:t>
      </w:r>
    </w:p>
  </w:footnote>
  <w:footnote w:id="35">
    <w:p w14:paraId="35EBFD04" w14:textId="77777777" w:rsidR="00251FE4" w:rsidRPr="003031B5" w:rsidRDefault="00251FE4" w:rsidP="00251FE4">
      <w:pPr>
        <w:pStyle w:val="FootnoteText"/>
        <w:rPr>
          <w:lang w:val="en-GB"/>
        </w:rPr>
      </w:pPr>
      <w:r>
        <w:rPr>
          <w:rStyle w:val="FootnoteReference"/>
        </w:rPr>
        <w:footnoteRef/>
      </w:r>
      <w:r>
        <w:t xml:space="preserve"> </w:t>
      </w:r>
      <w:r w:rsidRPr="000845B7">
        <w:rPr>
          <w:i/>
          <w:iCs/>
          <w:lang w:val="en-GB"/>
        </w:rPr>
        <w:t>Human Rights Act 2019</w:t>
      </w:r>
      <w:r>
        <w:rPr>
          <w:lang w:val="en-GB"/>
        </w:rPr>
        <w:t xml:space="preserve"> (Qld) s 9.</w:t>
      </w:r>
    </w:p>
  </w:footnote>
  <w:footnote w:id="36">
    <w:p w14:paraId="3956643C" w14:textId="77777777" w:rsidR="00251FE4" w:rsidRPr="002D7B46" w:rsidRDefault="00251FE4" w:rsidP="00251FE4">
      <w:pPr>
        <w:pStyle w:val="FootnoteText"/>
        <w:rPr>
          <w:lang w:val="en-GB"/>
        </w:rPr>
      </w:pPr>
      <w:r>
        <w:rPr>
          <w:rStyle w:val="FootnoteReference"/>
        </w:rPr>
        <w:footnoteRef/>
      </w:r>
      <w:r>
        <w:t xml:space="preserve"> </w:t>
      </w:r>
      <w:r w:rsidRPr="0008284B">
        <w:rPr>
          <w:i/>
          <w:iCs/>
        </w:rPr>
        <w:t>Human Rights Act 2019</w:t>
      </w:r>
      <w:r w:rsidRPr="0008284B">
        <w:t xml:space="preserve"> (Qld) s 58.</w:t>
      </w:r>
    </w:p>
  </w:footnote>
  <w:footnote w:id="37">
    <w:p w14:paraId="3D7019BC" w14:textId="5480D1AF" w:rsidR="002664C3" w:rsidRPr="00DD6EA2" w:rsidRDefault="002664C3" w:rsidP="002664C3">
      <w:pPr>
        <w:pStyle w:val="FootnoteText"/>
      </w:pPr>
      <w:r>
        <w:rPr>
          <w:rStyle w:val="FootnoteReference"/>
        </w:rPr>
        <w:footnoteRef/>
      </w:r>
      <w:r>
        <w:t xml:space="preserve"> </w:t>
      </w:r>
      <w:r>
        <w:rPr>
          <w:i/>
        </w:rPr>
        <w:t>Human Rights Act 2019</w:t>
      </w:r>
      <w:r w:rsidR="00180952">
        <w:rPr>
          <w:i/>
        </w:rPr>
        <w:t xml:space="preserve"> </w:t>
      </w:r>
      <w:r w:rsidR="00180952">
        <w:rPr>
          <w:iCs/>
        </w:rPr>
        <w:t>(Qld)</w:t>
      </w:r>
      <w:r>
        <w:rPr>
          <w:i/>
        </w:rPr>
        <w:t xml:space="preserve"> </w:t>
      </w:r>
      <w:r>
        <w:t xml:space="preserve">s 13. </w:t>
      </w:r>
    </w:p>
  </w:footnote>
  <w:footnote w:id="38">
    <w:p w14:paraId="67F97AF3" w14:textId="1FCE6694" w:rsidR="00055F59" w:rsidRPr="00055F59" w:rsidRDefault="00055F59">
      <w:pPr>
        <w:pStyle w:val="FootnoteText"/>
        <w:rPr>
          <w:lang w:val="en-GB"/>
        </w:rPr>
      </w:pPr>
      <w:r>
        <w:rPr>
          <w:rStyle w:val="FootnoteReference"/>
        </w:rPr>
        <w:footnoteRef/>
      </w:r>
      <w:r>
        <w:t xml:space="preserve"> </w:t>
      </w:r>
      <w:r>
        <w:rPr>
          <w:i/>
        </w:rPr>
        <w:t xml:space="preserve">Human Rights Act 2019 </w:t>
      </w:r>
      <w:r>
        <w:rPr>
          <w:iCs/>
        </w:rPr>
        <w:t>(Qld)</w:t>
      </w:r>
      <w:r>
        <w:rPr>
          <w:i/>
        </w:rPr>
        <w:t xml:space="preserve"> </w:t>
      </w:r>
      <w:r>
        <w:t>s 13.</w:t>
      </w:r>
    </w:p>
  </w:footnote>
  <w:footnote w:id="39">
    <w:p w14:paraId="2E30BEF5" w14:textId="70F83086" w:rsidR="00EB6CF2" w:rsidRPr="00725AB0" w:rsidRDefault="00EB6CF2" w:rsidP="00EB6CF2">
      <w:pPr>
        <w:pStyle w:val="FootnoteText"/>
        <w:rPr>
          <w:lang w:val="en-GB"/>
        </w:rPr>
      </w:pPr>
      <w:r>
        <w:rPr>
          <w:rStyle w:val="FootnoteReference"/>
        </w:rPr>
        <w:footnoteRef/>
      </w:r>
      <w:r>
        <w:t xml:space="preserve"> </w:t>
      </w:r>
      <w:r w:rsidRPr="00C047AD">
        <w:t xml:space="preserve">Queensland Family &amp; Child Commission </w:t>
      </w:r>
      <w:r w:rsidRPr="00CA7271">
        <w:rPr>
          <w:i/>
        </w:rPr>
        <w:t>Keeping Queensland’s children more than safe: Review of the blue card system</w:t>
      </w:r>
      <w:r>
        <w:t xml:space="preserve"> (Report, 2017) 5-7.</w:t>
      </w:r>
    </w:p>
  </w:footnote>
  <w:footnote w:id="40">
    <w:p w14:paraId="314ADA03" w14:textId="102C3D54" w:rsidR="0057111B" w:rsidRPr="0057111B" w:rsidRDefault="0057111B">
      <w:pPr>
        <w:pStyle w:val="FootnoteText"/>
        <w:rPr>
          <w:lang w:val="en-GB"/>
        </w:rPr>
      </w:pPr>
      <w:r>
        <w:rPr>
          <w:rStyle w:val="FootnoteReference"/>
        </w:rPr>
        <w:footnoteRef/>
      </w:r>
      <w:r>
        <w:t xml:space="preserve"> </w:t>
      </w:r>
      <w:r w:rsidR="00035BE5" w:rsidRPr="00035BE5">
        <w:t xml:space="preserve">Child Death Review Board, </w:t>
      </w:r>
      <w:r w:rsidR="00035BE5" w:rsidRPr="00035BE5">
        <w:rPr>
          <w:i/>
          <w:iCs/>
        </w:rPr>
        <w:t>Review of System Responses to Child Sexual Abuse</w:t>
      </w:r>
      <w:r w:rsidR="00035BE5" w:rsidRPr="00035BE5">
        <w:t xml:space="preserve"> (Progress Report 2, June 2025) 3.</w:t>
      </w:r>
    </w:p>
  </w:footnote>
  <w:footnote w:id="41">
    <w:p w14:paraId="1432065F" w14:textId="77777777" w:rsidR="00EB6CF2" w:rsidRPr="00A353CC" w:rsidRDefault="00EB6CF2" w:rsidP="00EB6CF2">
      <w:pPr>
        <w:pStyle w:val="FootnoteText"/>
        <w:rPr>
          <w:lang w:val="en-GB"/>
        </w:rPr>
      </w:pPr>
      <w:r>
        <w:rPr>
          <w:rStyle w:val="FootnoteReference"/>
        </w:rPr>
        <w:footnoteRef/>
      </w:r>
      <w:r>
        <w:t xml:space="preserve"> Child Death Review Board, </w:t>
      </w:r>
      <w:r>
        <w:rPr>
          <w:i/>
          <w:iCs/>
        </w:rPr>
        <w:t>Review of System Responses to Child Sexual Abuse</w:t>
      </w:r>
      <w:r>
        <w:t xml:space="preserve"> (Progress Report 2, June 2025) 3.</w:t>
      </w:r>
    </w:p>
  </w:footnote>
  <w:footnote w:id="42">
    <w:p w14:paraId="499AA9D7" w14:textId="77777777" w:rsidR="00926C88" w:rsidRPr="002D5BD5" w:rsidRDefault="00926C88" w:rsidP="00926C88">
      <w:pPr>
        <w:pStyle w:val="FootnoteText"/>
      </w:pPr>
      <w:r>
        <w:rPr>
          <w:rStyle w:val="FootnoteReference"/>
        </w:rPr>
        <w:footnoteRef/>
      </w:r>
      <w:r>
        <w:t xml:space="preserve"> Queensland Human Rights Commission, Submission No 18 to Education to </w:t>
      </w:r>
      <w:r w:rsidRPr="002D5BD5">
        <w:t xml:space="preserve">Employment, Training </w:t>
      </w:r>
    </w:p>
    <w:p w14:paraId="4D72893A" w14:textId="77777777" w:rsidR="00926C88" w:rsidRPr="003E03D1" w:rsidRDefault="00926C88" w:rsidP="00926C88">
      <w:pPr>
        <w:pStyle w:val="FootnoteText"/>
        <w:rPr>
          <w:lang w:val="en-GB"/>
        </w:rPr>
      </w:pPr>
      <w:r w:rsidRPr="002D5BD5">
        <w:t>and Skills Committee,</w:t>
      </w:r>
      <w:r w:rsidRPr="003E03D1">
        <w:rPr>
          <w:i/>
          <w:iCs/>
        </w:rPr>
        <w:t xml:space="preserve"> Working with Children (Risk Management and Screening) and Other Legislation Amendment Bill 2024</w:t>
      </w:r>
      <w:r>
        <w:t xml:space="preserve"> (</w:t>
      </w:r>
      <w:r w:rsidRPr="00C24E7F">
        <w:t>10 July 2024</w:t>
      </w:r>
      <w:r>
        <w:t>).</w:t>
      </w:r>
    </w:p>
  </w:footnote>
  <w:footnote w:id="43">
    <w:p w14:paraId="3A2F8834" w14:textId="69EF8ECF" w:rsidR="00926C88" w:rsidRPr="00C56751" w:rsidRDefault="00926C88" w:rsidP="00926C88">
      <w:pPr>
        <w:pStyle w:val="FootnoteText"/>
        <w:rPr>
          <w:lang w:val="en-GB"/>
        </w:rPr>
      </w:pPr>
      <w:r>
        <w:rPr>
          <w:rStyle w:val="FootnoteReference"/>
        </w:rPr>
        <w:footnoteRef/>
      </w:r>
      <w:r>
        <w:t xml:space="preserve"> Queensland Human Rights Commission, Submission No </w:t>
      </w:r>
      <w:r w:rsidRPr="00BC5559">
        <w:t>10 to</w:t>
      </w:r>
      <w:r>
        <w:t xml:space="preserve"> </w:t>
      </w:r>
      <w:r w:rsidRPr="00C01890">
        <w:t>Legal Affairs and Safety Committee</w:t>
      </w:r>
      <w:r w:rsidRPr="002D5BD5">
        <w:t>,</w:t>
      </w:r>
      <w:r w:rsidRPr="003E03D1">
        <w:rPr>
          <w:i/>
          <w:iCs/>
        </w:rPr>
        <w:t xml:space="preserve"> </w:t>
      </w:r>
      <w:r w:rsidRPr="00C822EA">
        <w:rPr>
          <w:i/>
          <w:iCs/>
        </w:rPr>
        <w:t xml:space="preserve">Working with Children (Indigenous Communities) Amendment Bill 2021 </w:t>
      </w:r>
      <w:r>
        <w:t>(</w:t>
      </w:r>
      <w:r w:rsidRPr="00CA2A9C">
        <w:t>22 November 2021</w:t>
      </w:r>
      <w:r>
        <w:t>).</w:t>
      </w:r>
    </w:p>
  </w:footnote>
  <w:footnote w:id="44">
    <w:p w14:paraId="336B4192" w14:textId="19191D9F" w:rsidR="008466A2" w:rsidRPr="00CA2E34" w:rsidRDefault="008466A2">
      <w:pPr>
        <w:pStyle w:val="FootnoteText"/>
        <w:rPr>
          <w:i/>
          <w:iCs/>
        </w:rPr>
      </w:pPr>
      <w:r>
        <w:rPr>
          <w:rStyle w:val="FootnoteReference"/>
        </w:rPr>
        <w:footnoteRef/>
      </w:r>
      <w:r>
        <w:t xml:space="preserve"> </w:t>
      </w:r>
      <w:r w:rsidR="00CA2E34" w:rsidRPr="00CA2E34">
        <w:rPr>
          <w:i/>
          <w:iCs/>
        </w:rPr>
        <w:t xml:space="preserve">Child Safe Organisations Act 2024 </w:t>
      </w:r>
      <w:r w:rsidR="00CA2E34" w:rsidRPr="00B26EB2">
        <w:t>(Qld).</w:t>
      </w:r>
      <w:r w:rsidR="00CA2E34" w:rsidRPr="00CA2E34">
        <w:rPr>
          <w:i/>
          <w:iCs/>
        </w:rPr>
        <w:t xml:space="preserve"> </w:t>
      </w:r>
    </w:p>
  </w:footnote>
  <w:footnote w:id="45">
    <w:p w14:paraId="3BC7798E" w14:textId="77777777" w:rsidR="00CB6122" w:rsidRPr="006D741B" w:rsidRDefault="00CB6122" w:rsidP="00CB6122">
      <w:pPr>
        <w:pStyle w:val="FootnoteText"/>
        <w:rPr>
          <w:lang w:val="en-GB"/>
        </w:rPr>
      </w:pPr>
      <w:r>
        <w:rPr>
          <w:rStyle w:val="FootnoteReference"/>
        </w:rPr>
        <w:footnoteRef/>
      </w:r>
      <w:r>
        <w:t xml:space="preserve"> </w:t>
      </w:r>
      <w:r w:rsidRPr="0059501B">
        <w:t>Royal Commission into Institutional Responses to Child Sexual Abuse (Working with Children Checks Report) 50.</w:t>
      </w:r>
    </w:p>
  </w:footnote>
  <w:footnote w:id="46">
    <w:p w14:paraId="78BC365F" w14:textId="0CCCF598" w:rsidR="00584CF9" w:rsidRPr="00584CF9" w:rsidRDefault="00584CF9" w:rsidP="00D7531C">
      <w:pPr>
        <w:pStyle w:val="FootnoteText"/>
        <w:rPr>
          <w:lang w:val="en-GB"/>
        </w:rPr>
      </w:pPr>
      <w:r>
        <w:rPr>
          <w:rStyle w:val="FootnoteReference"/>
        </w:rPr>
        <w:footnoteRef/>
      </w:r>
      <w:r>
        <w:t xml:space="preserve"> </w:t>
      </w:r>
      <w:r w:rsidR="00E277BC" w:rsidRPr="00E277BC">
        <w:t xml:space="preserve">Ian Nisbet, 'Adolescent sex offenders: A life sentence?' (2010) </w:t>
      </w:r>
      <w:r w:rsidR="00D84918">
        <w:t xml:space="preserve">vol. 32 </w:t>
      </w:r>
      <w:r w:rsidR="00E277BC" w:rsidRPr="00E277BC">
        <w:t>InPsych</w:t>
      </w:r>
      <w:r w:rsidR="00D84918">
        <w:t>, Issue 4.</w:t>
      </w:r>
    </w:p>
  </w:footnote>
  <w:footnote w:id="47">
    <w:p w14:paraId="1268F197" w14:textId="2518F808" w:rsidR="00844B55" w:rsidRPr="00844B55" w:rsidRDefault="00844B55">
      <w:pPr>
        <w:pStyle w:val="FootnoteText"/>
        <w:rPr>
          <w:lang w:val="en-GB"/>
        </w:rPr>
      </w:pPr>
      <w:r>
        <w:rPr>
          <w:rStyle w:val="FootnoteReference"/>
        </w:rPr>
        <w:footnoteRef/>
      </w:r>
      <w:r>
        <w:t xml:space="preserve"> </w:t>
      </w:r>
      <w:r w:rsidR="00641D12">
        <w:t xml:space="preserve">See for example: </w:t>
      </w:r>
      <w:r w:rsidR="00641D12" w:rsidRPr="0091759D">
        <w:rPr>
          <w:lang w:val="en-GB"/>
        </w:rPr>
        <w:t xml:space="preserve">Queensland Family &amp; Child Commission, </w:t>
      </w:r>
      <w:r w:rsidR="00641D12" w:rsidRPr="0091759D">
        <w:rPr>
          <w:i/>
          <w:iCs/>
          <w:lang w:val="en-GB"/>
        </w:rPr>
        <w:t>Exiting youth detention</w:t>
      </w:r>
      <w:r w:rsidR="00641D12" w:rsidRPr="0091759D">
        <w:rPr>
          <w:lang w:val="en-GB"/>
        </w:rPr>
        <w:t xml:space="preserve"> (June 2024) 12; </w:t>
      </w:r>
      <w:r w:rsidR="00641D12" w:rsidRPr="0091759D">
        <w:t>Australian Institute of Health and Welfare (2023)</w:t>
      </w:r>
      <w:r w:rsidR="00641D12">
        <w:t xml:space="preserve">; </w:t>
      </w:r>
      <w:r w:rsidR="00641D12">
        <w:rPr>
          <w:rFonts w:cs="Arial"/>
          <w:lang w:val="en-US"/>
        </w:rPr>
        <w:t xml:space="preserve">Committee on the Rights of the Child, </w:t>
      </w:r>
      <w:r w:rsidR="00641D12">
        <w:rPr>
          <w:rFonts w:cs="Arial"/>
          <w:i/>
          <w:iCs/>
          <w:lang w:val="en-US"/>
        </w:rPr>
        <w:t>General Comment No. 24 (2019) on Children’s Rights in the Child Justice System</w:t>
      </w:r>
      <w:r w:rsidR="00641D12">
        <w:rPr>
          <w:rFonts w:cs="Arial"/>
          <w:lang w:val="en-US"/>
        </w:rPr>
        <w:t>, UN Doc CRC/C/GC/24 (18 September 2019) [2], [22]-[23].</w:t>
      </w:r>
    </w:p>
  </w:footnote>
  <w:footnote w:id="48">
    <w:p w14:paraId="5B085350" w14:textId="47CD898B" w:rsidR="00D7531C" w:rsidRPr="00D7531C" w:rsidRDefault="00D7531C" w:rsidP="00D7531C">
      <w:pPr>
        <w:pStyle w:val="FootnoteText"/>
        <w:rPr>
          <w:lang w:val="en-GB"/>
        </w:rPr>
      </w:pPr>
      <w:r>
        <w:rPr>
          <w:rStyle w:val="FootnoteReference"/>
        </w:rPr>
        <w:footnoteRef/>
      </w:r>
      <w:r>
        <w:t xml:space="preserve"> Jesse Cale et al, 'A quasi-experimental evaluation of a specialized treatment service for youth adjudicated for sexual offences in Queensland, Australia' (2025)</w:t>
      </w:r>
      <w:r w:rsidR="00D84918">
        <w:t xml:space="preserve"> vol.</w:t>
      </w:r>
      <w:r>
        <w:t xml:space="preserve"> 99 Journal of Criminal Justice 102462</w:t>
      </w:r>
      <w:r w:rsidR="000C0AB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437A" w14:textId="77777777" w:rsidR="00BC7248" w:rsidRPr="007205B5" w:rsidRDefault="007205B5" w:rsidP="007205B5">
    <w:pPr>
      <w:tabs>
        <w:tab w:val="right" w:pos="9332"/>
      </w:tabs>
      <w:spacing w:after="0" w:line="240" w:lineRule="auto"/>
      <w:rPr>
        <w:rFonts w:cs="Arial"/>
        <w:sz w:val="20"/>
        <w:szCs w:val="20"/>
      </w:rPr>
    </w:pPr>
    <w:r>
      <w:rPr>
        <w:rFonts w:cs="Arial"/>
        <w:sz w:val="20"/>
        <w:szCs w:val="20"/>
      </w:rPr>
      <w:tab/>
      <w:t xml:space="preserve">Page </w:t>
    </w:r>
    <w:r w:rsidRPr="007205B5">
      <w:rPr>
        <w:rFonts w:cs="Arial"/>
        <w:sz w:val="20"/>
        <w:szCs w:val="20"/>
      </w:rPr>
      <w:fldChar w:fldCharType="begin"/>
    </w:r>
    <w:r w:rsidRPr="007205B5">
      <w:rPr>
        <w:rFonts w:cs="Arial"/>
        <w:sz w:val="20"/>
        <w:szCs w:val="20"/>
      </w:rPr>
      <w:instrText xml:space="preserve"> PAGE   \* MERGEFORMAT </w:instrText>
    </w:r>
    <w:r w:rsidRPr="007205B5">
      <w:rPr>
        <w:rFonts w:cs="Arial"/>
        <w:sz w:val="20"/>
        <w:szCs w:val="20"/>
      </w:rPr>
      <w:fldChar w:fldCharType="separate"/>
    </w:r>
    <w:r w:rsidR="00787574">
      <w:rPr>
        <w:rFonts w:cs="Arial"/>
        <w:noProof/>
        <w:sz w:val="20"/>
        <w:szCs w:val="20"/>
      </w:rPr>
      <w:t>3</w:t>
    </w:r>
    <w:r w:rsidRPr="007205B5">
      <w:rPr>
        <w:rFonts w:cs="Arial"/>
        <w:noProof/>
        <w:sz w:val="20"/>
        <w:szCs w:val="20"/>
      </w:rPr>
      <w:fldChar w:fldCharType="end"/>
    </w:r>
  </w:p>
  <w:p w14:paraId="04AB6755" w14:textId="77777777" w:rsidR="00425394" w:rsidRDefault="00425394" w:rsidP="00425394">
    <w:pPr>
      <w:pBdr>
        <w:bottom w:val="single" w:sz="6" w:space="1" w:color="auto"/>
      </w:pBdr>
      <w:tabs>
        <w:tab w:val="right" w:pos="9332"/>
      </w:tabs>
      <w:spacing w:after="0" w:line="240" w:lineRule="auto"/>
      <w:jc w:val="both"/>
      <w:rPr>
        <w:rFonts w:cs="Arial"/>
      </w:rPr>
    </w:pPr>
  </w:p>
  <w:p w14:paraId="3EA7CA59" w14:textId="77777777" w:rsidR="00425394" w:rsidRPr="00425394" w:rsidRDefault="00425394" w:rsidP="00425394">
    <w:pPr>
      <w:tabs>
        <w:tab w:val="right" w:pos="9332"/>
      </w:tabs>
      <w:spacing w:after="0" w:line="240" w:lineRule="auto"/>
      <w:jc w:val="both"/>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083B" w14:textId="77777777" w:rsidR="00BC7248" w:rsidRDefault="00BC7248" w:rsidP="000C13C7">
    <w:pPr>
      <w:pStyle w:val="Header"/>
      <w:tabs>
        <w:tab w:val="clear" w:pos="4513"/>
        <w:tab w:val="clear" w:pos="9026"/>
      </w:tabs>
    </w:pPr>
    <w:r>
      <w:rPr>
        <w:noProof/>
        <w:lang w:eastAsia="en-AU"/>
      </w:rPr>
      <w:drawing>
        <wp:inline distT="0" distB="0" distL="0" distR="0" wp14:anchorId="58953F45" wp14:editId="70A90FEE">
          <wp:extent cx="2147504" cy="89598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317"/>
    <w:multiLevelType w:val="hybridMultilevel"/>
    <w:tmpl w:val="0452158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8969B8"/>
    <w:multiLevelType w:val="multilevel"/>
    <w:tmpl w:val="EC0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4277F"/>
    <w:multiLevelType w:val="hybridMultilevel"/>
    <w:tmpl w:val="CACEBD7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 w15:restartNumberingAfterBreak="0">
    <w:nsid w:val="0A301574"/>
    <w:multiLevelType w:val="multilevel"/>
    <w:tmpl w:val="8EAA7C38"/>
    <w:lvl w:ilvl="0">
      <w:start w:val="1"/>
      <w:numFmt w:val="lowerLetter"/>
      <w:lvlText w:val="(%1)"/>
      <w:lvlJc w:val="left"/>
      <w:pPr>
        <w:ind w:left="1287" w:hanging="567"/>
      </w:pPr>
      <w:rPr>
        <w:rFonts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4" w15:restartNumberingAfterBreak="0">
    <w:nsid w:val="10250E7E"/>
    <w:multiLevelType w:val="multilevel"/>
    <w:tmpl w:val="C66EF686"/>
    <w:lvl w:ilvl="0">
      <w:start w:val="1"/>
      <w:numFmt w:val="decimal"/>
      <w:pStyle w:val="Numberedparagraph"/>
      <w:lvlText w:val="%1."/>
      <w:lvlJc w:val="left"/>
      <w:pPr>
        <w:ind w:left="567" w:hanging="567"/>
      </w:pPr>
      <w:rPr>
        <w:rFonts w:hint="default"/>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14C876B0"/>
    <w:multiLevelType w:val="hybridMultilevel"/>
    <w:tmpl w:val="A300B4D8"/>
    <w:lvl w:ilvl="0" w:tplc="0542133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16AE3B33"/>
    <w:multiLevelType w:val="hybridMultilevel"/>
    <w:tmpl w:val="85BAB2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9E5E8C"/>
    <w:multiLevelType w:val="multilevel"/>
    <w:tmpl w:val="C3CE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F3346"/>
    <w:multiLevelType w:val="hybridMultilevel"/>
    <w:tmpl w:val="EE98C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66ADF"/>
    <w:multiLevelType w:val="hybridMultilevel"/>
    <w:tmpl w:val="D842D9C6"/>
    <w:lvl w:ilvl="0" w:tplc="67A4943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4012F8"/>
    <w:multiLevelType w:val="multilevel"/>
    <w:tmpl w:val="D32E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B6796A"/>
    <w:multiLevelType w:val="hybridMultilevel"/>
    <w:tmpl w:val="1EEA5BB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BB75442"/>
    <w:multiLevelType w:val="multilevel"/>
    <w:tmpl w:val="579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05F64"/>
    <w:multiLevelType w:val="hybridMultilevel"/>
    <w:tmpl w:val="75EEB9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DC3AE5"/>
    <w:multiLevelType w:val="hybridMultilevel"/>
    <w:tmpl w:val="59384A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8728E4"/>
    <w:multiLevelType w:val="hybridMultilevel"/>
    <w:tmpl w:val="B98E2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A803FC"/>
    <w:multiLevelType w:val="hybridMultilevel"/>
    <w:tmpl w:val="D3C493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BC041B"/>
    <w:multiLevelType w:val="hybridMultilevel"/>
    <w:tmpl w:val="5F6E5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D67FA6"/>
    <w:multiLevelType w:val="multilevel"/>
    <w:tmpl w:val="D10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EA62E3"/>
    <w:multiLevelType w:val="hybridMultilevel"/>
    <w:tmpl w:val="EDA8D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26A47"/>
    <w:multiLevelType w:val="hybridMultilevel"/>
    <w:tmpl w:val="DB6C6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2C024D"/>
    <w:multiLevelType w:val="multilevel"/>
    <w:tmpl w:val="FB020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E19BA"/>
    <w:multiLevelType w:val="hybridMultilevel"/>
    <w:tmpl w:val="65CCD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147D4C"/>
    <w:multiLevelType w:val="multilevel"/>
    <w:tmpl w:val="23C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F10079"/>
    <w:multiLevelType w:val="hybridMultilevel"/>
    <w:tmpl w:val="B8565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6BF4819"/>
    <w:multiLevelType w:val="hybridMultilevel"/>
    <w:tmpl w:val="C8E45E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E12445"/>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7" w15:restartNumberingAfterBreak="0">
    <w:nsid w:val="50D41B6C"/>
    <w:multiLevelType w:val="hybridMultilevel"/>
    <w:tmpl w:val="FB409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D84B5A"/>
    <w:multiLevelType w:val="multilevel"/>
    <w:tmpl w:val="1640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F3C8B"/>
    <w:multiLevelType w:val="multilevel"/>
    <w:tmpl w:val="B05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F01DFD"/>
    <w:multiLevelType w:val="hybridMultilevel"/>
    <w:tmpl w:val="BE16F85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8957CD"/>
    <w:multiLevelType w:val="hybridMultilevel"/>
    <w:tmpl w:val="661A908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0E217B"/>
    <w:multiLevelType w:val="multilevel"/>
    <w:tmpl w:val="78D8795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3" w15:restartNumberingAfterBreak="0">
    <w:nsid w:val="6A9F140C"/>
    <w:multiLevelType w:val="hybridMultilevel"/>
    <w:tmpl w:val="51F0C2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8D4E38"/>
    <w:multiLevelType w:val="hybridMultilevel"/>
    <w:tmpl w:val="AAFAD4D6"/>
    <w:lvl w:ilvl="0" w:tplc="5BD8019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C67F9F"/>
    <w:multiLevelType w:val="hybridMultilevel"/>
    <w:tmpl w:val="B5E6A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B37A93"/>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7" w15:restartNumberingAfterBreak="0">
    <w:nsid w:val="737D4E0E"/>
    <w:multiLevelType w:val="hybridMultilevel"/>
    <w:tmpl w:val="69D0C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3A5C6E"/>
    <w:multiLevelType w:val="multilevel"/>
    <w:tmpl w:val="539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326110"/>
    <w:multiLevelType w:val="hybridMultilevel"/>
    <w:tmpl w:val="EDE8986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70483F"/>
    <w:multiLevelType w:val="multilevel"/>
    <w:tmpl w:val="AA4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764947">
    <w:abstractNumId w:val="28"/>
  </w:num>
  <w:num w:numId="2" w16cid:durableId="2116052994">
    <w:abstractNumId w:val="7"/>
  </w:num>
  <w:num w:numId="3" w16cid:durableId="1501388122">
    <w:abstractNumId w:val="38"/>
  </w:num>
  <w:num w:numId="4" w16cid:durableId="1529297757">
    <w:abstractNumId w:val="1"/>
  </w:num>
  <w:num w:numId="5" w16cid:durableId="853226198">
    <w:abstractNumId w:val="21"/>
  </w:num>
  <w:num w:numId="6" w16cid:durableId="686636507">
    <w:abstractNumId w:val="29"/>
  </w:num>
  <w:num w:numId="7" w16cid:durableId="132529492">
    <w:abstractNumId w:val="18"/>
  </w:num>
  <w:num w:numId="8" w16cid:durableId="412944262">
    <w:abstractNumId w:val="23"/>
  </w:num>
  <w:num w:numId="9" w16cid:durableId="74330537">
    <w:abstractNumId w:val="40"/>
  </w:num>
  <w:num w:numId="10" w16cid:durableId="321474156">
    <w:abstractNumId w:val="12"/>
  </w:num>
  <w:num w:numId="11" w16cid:durableId="987244200">
    <w:abstractNumId w:val="22"/>
  </w:num>
  <w:num w:numId="12" w16cid:durableId="676466614">
    <w:abstractNumId w:val="34"/>
  </w:num>
  <w:num w:numId="13" w16cid:durableId="1973361279">
    <w:abstractNumId w:val="20"/>
  </w:num>
  <w:num w:numId="14" w16cid:durableId="514998908">
    <w:abstractNumId w:val="6"/>
  </w:num>
  <w:num w:numId="15" w16cid:durableId="1341663660">
    <w:abstractNumId w:val="8"/>
  </w:num>
  <w:num w:numId="16" w16cid:durableId="1906866351">
    <w:abstractNumId w:val="37"/>
  </w:num>
  <w:num w:numId="17" w16cid:durableId="686634183">
    <w:abstractNumId w:val="26"/>
  </w:num>
  <w:num w:numId="18" w16cid:durableId="507060529">
    <w:abstractNumId w:val="36"/>
  </w:num>
  <w:num w:numId="19" w16cid:durableId="441540084">
    <w:abstractNumId w:val="14"/>
  </w:num>
  <w:num w:numId="20" w16cid:durableId="1979724310">
    <w:abstractNumId w:val="33"/>
  </w:num>
  <w:num w:numId="21" w16cid:durableId="1330405047">
    <w:abstractNumId w:val="16"/>
  </w:num>
  <w:num w:numId="22" w16cid:durableId="865219288">
    <w:abstractNumId w:val="13"/>
  </w:num>
  <w:num w:numId="23" w16cid:durableId="1107308384">
    <w:abstractNumId w:val="4"/>
  </w:num>
  <w:num w:numId="24" w16cid:durableId="952784356">
    <w:abstractNumId w:val="25"/>
  </w:num>
  <w:num w:numId="25" w16cid:durableId="929895374">
    <w:abstractNumId w:val="4"/>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6" w16cid:durableId="1208225218">
    <w:abstractNumId w:val="5"/>
  </w:num>
  <w:num w:numId="27" w16cid:durableId="467285372">
    <w:abstractNumId w:val="11"/>
  </w:num>
  <w:num w:numId="28" w16cid:durableId="1866288950">
    <w:abstractNumId w:val="0"/>
  </w:num>
  <w:num w:numId="29" w16cid:durableId="678125131">
    <w:abstractNumId w:val="9"/>
  </w:num>
  <w:num w:numId="30" w16cid:durableId="834955616">
    <w:abstractNumId w:val="35"/>
  </w:num>
  <w:num w:numId="31" w16cid:durableId="1472819807">
    <w:abstractNumId w:val="2"/>
  </w:num>
  <w:num w:numId="32" w16cid:durableId="1800301888">
    <w:abstractNumId w:val="10"/>
  </w:num>
  <w:num w:numId="33" w16cid:durableId="424956150">
    <w:abstractNumId w:val="19"/>
  </w:num>
  <w:num w:numId="34" w16cid:durableId="1138567264">
    <w:abstractNumId w:val="31"/>
  </w:num>
  <w:num w:numId="35" w16cid:durableId="89282158">
    <w:abstractNumId w:val="4"/>
  </w:num>
  <w:num w:numId="36" w16cid:durableId="1959333804">
    <w:abstractNumId w:val="39"/>
  </w:num>
  <w:num w:numId="37" w16cid:durableId="639847526">
    <w:abstractNumId w:val="4"/>
  </w:num>
  <w:num w:numId="38" w16cid:durableId="696388802">
    <w:abstractNumId w:val="30"/>
  </w:num>
  <w:num w:numId="39" w16cid:durableId="44724809">
    <w:abstractNumId w:val="4"/>
  </w:num>
  <w:num w:numId="40" w16cid:durableId="1047217256">
    <w:abstractNumId w:val="32"/>
  </w:num>
  <w:num w:numId="41" w16cid:durableId="1183204097">
    <w:abstractNumId w:val="3"/>
  </w:num>
  <w:num w:numId="42" w16cid:durableId="1303385547">
    <w:abstractNumId w:val="4"/>
  </w:num>
  <w:num w:numId="43" w16cid:durableId="1435051711">
    <w:abstractNumId w:val="4"/>
  </w:num>
  <w:num w:numId="44" w16cid:durableId="725297639">
    <w:abstractNumId w:val="17"/>
  </w:num>
  <w:num w:numId="45" w16cid:durableId="60444236">
    <w:abstractNumId w:val="4"/>
  </w:num>
  <w:num w:numId="46" w16cid:durableId="272057156">
    <w:abstractNumId w:val="27"/>
  </w:num>
  <w:num w:numId="47" w16cid:durableId="1792092880">
    <w:abstractNumId w:val="15"/>
  </w:num>
  <w:num w:numId="48" w16cid:durableId="15553909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readOnly" w:enforcement="1" w:cryptProviderType="rsaAES" w:cryptAlgorithmClass="hash" w:cryptAlgorithmType="typeAny" w:cryptAlgorithmSid="14" w:cryptSpinCount="100000" w:hash="iJRgOPf59XsXkY7RaSM6mKvNzjEeGZUX3VKl6H/qfwH8n8y4+981uvSxZlSlAp/aHypdIJSXiaBSqX3uZElpzA==" w:salt="tRb+Qdhpi745hjh1H0D44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02"/>
    <w:rsid w:val="0000216B"/>
    <w:rsid w:val="0000262A"/>
    <w:rsid w:val="000034E1"/>
    <w:rsid w:val="00003D32"/>
    <w:rsid w:val="000043DC"/>
    <w:rsid w:val="00004A5C"/>
    <w:rsid w:val="00004BE7"/>
    <w:rsid w:val="00005504"/>
    <w:rsid w:val="00007532"/>
    <w:rsid w:val="000078C1"/>
    <w:rsid w:val="000100BD"/>
    <w:rsid w:val="000106FA"/>
    <w:rsid w:val="000107F4"/>
    <w:rsid w:val="0001102C"/>
    <w:rsid w:val="00011032"/>
    <w:rsid w:val="0001109B"/>
    <w:rsid w:val="00011AC8"/>
    <w:rsid w:val="000120F6"/>
    <w:rsid w:val="000125C6"/>
    <w:rsid w:val="00014E20"/>
    <w:rsid w:val="00015144"/>
    <w:rsid w:val="0001553C"/>
    <w:rsid w:val="00015D59"/>
    <w:rsid w:val="00020048"/>
    <w:rsid w:val="000217A3"/>
    <w:rsid w:val="00021946"/>
    <w:rsid w:val="000222B8"/>
    <w:rsid w:val="000230F2"/>
    <w:rsid w:val="0002376F"/>
    <w:rsid w:val="000245A2"/>
    <w:rsid w:val="000245C9"/>
    <w:rsid w:val="0002494B"/>
    <w:rsid w:val="00024AE5"/>
    <w:rsid w:val="00026278"/>
    <w:rsid w:val="00026491"/>
    <w:rsid w:val="00030C04"/>
    <w:rsid w:val="000327FE"/>
    <w:rsid w:val="0003453A"/>
    <w:rsid w:val="0003456C"/>
    <w:rsid w:val="000346C9"/>
    <w:rsid w:val="000346F2"/>
    <w:rsid w:val="00034F3F"/>
    <w:rsid w:val="00035228"/>
    <w:rsid w:val="00035BE5"/>
    <w:rsid w:val="000367BB"/>
    <w:rsid w:val="00036C17"/>
    <w:rsid w:val="00037A84"/>
    <w:rsid w:val="00041060"/>
    <w:rsid w:val="00041A9D"/>
    <w:rsid w:val="00041DD6"/>
    <w:rsid w:val="000421C8"/>
    <w:rsid w:val="0004490B"/>
    <w:rsid w:val="00044CD6"/>
    <w:rsid w:val="000455C6"/>
    <w:rsid w:val="00047953"/>
    <w:rsid w:val="000512A8"/>
    <w:rsid w:val="00051C36"/>
    <w:rsid w:val="00052D4F"/>
    <w:rsid w:val="0005487F"/>
    <w:rsid w:val="00055F59"/>
    <w:rsid w:val="00061147"/>
    <w:rsid w:val="00063538"/>
    <w:rsid w:val="00063C44"/>
    <w:rsid w:val="00063FFF"/>
    <w:rsid w:val="00064612"/>
    <w:rsid w:val="0006590D"/>
    <w:rsid w:val="00065E4B"/>
    <w:rsid w:val="00067142"/>
    <w:rsid w:val="00067318"/>
    <w:rsid w:val="000738B9"/>
    <w:rsid w:val="000745AE"/>
    <w:rsid w:val="00075151"/>
    <w:rsid w:val="0007674E"/>
    <w:rsid w:val="000800ED"/>
    <w:rsid w:val="0008080E"/>
    <w:rsid w:val="00080840"/>
    <w:rsid w:val="000818BD"/>
    <w:rsid w:val="000819C4"/>
    <w:rsid w:val="00081A5C"/>
    <w:rsid w:val="000825BF"/>
    <w:rsid w:val="0008302C"/>
    <w:rsid w:val="000845B7"/>
    <w:rsid w:val="000846BD"/>
    <w:rsid w:val="000847CB"/>
    <w:rsid w:val="00084A88"/>
    <w:rsid w:val="00084E93"/>
    <w:rsid w:val="0008535F"/>
    <w:rsid w:val="00085DA8"/>
    <w:rsid w:val="00086474"/>
    <w:rsid w:val="000871B4"/>
    <w:rsid w:val="0009023F"/>
    <w:rsid w:val="000915C5"/>
    <w:rsid w:val="00092B2C"/>
    <w:rsid w:val="00093965"/>
    <w:rsid w:val="0009518F"/>
    <w:rsid w:val="000951A0"/>
    <w:rsid w:val="000951C9"/>
    <w:rsid w:val="00097007"/>
    <w:rsid w:val="00097D5E"/>
    <w:rsid w:val="000A054C"/>
    <w:rsid w:val="000A092D"/>
    <w:rsid w:val="000A2F16"/>
    <w:rsid w:val="000A4050"/>
    <w:rsid w:val="000A65A7"/>
    <w:rsid w:val="000A6992"/>
    <w:rsid w:val="000B04CC"/>
    <w:rsid w:val="000B0E58"/>
    <w:rsid w:val="000B4D8A"/>
    <w:rsid w:val="000B5322"/>
    <w:rsid w:val="000B54BC"/>
    <w:rsid w:val="000B5E97"/>
    <w:rsid w:val="000B5F5C"/>
    <w:rsid w:val="000B7F86"/>
    <w:rsid w:val="000C000B"/>
    <w:rsid w:val="000C0158"/>
    <w:rsid w:val="000C03DD"/>
    <w:rsid w:val="000C0AB2"/>
    <w:rsid w:val="000C12D9"/>
    <w:rsid w:val="000C13C7"/>
    <w:rsid w:val="000C2756"/>
    <w:rsid w:val="000C2E37"/>
    <w:rsid w:val="000C31EB"/>
    <w:rsid w:val="000C400F"/>
    <w:rsid w:val="000C45F6"/>
    <w:rsid w:val="000C4935"/>
    <w:rsid w:val="000C7288"/>
    <w:rsid w:val="000D2A49"/>
    <w:rsid w:val="000D43D0"/>
    <w:rsid w:val="000D4725"/>
    <w:rsid w:val="000D677B"/>
    <w:rsid w:val="000D71AC"/>
    <w:rsid w:val="000D727E"/>
    <w:rsid w:val="000E01E2"/>
    <w:rsid w:val="000E09C3"/>
    <w:rsid w:val="000E1D94"/>
    <w:rsid w:val="000E2699"/>
    <w:rsid w:val="000E3A4E"/>
    <w:rsid w:val="000E579B"/>
    <w:rsid w:val="000E5945"/>
    <w:rsid w:val="000E6819"/>
    <w:rsid w:val="000E6D4A"/>
    <w:rsid w:val="000E7A4B"/>
    <w:rsid w:val="000F0E56"/>
    <w:rsid w:val="000F1435"/>
    <w:rsid w:val="000F146C"/>
    <w:rsid w:val="000F23E5"/>
    <w:rsid w:val="000F31ED"/>
    <w:rsid w:val="000F32BF"/>
    <w:rsid w:val="000F486C"/>
    <w:rsid w:val="000F6D71"/>
    <w:rsid w:val="000F74A3"/>
    <w:rsid w:val="00100523"/>
    <w:rsid w:val="00103AEE"/>
    <w:rsid w:val="00103FB0"/>
    <w:rsid w:val="00105406"/>
    <w:rsid w:val="001057A4"/>
    <w:rsid w:val="001066E4"/>
    <w:rsid w:val="001074CD"/>
    <w:rsid w:val="001075BD"/>
    <w:rsid w:val="001100C6"/>
    <w:rsid w:val="0011034C"/>
    <w:rsid w:val="00111339"/>
    <w:rsid w:val="00113ACD"/>
    <w:rsid w:val="00113CA8"/>
    <w:rsid w:val="00115BA0"/>
    <w:rsid w:val="00115BF4"/>
    <w:rsid w:val="00116804"/>
    <w:rsid w:val="00117127"/>
    <w:rsid w:val="001175B3"/>
    <w:rsid w:val="00117B5D"/>
    <w:rsid w:val="00121024"/>
    <w:rsid w:val="00123C99"/>
    <w:rsid w:val="00123FD2"/>
    <w:rsid w:val="00124F9F"/>
    <w:rsid w:val="0012592B"/>
    <w:rsid w:val="00126FA4"/>
    <w:rsid w:val="00127715"/>
    <w:rsid w:val="00127777"/>
    <w:rsid w:val="0013008B"/>
    <w:rsid w:val="00130722"/>
    <w:rsid w:val="00130AA3"/>
    <w:rsid w:val="001312D6"/>
    <w:rsid w:val="0013225A"/>
    <w:rsid w:val="0013253A"/>
    <w:rsid w:val="0013329A"/>
    <w:rsid w:val="001343CB"/>
    <w:rsid w:val="00136AF6"/>
    <w:rsid w:val="00137897"/>
    <w:rsid w:val="001405A5"/>
    <w:rsid w:val="001435F7"/>
    <w:rsid w:val="00143F6B"/>
    <w:rsid w:val="00144248"/>
    <w:rsid w:val="00144545"/>
    <w:rsid w:val="00145994"/>
    <w:rsid w:val="00145D16"/>
    <w:rsid w:val="0014668C"/>
    <w:rsid w:val="001521C3"/>
    <w:rsid w:val="00152CA9"/>
    <w:rsid w:val="00153A68"/>
    <w:rsid w:val="00155C2D"/>
    <w:rsid w:val="00156176"/>
    <w:rsid w:val="00156A66"/>
    <w:rsid w:val="00156A6E"/>
    <w:rsid w:val="00157B2D"/>
    <w:rsid w:val="00160E75"/>
    <w:rsid w:val="00160F39"/>
    <w:rsid w:val="00162074"/>
    <w:rsid w:val="001625B3"/>
    <w:rsid w:val="001626CA"/>
    <w:rsid w:val="001627B9"/>
    <w:rsid w:val="001629AA"/>
    <w:rsid w:val="00162E71"/>
    <w:rsid w:val="0016369B"/>
    <w:rsid w:val="00163D9A"/>
    <w:rsid w:val="001645AA"/>
    <w:rsid w:val="00165B9A"/>
    <w:rsid w:val="00165C61"/>
    <w:rsid w:val="00165D44"/>
    <w:rsid w:val="00165F8F"/>
    <w:rsid w:val="00170DCC"/>
    <w:rsid w:val="001716EC"/>
    <w:rsid w:val="00172AC0"/>
    <w:rsid w:val="00172EA7"/>
    <w:rsid w:val="00174CCB"/>
    <w:rsid w:val="00176D36"/>
    <w:rsid w:val="00176E74"/>
    <w:rsid w:val="001806AF"/>
    <w:rsid w:val="00180952"/>
    <w:rsid w:val="00180E85"/>
    <w:rsid w:val="00182350"/>
    <w:rsid w:val="00182464"/>
    <w:rsid w:val="0018373E"/>
    <w:rsid w:val="001849EF"/>
    <w:rsid w:val="001854ED"/>
    <w:rsid w:val="00186645"/>
    <w:rsid w:val="00190DC9"/>
    <w:rsid w:val="001925B3"/>
    <w:rsid w:val="00194316"/>
    <w:rsid w:val="0019470B"/>
    <w:rsid w:val="001948CF"/>
    <w:rsid w:val="00194E9D"/>
    <w:rsid w:val="00196BF5"/>
    <w:rsid w:val="00196F64"/>
    <w:rsid w:val="00197E79"/>
    <w:rsid w:val="001A0498"/>
    <w:rsid w:val="001A0854"/>
    <w:rsid w:val="001A294F"/>
    <w:rsid w:val="001A2FCE"/>
    <w:rsid w:val="001A399B"/>
    <w:rsid w:val="001A7B77"/>
    <w:rsid w:val="001A7FE2"/>
    <w:rsid w:val="001B0FE1"/>
    <w:rsid w:val="001B199E"/>
    <w:rsid w:val="001B1FCD"/>
    <w:rsid w:val="001B3AF8"/>
    <w:rsid w:val="001B3D13"/>
    <w:rsid w:val="001B4BBD"/>
    <w:rsid w:val="001B513C"/>
    <w:rsid w:val="001B53FF"/>
    <w:rsid w:val="001B6142"/>
    <w:rsid w:val="001B76AB"/>
    <w:rsid w:val="001B78AE"/>
    <w:rsid w:val="001C01A3"/>
    <w:rsid w:val="001C0BDB"/>
    <w:rsid w:val="001C15DA"/>
    <w:rsid w:val="001C1BEE"/>
    <w:rsid w:val="001C2417"/>
    <w:rsid w:val="001C3448"/>
    <w:rsid w:val="001C36C2"/>
    <w:rsid w:val="001C39E1"/>
    <w:rsid w:val="001C4154"/>
    <w:rsid w:val="001C47E1"/>
    <w:rsid w:val="001C5006"/>
    <w:rsid w:val="001C5BB2"/>
    <w:rsid w:val="001C7E03"/>
    <w:rsid w:val="001C7E9A"/>
    <w:rsid w:val="001D0049"/>
    <w:rsid w:val="001D105C"/>
    <w:rsid w:val="001D2B4F"/>
    <w:rsid w:val="001D3150"/>
    <w:rsid w:val="001D3280"/>
    <w:rsid w:val="001D3EB8"/>
    <w:rsid w:val="001D3FB3"/>
    <w:rsid w:val="001D4C1E"/>
    <w:rsid w:val="001D4C3C"/>
    <w:rsid w:val="001D689E"/>
    <w:rsid w:val="001D6995"/>
    <w:rsid w:val="001D6C79"/>
    <w:rsid w:val="001D76F0"/>
    <w:rsid w:val="001E0D41"/>
    <w:rsid w:val="001E1941"/>
    <w:rsid w:val="001E228A"/>
    <w:rsid w:val="001E2DA5"/>
    <w:rsid w:val="001E3B21"/>
    <w:rsid w:val="001E3F87"/>
    <w:rsid w:val="001E40F0"/>
    <w:rsid w:val="001E4804"/>
    <w:rsid w:val="001E4C4B"/>
    <w:rsid w:val="001E4DAE"/>
    <w:rsid w:val="001E5C4D"/>
    <w:rsid w:val="001E6695"/>
    <w:rsid w:val="001E77EB"/>
    <w:rsid w:val="001F065D"/>
    <w:rsid w:val="001F2DD4"/>
    <w:rsid w:val="001F3018"/>
    <w:rsid w:val="001F5707"/>
    <w:rsid w:val="001F5E0E"/>
    <w:rsid w:val="001F77D3"/>
    <w:rsid w:val="002047F2"/>
    <w:rsid w:val="00204A41"/>
    <w:rsid w:val="002055C7"/>
    <w:rsid w:val="00205B05"/>
    <w:rsid w:val="00206415"/>
    <w:rsid w:val="00210D83"/>
    <w:rsid w:val="00211751"/>
    <w:rsid w:val="0021293B"/>
    <w:rsid w:val="00213A80"/>
    <w:rsid w:val="00215008"/>
    <w:rsid w:val="00215E62"/>
    <w:rsid w:val="00216B25"/>
    <w:rsid w:val="002171C4"/>
    <w:rsid w:val="00217F39"/>
    <w:rsid w:val="00220DFC"/>
    <w:rsid w:val="00220E01"/>
    <w:rsid w:val="00222B31"/>
    <w:rsid w:val="00224956"/>
    <w:rsid w:val="00226720"/>
    <w:rsid w:val="002278C7"/>
    <w:rsid w:val="00227BBA"/>
    <w:rsid w:val="0023034B"/>
    <w:rsid w:val="002309F2"/>
    <w:rsid w:val="0023147F"/>
    <w:rsid w:val="00232C1C"/>
    <w:rsid w:val="00234857"/>
    <w:rsid w:val="00234898"/>
    <w:rsid w:val="00235DBA"/>
    <w:rsid w:val="0023728B"/>
    <w:rsid w:val="00237775"/>
    <w:rsid w:val="00237A3C"/>
    <w:rsid w:val="002407EF"/>
    <w:rsid w:val="00241B6D"/>
    <w:rsid w:val="00243AF4"/>
    <w:rsid w:val="00245754"/>
    <w:rsid w:val="00246CCD"/>
    <w:rsid w:val="0025159E"/>
    <w:rsid w:val="00251AEF"/>
    <w:rsid w:val="00251FE4"/>
    <w:rsid w:val="00252470"/>
    <w:rsid w:val="00252710"/>
    <w:rsid w:val="00252730"/>
    <w:rsid w:val="00252C35"/>
    <w:rsid w:val="00252F00"/>
    <w:rsid w:val="002535B9"/>
    <w:rsid w:val="00254963"/>
    <w:rsid w:val="00254C4F"/>
    <w:rsid w:val="00255211"/>
    <w:rsid w:val="00255C02"/>
    <w:rsid w:val="00256269"/>
    <w:rsid w:val="00256D88"/>
    <w:rsid w:val="0026037C"/>
    <w:rsid w:val="00260E27"/>
    <w:rsid w:val="002610BA"/>
    <w:rsid w:val="00261753"/>
    <w:rsid w:val="00261E2A"/>
    <w:rsid w:val="00262114"/>
    <w:rsid w:val="00263F9C"/>
    <w:rsid w:val="00263FE4"/>
    <w:rsid w:val="0026500B"/>
    <w:rsid w:val="00265314"/>
    <w:rsid w:val="0026587A"/>
    <w:rsid w:val="00265E27"/>
    <w:rsid w:val="002664C3"/>
    <w:rsid w:val="002665FB"/>
    <w:rsid w:val="00267362"/>
    <w:rsid w:val="00267EEC"/>
    <w:rsid w:val="0027075C"/>
    <w:rsid w:val="00270E98"/>
    <w:rsid w:val="0027124B"/>
    <w:rsid w:val="002716B4"/>
    <w:rsid w:val="00273C73"/>
    <w:rsid w:val="00273CE9"/>
    <w:rsid w:val="00274E94"/>
    <w:rsid w:val="00275B6C"/>
    <w:rsid w:val="00276C58"/>
    <w:rsid w:val="00276F25"/>
    <w:rsid w:val="00277F7E"/>
    <w:rsid w:val="002806AC"/>
    <w:rsid w:val="002817D5"/>
    <w:rsid w:val="00281D9B"/>
    <w:rsid w:val="00282813"/>
    <w:rsid w:val="00283E3A"/>
    <w:rsid w:val="00284011"/>
    <w:rsid w:val="002843BB"/>
    <w:rsid w:val="00284D73"/>
    <w:rsid w:val="00285091"/>
    <w:rsid w:val="00285C4E"/>
    <w:rsid w:val="0029071F"/>
    <w:rsid w:val="0029091E"/>
    <w:rsid w:val="00290C8C"/>
    <w:rsid w:val="00290D05"/>
    <w:rsid w:val="002915D2"/>
    <w:rsid w:val="002922C2"/>
    <w:rsid w:val="0029277F"/>
    <w:rsid w:val="002939C8"/>
    <w:rsid w:val="00293E21"/>
    <w:rsid w:val="00293F63"/>
    <w:rsid w:val="0029406F"/>
    <w:rsid w:val="00294845"/>
    <w:rsid w:val="00294E09"/>
    <w:rsid w:val="00296686"/>
    <w:rsid w:val="002A0A6F"/>
    <w:rsid w:val="002A2277"/>
    <w:rsid w:val="002A3310"/>
    <w:rsid w:val="002A3F50"/>
    <w:rsid w:val="002A4A62"/>
    <w:rsid w:val="002A587B"/>
    <w:rsid w:val="002A5A80"/>
    <w:rsid w:val="002A6034"/>
    <w:rsid w:val="002A6CA3"/>
    <w:rsid w:val="002B3B32"/>
    <w:rsid w:val="002B5A8F"/>
    <w:rsid w:val="002B765B"/>
    <w:rsid w:val="002C02A5"/>
    <w:rsid w:val="002C26A8"/>
    <w:rsid w:val="002C26E9"/>
    <w:rsid w:val="002C43BB"/>
    <w:rsid w:val="002C4DD7"/>
    <w:rsid w:val="002C5AFC"/>
    <w:rsid w:val="002C6099"/>
    <w:rsid w:val="002D1A51"/>
    <w:rsid w:val="002D28A5"/>
    <w:rsid w:val="002D2A68"/>
    <w:rsid w:val="002D4872"/>
    <w:rsid w:val="002D58B9"/>
    <w:rsid w:val="002D5BD5"/>
    <w:rsid w:val="002D65ED"/>
    <w:rsid w:val="002D7B46"/>
    <w:rsid w:val="002E0F32"/>
    <w:rsid w:val="002E1F5F"/>
    <w:rsid w:val="002E21CE"/>
    <w:rsid w:val="002E23B1"/>
    <w:rsid w:val="002E39E6"/>
    <w:rsid w:val="002E43B8"/>
    <w:rsid w:val="002E717B"/>
    <w:rsid w:val="002F0FD5"/>
    <w:rsid w:val="002F1B74"/>
    <w:rsid w:val="002F2E69"/>
    <w:rsid w:val="002F2EF0"/>
    <w:rsid w:val="002F3A20"/>
    <w:rsid w:val="002F4DCB"/>
    <w:rsid w:val="002F54C1"/>
    <w:rsid w:val="002F6024"/>
    <w:rsid w:val="002F6C3D"/>
    <w:rsid w:val="002F6F1D"/>
    <w:rsid w:val="002F710D"/>
    <w:rsid w:val="00300AC7"/>
    <w:rsid w:val="003013A1"/>
    <w:rsid w:val="00301AEA"/>
    <w:rsid w:val="00303009"/>
    <w:rsid w:val="003031B5"/>
    <w:rsid w:val="00303A4C"/>
    <w:rsid w:val="00303BCC"/>
    <w:rsid w:val="00304408"/>
    <w:rsid w:val="00306DA8"/>
    <w:rsid w:val="00307FE7"/>
    <w:rsid w:val="00311B26"/>
    <w:rsid w:val="00312317"/>
    <w:rsid w:val="00314866"/>
    <w:rsid w:val="00314F51"/>
    <w:rsid w:val="0031502A"/>
    <w:rsid w:val="003153B4"/>
    <w:rsid w:val="0031540D"/>
    <w:rsid w:val="00315DA6"/>
    <w:rsid w:val="003177CC"/>
    <w:rsid w:val="00317E4F"/>
    <w:rsid w:val="00317FD3"/>
    <w:rsid w:val="0032014D"/>
    <w:rsid w:val="00320B79"/>
    <w:rsid w:val="00321CAB"/>
    <w:rsid w:val="00321FAC"/>
    <w:rsid w:val="00322249"/>
    <w:rsid w:val="003229AD"/>
    <w:rsid w:val="00326328"/>
    <w:rsid w:val="003264E2"/>
    <w:rsid w:val="0032656E"/>
    <w:rsid w:val="00326A07"/>
    <w:rsid w:val="00327366"/>
    <w:rsid w:val="00327405"/>
    <w:rsid w:val="003304AF"/>
    <w:rsid w:val="0033138F"/>
    <w:rsid w:val="00331A0D"/>
    <w:rsid w:val="00332F7B"/>
    <w:rsid w:val="00333A4F"/>
    <w:rsid w:val="00334072"/>
    <w:rsid w:val="0033526D"/>
    <w:rsid w:val="00336736"/>
    <w:rsid w:val="00336A70"/>
    <w:rsid w:val="003374DD"/>
    <w:rsid w:val="0033777D"/>
    <w:rsid w:val="00337A23"/>
    <w:rsid w:val="003404BF"/>
    <w:rsid w:val="003411E1"/>
    <w:rsid w:val="00342550"/>
    <w:rsid w:val="00342747"/>
    <w:rsid w:val="00342937"/>
    <w:rsid w:val="00342D33"/>
    <w:rsid w:val="003444AA"/>
    <w:rsid w:val="003448F4"/>
    <w:rsid w:val="00344F2F"/>
    <w:rsid w:val="00345283"/>
    <w:rsid w:val="00345597"/>
    <w:rsid w:val="00345685"/>
    <w:rsid w:val="00345A3C"/>
    <w:rsid w:val="00345A4E"/>
    <w:rsid w:val="00345DE0"/>
    <w:rsid w:val="0034665B"/>
    <w:rsid w:val="00347E31"/>
    <w:rsid w:val="00350AB3"/>
    <w:rsid w:val="00351730"/>
    <w:rsid w:val="00352569"/>
    <w:rsid w:val="0035356C"/>
    <w:rsid w:val="003539D1"/>
    <w:rsid w:val="0035459A"/>
    <w:rsid w:val="00357CA8"/>
    <w:rsid w:val="00360A0A"/>
    <w:rsid w:val="003611C8"/>
    <w:rsid w:val="00362B7B"/>
    <w:rsid w:val="00362FAE"/>
    <w:rsid w:val="00363659"/>
    <w:rsid w:val="003640B0"/>
    <w:rsid w:val="00365387"/>
    <w:rsid w:val="003661C7"/>
    <w:rsid w:val="003669BE"/>
    <w:rsid w:val="00367FAC"/>
    <w:rsid w:val="003735AD"/>
    <w:rsid w:val="00373B5D"/>
    <w:rsid w:val="00373DAD"/>
    <w:rsid w:val="00375C00"/>
    <w:rsid w:val="003764E0"/>
    <w:rsid w:val="00376C1D"/>
    <w:rsid w:val="0037CB3A"/>
    <w:rsid w:val="00381213"/>
    <w:rsid w:val="00381320"/>
    <w:rsid w:val="00381C7C"/>
    <w:rsid w:val="00381EBE"/>
    <w:rsid w:val="003827BF"/>
    <w:rsid w:val="00384184"/>
    <w:rsid w:val="003843F9"/>
    <w:rsid w:val="00385AA9"/>
    <w:rsid w:val="00385FA3"/>
    <w:rsid w:val="00385FEC"/>
    <w:rsid w:val="00386563"/>
    <w:rsid w:val="00387556"/>
    <w:rsid w:val="00390139"/>
    <w:rsid w:val="003920B5"/>
    <w:rsid w:val="0039447D"/>
    <w:rsid w:val="00394594"/>
    <w:rsid w:val="003946E7"/>
    <w:rsid w:val="00395057"/>
    <w:rsid w:val="0039533F"/>
    <w:rsid w:val="00396F35"/>
    <w:rsid w:val="00397197"/>
    <w:rsid w:val="003A0E95"/>
    <w:rsid w:val="003A15F3"/>
    <w:rsid w:val="003A1AD2"/>
    <w:rsid w:val="003A2143"/>
    <w:rsid w:val="003A2836"/>
    <w:rsid w:val="003A402F"/>
    <w:rsid w:val="003A4059"/>
    <w:rsid w:val="003A47D5"/>
    <w:rsid w:val="003A4BD3"/>
    <w:rsid w:val="003A5B86"/>
    <w:rsid w:val="003A64F6"/>
    <w:rsid w:val="003A7590"/>
    <w:rsid w:val="003A769D"/>
    <w:rsid w:val="003A7D39"/>
    <w:rsid w:val="003B16E5"/>
    <w:rsid w:val="003B21B5"/>
    <w:rsid w:val="003B2A21"/>
    <w:rsid w:val="003B30F8"/>
    <w:rsid w:val="003B3116"/>
    <w:rsid w:val="003B3554"/>
    <w:rsid w:val="003B5891"/>
    <w:rsid w:val="003B79A4"/>
    <w:rsid w:val="003C0002"/>
    <w:rsid w:val="003C1DEF"/>
    <w:rsid w:val="003C769B"/>
    <w:rsid w:val="003C77A6"/>
    <w:rsid w:val="003C7B0B"/>
    <w:rsid w:val="003D024F"/>
    <w:rsid w:val="003D031D"/>
    <w:rsid w:val="003D058C"/>
    <w:rsid w:val="003D1BF1"/>
    <w:rsid w:val="003D2DC5"/>
    <w:rsid w:val="003D2F40"/>
    <w:rsid w:val="003D3320"/>
    <w:rsid w:val="003D3614"/>
    <w:rsid w:val="003D3BEF"/>
    <w:rsid w:val="003D4442"/>
    <w:rsid w:val="003D48C9"/>
    <w:rsid w:val="003D48F2"/>
    <w:rsid w:val="003D5101"/>
    <w:rsid w:val="003D51C4"/>
    <w:rsid w:val="003D5C05"/>
    <w:rsid w:val="003D5D2C"/>
    <w:rsid w:val="003D6C8D"/>
    <w:rsid w:val="003D7905"/>
    <w:rsid w:val="003E03D1"/>
    <w:rsid w:val="003E137D"/>
    <w:rsid w:val="003E1881"/>
    <w:rsid w:val="003E1A76"/>
    <w:rsid w:val="003E420B"/>
    <w:rsid w:val="003E5419"/>
    <w:rsid w:val="003E604B"/>
    <w:rsid w:val="003E66FA"/>
    <w:rsid w:val="003E7943"/>
    <w:rsid w:val="003F0E5E"/>
    <w:rsid w:val="003F190A"/>
    <w:rsid w:val="003F243F"/>
    <w:rsid w:val="003F265A"/>
    <w:rsid w:val="003F3A35"/>
    <w:rsid w:val="003F44C3"/>
    <w:rsid w:val="003F4DD1"/>
    <w:rsid w:val="003F54D7"/>
    <w:rsid w:val="003F5D8B"/>
    <w:rsid w:val="003F6059"/>
    <w:rsid w:val="003F686F"/>
    <w:rsid w:val="00401BF6"/>
    <w:rsid w:val="00402CC1"/>
    <w:rsid w:val="00403CD4"/>
    <w:rsid w:val="00404D7A"/>
    <w:rsid w:val="00407FD7"/>
    <w:rsid w:val="00410136"/>
    <w:rsid w:val="00411265"/>
    <w:rsid w:val="00411892"/>
    <w:rsid w:val="0041255A"/>
    <w:rsid w:val="004133A9"/>
    <w:rsid w:val="0041492C"/>
    <w:rsid w:val="004152C2"/>
    <w:rsid w:val="004206DD"/>
    <w:rsid w:val="00421DC5"/>
    <w:rsid w:val="0042438F"/>
    <w:rsid w:val="00424E1D"/>
    <w:rsid w:val="00425394"/>
    <w:rsid w:val="00425C37"/>
    <w:rsid w:val="004261CE"/>
    <w:rsid w:val="00426A34"/>
    <w:rsid w:val="00432031"/>
    <w:rsid w:val="004338C5"/>
    <w:rsid w:val="00433924"/>
    <w:rsid w:val="00433F56"/>
    <w:rsid w:val="00434D50"/>
    <w:rsid w:val="00435313"/>
    <w:rsid w:val="0043576C"/>
    <w:rsid w:val="00435C0C"/>
    <w:rsid w:val="00435D60"/>
    <w:rsid w:val="004360F9"/>
    <w:rsid w:val="00437187"/>
    <w:rsid w:val="004376A3"/>
    <w:rsid w:val="00440E50"/>
    <w:rsid w:val="00441ACA"/>
    <w:rsid w:val="00441C10"/>
    <w:rsid w:val="004422AF"/>
    <w:rsid w:val="00445408"/>
    <w:rsid w:val="00445855"/>
    <w:rsid w:val="00445E20"/>
    <w:rsid w:val="00446EA0"/>
    <w:rsid w:val="0044701F"/>
    <w:rsid w:val="004475CA"/>
    <w:rsid w:val="00451AA8"/>
    <w:rsid w:val="00452932"/>
    <w:rsid w:val="00452F87"/>
    <w:rsid w:val="004531BA"/>
    <w:rsid w:val="004555B8"/>
    <w:rsid w:val="004558E4"/>
    <w:rsid w:val="00455FC5"/>
    <w:rsid w:val="0045763D"/>
    <w:rsid w:val="004578FC"/>
    <w:rsid w:val="004601CB"/>
    <w:rsid w:val="00460D25"/>
    <w:rsid w:val="00461750"/>
    <w:rsid w:val="00462415"/>
    <w:rsid w:val="004649C0"/>
    <w:rsid w:val="004655D2"/>
    <w:rsid w:val="00466B28"/>
    <w:rsid w:val="00467F97"/>
    <w:rsid w:val="00470423"/>
    <w:rsid w:val="00470A1F"/>
    <w:rsid w:val="0047101F"/>
    <w:rsid w:val="00471833"/>
    <w:rsid w:val="00471B87"/>
    <w:rsid w:val="00471DEF"/>
    <w:rsid w:val="00471F2B"/>
    <w:rsid w:val="00471F69"/>
    <w:rsid w:val="0047509B"/>
    <w:rsid w:val="004759AD"/>
    <w:rsid w:val="004768BE"/>
    <w:rsid w:val="004772B5"/>
    <w:rsid w:val="0048061B"/>
    <w:rsid w:val="00480C56"/>
    <w:rsid w:val="004819BD"/>
    <w:rsid w:val="00483135"/>
    <w:rsid w:val="004837FA"/>
    <w:rsid w:val="00483A98"/>
    <w:rsid w:val="004840A0"/>
    <w:rsid w:val="004845E6"/>
    <w:rsid w:val="00486952"/>
    <w:rsid w:val="00486A20"/>
    <w:rsid w:val="00491A96"/>
    <w:rsid w:val="00491E2F"/>
    <w:rsid w:val="00492113"/>
    <w:rsid w:val="004921C5"/>
    <w:rsid w:val="00492A8B"/>
    <w:rsid w:val="00492A8F"/>
    <w:rsid w:val="0049513D"/>
    <w:rsid w:val="004951DA"/>
    <w:rsid w:val="00496584"/>
    <w:rsid w:val="004A013D"/>
    <w:rsid w:val="004A27E6"/>
    <w:rsid w:val="004A2928"/>
    <w:rsid w:val="004A3412"/>
    <w:rsid w:val="004A4395"/>
    <w:rsid w:val="004A5086"/>
    <w:rsid w:val="004A5464"/>
    <w:rsid w:val="004A5D01"/>
    <w:rsid w:val="004A5E4D"/>
    <w:rsid w:val="004A61F8"/>
    <w:rsid w:val="004A6DC1"/>
    <w:rsid w:val="004A7106"/>
    <w:rsid w:val="004B0550"/>
    <w:rsid w:val="004B2F07"/>
    <w:rsid w:val="004B4D60"/>
    <w:rsid w:val="004B6B4D"/>
    <w:rsid w:val="004B77EE"/>
    <w:rsid w:val="004B7D8D"/>
    <w:rsid w:val="004B7E46"/>
    <w:rsid w:val="004C0230"/>
    <w:rsid w:val="004C034E"/>
    <w:rsid w:val="004C1468"/>
    <w:rsid w:val="004C28F4"/>
    <w:rsid w:val="004C47FE"/>
    <w:rsid w:val="004C4A36"/>
    <w:rsid w:val="004C57FD"/>
    <w:rsid w:val="004C5A1C"/>
    <w:rsid w:val="004C5BF7"/>
    <w:rsid w:val="004C5D5B"/>
    <w:rsid w:val="004C5E18"/>
    <w:rsid w:val="004C5E34"/>
    <w:rsid w:val="004C62CF"/>
    <w:rsid w:val="004C6978"/>
    <w:rsid w:val="004D03CA"/>
    <w:rsid w:val="004D0DF9"/>
    <w:rsid w:val="004D173A"/>
    <w:rsid w:val="004D186B"/>
    <w:rsid w:val="004D1F40"/>
    <w:rsid w:val="004D2333"/>
    <w:rsid w:val="004D38A7"/>
    <w:rsid w:val="004D3969"/>
    <w:rsid w:val="004D46CA"/>
    <w:rsid w:val="004D7AD6"/>
    <w:rsid w:val="004D7E72"/>
    <w:rsid w:val="004E0CBF"/>
    <w:rsid w:val="004E1A78"/>
    <w:rsid w:val="004E265F"/>
    <w:rsid w:val="004E2B42"/>
    <w:rsid w:val="004E3F9F"/>
    <w:rsid w:val="004E4DC4"/>
    <w:rsid w:val="004E5B36"/>
    <w:rsid w:val="004E5ED6"/>
    <w:rsid w:val="004E6DBA"/>
    <w:rsid w:val="004E7239"/>
    <w:rsid w:val="004F257F"/>
    <w:rsid w:val="004F3D54"/>
    <w:rsid w:val="004F70DF"/>
    <w:rsid w:val="00501B59"/>
    <w:rsid w:val="005037EC"/>
    <w:rsid w:val="005049F8"/>
    <w:rsid w:val="00506119"/>
    <w:rsid w:val="00507CF6"/>
    <w:rsid w:val="005109C3"/>
    <w:rsid w:val="00510F25"/>
    <w:rsid w:val="00510FDD"/>
    <w:rsid w:val="00511601"/>
    <w:rsid w:val="0051168E"/>
    <w:rsid w:val="005116A6"/>
    <w:rsid w:val="00512C11"/>
    <w:rsid w:val="0051358B"/>
    <w:rsid w:val="00515655"/>
    <w:rsid w:val="00517E2A"/>
    <w:rsid w:val="005208BB"/>
    <w:rsid w:val="0052105B"/>
    <w:rsid w:val="00521B36"/>
    <w:rsid w:val="005225B8"/>
    <w:rsid w:val="00522F21"/>
    <w:rsid w:val="005238B8"/>
    <w:rsid w:val="0052479A"/>
    <w:rsid w:val="00524C9E"/>
    <w:rsid w:val="005252A8"/>
    <w:rsid w:val="005266BC"/>
    <w:rsid w:val="005269A4"/>
    <w:rsid w:val="00526DAC"/>
    <w:rsid w:val="00530141"/>
    <w:rsid w:val="00531239"/>
    <w:rsid w:val="00531BBE"/>
    <w:rsid w:val="0053280A"/>
    <w:rsid w:val="00533BD1"/>
    <w:rsid w:val="00533F8B"/>
    <w:rsid w:val="005354B4"/>
    <w:rsid w:val="0053631E"/>
    <w:rsid w:val="00540361"/>
    <w:rsid w:val="00540609"/>
    <w:rsid w:val="0054084A"/>
    <w:rsid w:val="00540BBA"/>
    <w:rsid w:val="00540C67"/>
    <w:rsid w:val="0054122F"/>
    <w:rsid w:val="0054404B"/>
    <w:rsid w:val="005440AE"/>
    <w:rsid w:val="005444E0"/>
    <w:rsid w:val="00544F82"/>
    <w:rsid w:val="0054604D"/>
    <w:rsid w:val="00550282"/>
    <w:rsid w:val="005503EC"/>
    <w:rsid w:val="0055075C"/>
    <w:rsid w:val="005516F1"/>
    <w:rsid w:val="00552CE2"/>
    <w:rsid w:val="00554705"/>
    <w:rsid w:val="00555197"/>
    <w:rsid w:val="00555BE6"/>
    <w:rsid w:val="00555DFB"/>
    <w:rsid w:val="005574F8"/>
    <w:rsid w:val="00560369"/>
    <w:rsid w:val="0056197C"/>
    <w:rsid w:val="00563CF0"/>
    <w:rsid w:val="00566040"/>
    <w:rsid w:val="005663ED"/>
    <w:rsid w:val="00566985"/>
    <w:rsid w:val="005671DE"/>
    <w:rsid w:val="005676A7"/>
    <w:rsid w:val="00567915"/>
    <w:rsid w:val="00571076"/>
    <w:rsid w:val="0057111B"/>
    <w:rsid w:val="00571766"/>
    <w:rsid w:val="005756CC"/>
    <w:rsid w:val="005761FD"/>
    <w:rsid w:val="00576F54"/>
    <w:rsid w:val="00577F4E"/>
    <w:rsid w:val="00581E93"/>
    <w:rsid w:val="005821B7"/>
    <w:rsid w:val="0058269F"/>
    <w:rsid w:val="00582B98"/>
    <w:rsid w:val="00583B6F"/>
    <w:rsid w:val="0058420B"/>
    <w:rsid w:val="00584CF9"/>
    <w:rsid w:val="005857B6"/>
    <w:rsid w:val="00585E03"/>
    <w:rsid w:val="005869CC"/>
    <w:rsid w:val="00586CFB"/>
    <w:rsid w:val="00586E44"/>
    <w:rsid w:val="0058707E"/>
    <w:rsid w:val="0059011B"/>
    <w:rsid w:val="00590B9C"/>
    <w:rsid w:val="0059501B"/>
    <w:rsid w:val="00596D6F"/>
    <w:rsid w:val="0059776A"/>
    <w:rsid w:val="00597A24"/>
    <w:rsid w:val="00597D13"/>
    <w:rsid w:val="00597DC6"/>
    <w:rsid w:val="005A0E9C"/>
    <w:rsid w:val="005A601A"/>
    <w:rsid w:val="005B0C21"/>
    <w:rsid w:val="005B1512"/>
    <w:rsid w:val="005B15F0"/>
    <w:rsid w:val="005B39AB"/>
    <w:rsid w:val="005B4876"/>
    <w:rsid w:val="005B4F12"/>
    <w:rsid w:val="005B553F"/>
    <w:rsid w:val="005B586C"/>
    <w:rsid w:val="005B58A8"/>
    <w:rsid w:val="005B5C8E"/>
    <w:rsid w:val="005B6AC9"/>
    <w:rsid w:val="005B6BFA"/>
    <w:rsid w:val="005C009E"/>
    <w:rsid w:val="005C0929"/>
    <w:rsid w:val="005C0985"/>
    <w:rsid w:val="005C0D5F"/>
    <w:rsid w:val="005C269F"/>
    <w:rsid w:val="005C2CA5"/>
    <w:rsid w:val="005C2E0C"/>
    <w:rsid w:val="005C2FD2"/>
    <w:rsid w:val="005C35CD"/>
    <w:rsid w:val="005C3EE4"/>
    <w:rsid w:val="005C4EF1"/>
    <w:rsid w:val="005C5630"/>
    <w:rsid w:val="005C683D"/>
    <w:rsid w:val="005C6974"/>
    <w:rsid w:val="005C6A35"/>
    <w:rsid w:val="005C714F"/>
    <w:rsid w:val="005C78BB"/>
    <w:rsid w:val="005D10E6"/>
    <w:rsid w:val="005D157C"/>
    <w:rsid w:val="005D2912"/>
    <w:rsid w:val="005D49A9"/>
    <w:rsid w:val="005D5A46"/>
    <w:rsid w:val="005D5E8B"/>
    <w:rsid w:val="005D6D94"/>
    <w:rsid w:val="005D7387"/>
    <w:rsid w:val="005D7637"/>
    <w:rsid w:val="005D765B"/>
    <w:rsid w:val="005D7D8B"/>
    <w:rsid w:val="005E0659"/>
    <w:rsid w:val="005E15DF"/>
    <w:rsid w:val="005E1FAD"/>
    <w:rsid w:val="005E2E5D"/>
    <w:rsid w:val="005E393F"/>
    <w:rsid w:val="005E3C69"/>
    <w:rsid w:val="005E4551"/>
    <w:rsid w:val="005E721F"/>
    <w:rsid w:val="005E7BFA"/>
    <w:rsid w:val="005F0217"/>
    <w:rsid w:val="005F0E81"/>
    <w:rsid w:val="005F4BC8"/>
    <w:rsid w:val="005F6B78"/>
    <w:rsid w:val="005F79DB"/>
    <w:rsid w:val="00600347"/>
    <w:rsid w:val="00600E3A"/>
    <w:rsid w:val="006012F8"/>
    <w:rsid w:val="00602A71"/>
    <w:rsid w:val="00602BDA"/>
    <w:rsid w:val="00604357"/>
    <w:rsid w:val="00605119"/>
    <w:rsid w:val="00606344"/>
    <w:rsid w:val="00607032"/>
    <w:rsid w:val="00607A63"/>
    <w:rsid w:val="0061299D"/>
    <w:rsid w:val="006129E9"/>
    <w:rsid w:val="00613C93"/>
    <w:rsid w:val="00614D9C"/>
    <w:rsid w:val="00616D73"/>
    <w:rsid w:val="00616E64"/>
    <w:rsid w:val="00617798"/>
    <w:rsid w:val="0062110F"/>
    <w:rsid w:val="0062168C"/>
    <w:rsid w:val="00621964"/>
    <w:rsid w:val="00621EDD"/>
    <w:rsid w:val="00622757"/>
    <w:rsid w:val="0062394F"/>
    <w:rsid w:val="00624060"/>
    <w:rsid w:val="00624947"/>
    <w:rsid w:val="00625B0A"/>
    <w:rsid w:val="00630729"/>
    <w:rsid w:val="00630A60"/>
    <w:rsid w:val="00631250"/>
    <w:rsid w:val="00632633"/>
    <w:rsid w:val="0063280A"/>
    <w:rsid w:val="006333D3"/>
    <w:rsid w:val="006347B7"/>
    <w:rsid w:val="00634C97"/>
    <w:rsid w:val="00635FA8"/>
    <w:rsid w:val="006367E3"/>
    <w:rsid w:val="00636AB5"/>
    <w:rsid w:val="006374BC"/>
    <w:rsid w:val="00637A2D"/>
    <w:rsid w:val="00640875"/>
    <w:rsid w:val="0064088A"/>
    <w:rsid w:val="00641C18"/>
    <w:rsid w:val="00641D12"/>
    <w:rsid w:val="00642CB4"/>
    <w:rsid w:val="00643834"/>
    <w:rsid w:val="0064485E"/>
    <w:rsid w:val="00645855"/>
    <w:rsid w:val="00645E34"/>
    <w:rsid w:val="006504CD"/>
    <w:rsid w:val="006506DF"/>
    <w:rsid w:val="00650D32"/>
    <w:rsid w:val="0065397F"/>
    <w:rsid w:val="00653B34"/>
    <w:rsid w:val="006540A9"/>
    <w:rsid w:val="006541A0"/>
    <w:rsid w:val="00655213"/>
    <w:rsid w:val="00655438"/>
    <w:rsid w:val="00656D58"/>
    <w:rsid w:val="006577C8"/>
    <w:rsid w:val="00660106"/>
    <w:rsid w:val="00663048"/>
    <w:rsid w:val="00663797"/>
    <w:rsid w:val="00663AE8"/>
    <w:rsid w:val="00665203"/>
    <w:rsid w:val="00665D47"/>
    <w:rsid w:val="00665E7E"/>
    <w:rsid w:val="00667B5D"/>
    <w:rsid w:val="0067158E"/>
    <w:rsid w:val="006717A4"/>
    <w:rsid w:val="006717D5"/>
    <w:rsid w:val="00674AB3"/>
    <w:rsid w:val="0067532C"/>
    <w:rsid w:val="0067536B"/>
    <w:rsid w:val="00676630"/>
    <w:rsid w:val="00676721"/>
    <w:rsid w:val="00680727"/>
    <w:rsid w:val="00681520"/>
    <w:rsid w:val="00681F4A"/>
    <w:rsid w:val="00682EC6"/>
    <w:rsid w:val="00682EF5"/>
    <w:rsid w:val="00682F00"/>
    <w:rsid w:val="00683033"/>
    <w:rsid w:val="0068325B"/>
    <w:rsid w:val="0068338B"/>
    <w:rsid w:val="006846C6"/>
    <w:rsid w:val="00685771"/>
    <w:rsid w:val="00686DA7"/>
    <w:rsid w:val="00686EAD"/>
    <w:rsid w:val="00686F6A"/>
    <w:rsid w:val="00687BEB"/>
    <w:rsid w:val="00691B46"/>
    <w:rsid w:val="00692A15"/>
    <w:rsid w:val="006937D5"/>
    <w:rsid w:val="00697954"/>
    <w:rsid w:val="006A0E0D"/>
    <w:rsid w:val="006A25ED"/>
    <w:rsid w:val="006A2B85"/>
    <w:rsid w:val="006A451B"/>
    <w:rsid w:val="006A4CF7"/>
    <w:rsid w:val="006A5EEA"/>
    <w:rsid w:val="006A5FB7"/>
    <w:rsid w:val="006A74DB"/>
    <w:rsid w:val="006B30D1"/>
    <w:rsid w:val="006B3AB1"/>
    <w:rsid w:val="006B4183"/>
    <w:rsid w:val="006B41A9"/>
    <w:rsid w:val="006C0310"/>
    <w:rsid w:val="006C0697"/>
    <w:rsid w:val="006C1C37"/>
    <w:rsid w:val="006C2311"/>
    <w:rsid w:val="006C2D60"/>
    <w:rsid w:val="006C3AB2"/>
    <w:rsid w:val="006C512C"/>
    <w:rsid w:val="006C6391"/>
    <w:rsid w:val="006D038F"/>
    <w:rsid w:val="006D0A5D"/>
    <w:rsid w:val="006D17C5"/>
    <w:rsid w:val="006D22DB"/>
    <w:rsid w:val="006D2AC3"/>
    <w:rsid w:val="006D2ECD"/>
    <w:rsid w:val="006D2F44"/>
    <w:rsid w:val="006D3BEB"/>
    <w:rsid w:val="006D54D7"/>
    <w:rsid w:val="006D5DB6"/>
    <w:rsid w:val="006D6219"/>
    <w:rsid w:val="006D6B09"/>
    <w:rsid w:val="006D736D"/>
    <w:rsid w:val="006D741B"/>
    <w:rsid w:val="006E2072"/>
    <w:rsid w:val="006E3044"/>
    <w:rsid w:val="006E44CE"/>
    <w:rsid w:val="006E47BC"/>
    <w:rsid w:val="006E5117"/>
    <w:rsid w:val="006E58A4"/>
    <w:rsid w:val="006E645C"/>
    <w:rsid w:val="006F094D"/>
    <w:rsid w:val="006F10E2"/>
    <w:rsid w:val="006F1AB3"/>
    <w:rsid w:val="006F3420"/>
    <w:rsid w:val="006F3948"/>
    <w:rsid w:val="006F4777"/>
    <w:rsid w:val="006F4A19"/>
    <w:rsid w:val="006F4FBF"/>
    <w:rsid w:val="006F552E"/>
    <w:rsid w:val="006F768B"/>
    <w:rsid w:val="0070129D"/>
    <w:rsid w:val="007017A9"/>
    <w:rsid w:val="00701929"/>
    <w:rsid w:val="00702564"/>
    <w:rsid w:val="007026D4"/>
    <w:rsid w:val="00703355"/>
    <w:rsid w:val="007048BF"/>
    <w:rsid w:val="00704F94"/>
    <w:rsid w:val="00705908"/>
    <w:rsid w:val="00706178"/>
    <w:rsid w:val="00706FBD"/>
    <w:rsid w:val="00707208"/>
    <w:rsid w:val="00707983"/>
    <w:rsid w:val="00710056"/>
    <w:rsid w:val="0071099C"/>
    <w:rsid w:val="00710DBF"/>
    <w:rsid w:val="007117E2"/>
    <w:rsid w:val="00712190"/>
    <w:rsid w:val="00714336"/>
    <w:rsid w:val="00714398"/>
    <w:rsid w:val="00714B88"/>
    <w:rsid w:val="00716264"/>
    <w:rsid w:val="00716751"/>
    <w:rsid w:val="00717637"/>
    <w:rsid w:val="00717ACC"/>
    <w:rsid w:val="00717E00"/>
    <w:rsid w:val="00717E8A"/>
    <w:rsid w:val="007205B5"/>
    <w:rsid w:val="007222CB"/>
    <w:rsid w:val="00722866"/>
    <w:rsid w:val="007229F7"/>
    <w:rsid w:val="00722FFA"/>
    <w:rsid w:val="007247BB"/>
    <w:rsid w:val="00724CFB"/>
    <w:rsid w:val="00724DC7"/>
    <w:rsid w:val="00724EBA"/>
    <w:rsid w:val="0072528C"/>
    <w:rsid w:val="00725AB0"/>
    <w:rsid w:val="007262A9"/>
    <w:rsid w:val="00726F4E"/>
    <w:rsid w:val="00727304"/>
    <w:rsid w:val="00727E35"/>
    <w:rsid w:val="0073246A"/>
    <w:rsid w:val="00732C04"/>
    <w:rsid w:val="00732DB4"/>
    <w:rsid w:val="00732E7D"/>
    <w:rsid w:val="00733733"/>
    <w:rsid w:val="00733F5F"/>
    <w:rsid w:val="00735834"/>
    <w:rsid w:val="0073626A"/>
    <w:rsid w:val="00736CEF"/>
    <w:rsid w:val="007400E3"/>
    <w:rsid w:val="00741399"/>
    <w:rsid w:val="007430E9"/>
    <w:rsid w:val="0074392F"/>
    <w:rsid w:val="00746A56"/>
    <w:rsid w:val="00747C16"/>
    <w:rsid w:val="00751291"/>
    <w:rsid w:val="00751E64"/>
    <w:rsid w:val="0075254D"/>
    <w:rsid w:val="007532AA"/>
    <w:rsid w:val="00754B30"/>
    <w:rsid w:val="007561B8"/>
    <w:rsid w:val="00756CB6"/>
    <w:rsid w:val="007570B9"/>
    <w:rsid w:val="007574AF"/>
    <w:rsid w:val="007576EE"/>
    <w:rsid w:val="00757FF4"/>
    <w:rsid w:val="00760120"/>
    <w:rsid w:val="0076326B"/>
    <w:rsid w:val="0076431E"/>
    <w:rsid w:val="00765009"/>
    <w:rsid w:val="007650A3"/>
    <w:rsid w:val="00765253"/>
    <w:rsid w:val="00765E28"/>
    <w:rsid w:val="007703FD"/>
    <w:rsid w:val="0077053F"/>
    <w:rsid w:val="00770627"/>
    <w:rsid w:val="007712CD"/>
    <w:rsid w:val="00771984"/>
    <w:rsid w:val="00772730"/>
    <w:rsid w:val="00772C2E"/>
    <w:rsid w:val="00773876"/>
    <w:rsid w:val="00773BD3"/>
    <w:rsid w:val="00774716"/>
    <w:rsid w:val="007758F3"/>
    <w:rsid w:val="00776340"/>
    <w:rsid w:val="00776586"/>
    <w:rsid w:val="00780816"/>
    <w:rsid w:val="00780821"/>
    <w:rsid w:val="00780D95"/>
    <w:rsid w:val="00781386"/>
    <w:rsid w:val="0078152A"/>
    <w:rsid w:val="0078228F"/>
    <w:rsid w:val="007866FA"/>
    <w:rsid w:val="00786713"/>
    <w:rsid w:val="00786FF5"/>
    <w:rsid w:val="00787574"/>
    <w:rsid w:val="00795D8E"/>
    <w:rsid w:val="007978D4"/>
    <w:rsid w:val="007A090A"/>
    <w:rsid w:val="007A1637"/>
    <w:rsid w:val="007A1B7D"/>
    <w:rsid w:val="007A202C"/>
    <w:rsid w:val="007A4CBE"/>
    <w:rsid w:val="007A551D"/>
    <w:rsid w:val="007A6882"/>
    <w:rsid w:val="007A7491"/>
    <w:rsid w:val="007B0929"/>
    <w:rsid w:val="007B0A8B"/>
    <w:rsid w:val="007B1587"/>
    <w:rsid w:val="007B3DDC"/>
    <w:rsid w:val="007B4AC3"/>
    <w:rsid w:val="007B58CA"/>
    <w:rsid w:val="007B7302"/>
    <w:rsid w:val="007C0812"/>
    <w:rsid w:val="007C0C0E"/>
    <w:rsid w:val="007C30C0"/>
    <w:rsid w:val="007C30EB"/>
    <w:rsid w:val="007C4145"/>
    <w:rsid w:val="007C4567"/>
    <w:rsid w:val="007C69DA"/>
    <w:rsid w:val="007D067F"/>
    <w:rsid w:val="007D06BD"/>
    <w:rsid w:val="007D4A8F"/>
    <w:rsid w:val="007D765F"/>
    <w:rsid w:val="007E1800"/>
    <w:rsid w:val="007E274D"/>
    <w:rsid w:val="007E2AAC"/>
    <w:rsid w:val="007E37F9"/>
    <w:rsid w:val="007E3872"/>
    <w:rsid w:val="007E568F"/>
    <w:rsid w:val="007E68AA"/>
    <w:rsid w:val="007E6E9C"/>
    <w:rsid w:val="007E7482"/>
    <w:rsid w:val="007E7C64"/>
    <w:rsid w:val="007F04E5"/>
    <w:rsid w:val="007F233A"/>
    <w:rsid w:val="007F2360"/>
    <w:rsid w:val="007F266D"/>
    <w:rsid w:val="007F26D5"/>
    <w:rsid w:val="007F26F6"/>
    <w:rsid w:val="007F452D"/>
    <w:rsid w:val="007F6553"/>
    <w:rsid w:val="00801076"/>
    <w:rsid w:val="0080158E"/>
    <w:rsid w:val="00801651"/>
    <w:rsid w:val="00802DC4"/>
    <w:rsid w:val="00802E9D"/>
    <w:rsid w:val="0080379E"/>
    <w:rsid w:val="00803E36"/>
    <w:rsid w:val="00805061"/>
    <w:rsid w:val="008057EE"/>
    <w:rsid w:val="008074BD"/>
    <w:rsid w:val="00810C4D"/>
    <w:rsid w:val="0081105D"/>
    <w:rsid w:val="008111BB"/>
    <w:rsid w:val="008121ED"/>
    <w:rsid w:val="00813048"/>
    <w:rsid w:val="00813EBF"/>
    <w:rsid w:val="008147F1"/>
    <w:rsid w:val="008149DB"/>
    <w:rsid w:val="00815965"/>
    <w:rsid w:val="00815CED"/>
    <w:rsid w:val="00816416"/>
    <w:rsid w:val="00820885"/>
    <w:rsid w:val="00820D7B"/>
    <w:rsid w:val="00820EAE"/>
    <w:rsid w:val="008223DD"/>
    <w:rsid w:val="0082381F"/>
    <w:rsid w:val="008244BE"/>
    <w:rsid w:val="0082591B"/>
    <w:rsid w:val="00825AAF"/>
    <w:rsid w:val="00826D95"/>
    <w:rsid w:val="00827F24"/>
    <w:rsid w:val="00830619"/>
    <w:rsid w:val="008317BD"/>
    <w:rsid w:val="00831F5F"/>
    <w:rsid w:val="00832043"/>
    <w:rsid w:val="00832B64"/>
    <w:rsid w:val="00832F67"/>
    <w:rsid w:val="008333FB"/>
    <w:rsid w:val="00833E5A"/>
    <w:rsid w:val="0083441D"/>
    <w:rsid w:val="00840549"/>
    <w:rsid w:val="00841A2E"/>
    <w:rsid w:val="008426C5"/>
    <w:rsid w:val="0084281C"/>
    <w:rsid w:val="00842D33"/>
    <w:rsid w:val="00844533"/>
    <w:rsid w:val="00844B55"/>
    <w:rsid w:val="00845BE7"/>
    <w:rsid w:val="008466A2"/>
    <w:rsid w:val="0084681D"/>
    <w:rsid w:val="00847DBD"/>
    <w:rsid w:val="008505DB"/>
    <w:rsid w:val="008524E1"/>
    <w:rsid w:val="00852B24"/>
    <w:rsid w:val="008554DA"/>
    <w:rsid w:val="008555F6"/>
    <w:rsid w:val="00856919"/>
    <w:rsid w:val="00860362"/>
    <w:rsid w:val="00862EAF"/>
    <w:rsid w:val="00863084"/>
    <w:rsid w:val="008634ED"/>
    <w:rsid w:val="00863A76"/>
    <w:rsid w:val="00863AAE"/>
    <w:rsid w:val="00863FC9"/>
    <w:rsid w:val="00864A54"/>
    <w:rsid w:val="00866B37"/>
    <w:rsid w:val="008679E1"/>
    <w:rsid w:val="00870277"/>
    <w:rsid w:val="00870C11"/>
    <w:rsid w:val="008711A8"/>
    <w:rsid w:val="00871351"/>
    <w:rsid w:val="00871792"/>
    <w:rsid w:val="008742A0"/>
    <w:rsid w:val="008746E3"/>
    <w:rsid w:val="008747A6"/>
    <w:rsid w:val="0087545A"/>
    <w:rsid w:val="00875D45"/>
    <w:rsid w:val="008761C2"/>
    <w:rsid w:val="00880B07"/>
    <w:rsid w:val="00880EC7"/>
    <w:rsid w:val="008815DD"/>
    <w:rsid w:val="00881736"/>
    <w:rsid w:val="00882932"/>
    <w:rsid w:val="00882BF3"/>
    <w:rsid w:val="00883CF4"/>
    <w:rsid w:val="00884ABF"/>
    <w:rsid w:val="008861E9"/>
    <w:rsid w:val="00887F00"/>
    <w:rsid w:val="0089021C"/>
    <w:rsid w:val="008907E1"/>
    <w:rsid w:val="008917AA"/>
    <w:rsid w:val="00894111"/>
    <w:rsid w:val="00894182"/>
    <w:rsid w:val="00894265"/>
    <w:rsid w:val="00894AC1"/>
    <w:rsid w:val="00894BD4"/>
    <w:rsid w:val="00895AA1"/>
    <w:rsid w:val="0089746F"/>
    <w:rsid w:val="008979C4"/>
    <w:rsid w:val="00897DE8"/>
    <w:rsid w:val="008A0457"/>
    <w:rsid w:val="008A0E08"/>
    <w:rsid w:val="008A1F77"/>
    <w:rsid w:val="008A226C"/>
    <w:rsid w:val="008A2402"/>
    <w:rsid w:val="008A2B6F"/>
    <w:rsid w:val="008A2D4C"/>
    <w:rsid w:val="008A2FAB"/>
    <w:rsid w:val="008A3042"/>
    <w:rsid w:val="008A4CA7"/>
    <w:rsid w:val="008A4FDE"/>
    <w:rsid w:val="008A5484"/>
    <w:rsid w:val="008A6A0F"/>
    <w:rsid w:val="008B1180"/>
    <w:rsid w:val="008B1589"/>
    <w:rsid w:val="008B1D68"/>
    <w:rsid w:val="008B202C"/>
    <w:rsid w:val="008B25E9"/>
    <w:rsid w:val="008B2F3C"/>
    <w:rsid w:val="008B5709"/>
    <w:rsid w:val="008B68DF"/>
    <w:rsid w:val="008C09B1"/>
    <w:rsid w:val="008C0C76"/>
    <w:rsid w:val="008C165B"/>
    <w:rsid w:val="008C32A6"/>
    <w:rsid w:val="008C360A"/>
    <w:rsid w:val="008C3FC5"/>
    <w:rsid w:val="008C4A6D"/>
    <w:rsid w:val="008C4DE9"/>
    <w:rsid w:val="008C4F5D"/>
    <w:rsid w:val="008C59A5"/>
    <w:rsid w:val="008C5EDB"/>
    <w:rsid w:val="008C6DBE"/>
    <w:rsid w:val="008C75F0"/>
    <w:rsid w:val="008D01CC"/>
    <w:rsid w:val="008D0E4E"/>
    <w:rsid w:val="008D19EF"/>
    <w:rsid w:val="008D1D5B"/>
    <w:rsid w:val="008D20BE"/>
    <w:rsid w:val="008D337D"/>
    <w:rsid w:val="008D3880"/>
    <w:rsid w:val="008D44BB"/>
    <w:rsid w:val="008D4F64"/>
    <w:rsid w:val="008D59AF"/>
    <w:rsid w:val="008D63AA"/>
    <w:rsid w:val="008D6F33"/>
    <w:rsid w:val="008D7C14"/>
    <w:rsid w:val="008D7EDC"/>
    <w:rsid w:val="008D7F2E"/>
    <w:rsid w:val="008E026A"/>
    <w:rsid w:val="008E1F14"/>
    <w:rsid w:val="008E2342"/>
    <w:rsid w:val="008E238A"/>
    <w:rsid w:val="008E27D8"/>
    <w:rsid w:val="008E378B"/>
    <w:rsid w:val="008E4EFA"/>
    <w:rsid w:val="008E5B0B"/>
    <w:rsid w:val="008E5B5D"/>
    <w:rsid w:val="008E605E"/>
    <w:rsid w:val="008E770C"/>
    <w:rsid w:val="008F0588"/>
    <w:rsid w:val="008F19DB"/>
    <w:rsid w:val="008F1C9C"/>
    <w:rsid w:val="008F1F6F"/>
    <w:rsid w:val="008F283D"/>
    <w:rsid w:val="008F3E70"/>
    <w:rsid w:val="008F4735"/>
    <w:rsid w:val="008F50D4"/>
    <w:rsid w:val="008F51FA"/>
    <w:rsid w:val="008F5DDC"/>
    <w:rsid w:val="008F69BB"/>
    <w:rsid w:val="00903D1C"/>
    <w:rsid w:val="00903E19"/>
    <w:rsid w:val="009056C1"/>
    <w:rsid w:val="00905B8A"/>
    <w:rsid w:val="00906236"/>
    <w:rsid w:val="00906CA7"/>
    <w:rsid w:val="009108F9"/>
    <w:rsid w:val="00911F7B"/>
    <w:rsid w:val="00913A69"/>
    <w:rsid w:val="00914670"/>
    <w:rsid w:val="00914D36"/>
    <w:rsid w:val="00915DEA"/>
    <w:rsid w:val="0092029D"/>
    <w:rsid w:val="0092058D"/>
    <w:rsid w:val="0092089B"/>
    <w:rsid w:val="00921C20"/>
    <w:rsid w:val="00924D32"/>
    <w:rsid w:val="00924D38"/>
    <w:rsid w:val="009254A5"/>
    <w:rsid w:val="00926014"/>
    <w:rsid w:val="00926C88"/>
    <w:rsid w:val="00931549"/>
    <w:rsid w:val="0093159E"/>
    <w:rsid w:val="00931A85"/>
    <w:rsid w:val="00932469"/>
    <w:rsid w:val="00932806"/>
    <w:rsid w:val="00932B5C"/>
    <w:rsid w:val="00932C4A"/>
    <w:rsid w:val="009334C7"/>
    <w:rsid w:val="00934B34"/>
    <w:rsid w:val="0093506D"/>
    <w:rsid w:val="009355FC"/>
    <w:rsid w:val="00935B2E"/>
    <w:rsid w:val="00935C6E"/>
    <w:rsid w:val="00935CFD"/>
    <w:rsid w:val="00936002"/>
    <w:rsid w:val="0093605F"/>
    <w:rsid w:val="00936E88"/>
    <w:rsid w:val="009376AB"/>
    <w:rsid w:val="00937F58"/>
    <w:rsid w:val="009418BB"/>
    <w:rsid w:val="009436FB"/>
    <w:rsid w:val="00943D97"/>
    <w:rsid w:val="0094414D"/>
    <w:rsid w:val="00945A6B"/>
    <w:rsid w:val="00945EE8"/>
    <w:rsid w:val="00950027"/>
    <w:rsid w:val="009502A6"/>
    <w:rsid w:val="00952A0D"/>
    <w:rsid w:val="00952BAE"/>
    <w:rsid w:val="00952EDC"/>
    <w:rsid w:val="00953582"/>
    <w:rsid w:val="009536F4"/>
    <w:rsid w:val="00954578"/>
    <w:rsid w:val="00955272"/>
    <w:rsid w:val="009558D8"/>
    <w:rsid w:val="00955958"/>
    <w:rsid w:val="00955A99"/>
    <w:rsid w:val="00956EAC"/>
    <w:rsid w:val="009571B9"/>
    <w:rsid w:val="00957316"/>
    <w:rsid w:val="0096052D"/>
    <w:rsid w:val="00960708"/>
    <w:rsid w:val="009617A2"/>
    <w:rsid w:val="009620F3"/>
    <w:rsid w:val="00962C51"/>
    <w:rsid w:val="00963190"/>
    <w:rsid w:val="00963698"/>
    <w:rsid w:val="00965809"/>
    <w:rsid w:val="00966C24"/>
    <w:rsid w:val="00967A30"/>
    <w:rsid w:val="00967B51"/>
    <w:rsid w:val="00971221"/>
    <w:rsid w:val="00971DFE"/>
    <w:rsid w:val="009727B9"/>
    <w:rsid w:val="009731E9"/>
    <w:rsid w:val="0097338D"/>
    <w:rsid w:val="00973758"/>
    <w:rsid w:val="009740D6"/>
    <w:rsid w:val="00974753"/>
    <w:rsid w:val="009755D1"/>
    <w:rsid w:val="009767D8"/>
    <w:rsid w:val="0097779C"/>
    <w:rsid w:val="0098011D"/>
    <w:rsid w:val="00983341"/>
    <w:rsid w:val="00983A0B"/>
    <w:rsid w:val="00983C01"/>
    <w:rsid w:val="009842C1"/>
    <w:rsid w:val="00984F19"/>
    <w:rsid w:val="00985577"/>
    <w:rsid w:val="00985DF0"/>
    <w:rsid w:val="00986398"/>
    <w:rsid w:val="00990B62"/>
    <w:rsid w:val="00990FFC"/>
    <w:rsid w:val="009922C0"/>
    <w:rsid w:val="0099429A"/>
    <w:rsid w:val="00994EB1"/>
    <w:rsid w:val="0099561D"/>
    <w:rsid w:val="00995D0D"/>
    <w:rsid w:val="0099632E"/>
    <w:rsid w:val="00996BFB"/>
    <w:rsid w:val="00997780"/>
    <w:rsid w:val="009A076F"/>
    <w:rsid w:val="009A09DC"/>
    <w:rsid w:val="009A0C9B"/>
    <w:rsid w:val="009A0EE2"/>
    <w:rsid w:val="009A29B3"/>
    <w:rsid w:val="009A2D85"/>
    <w:rsid w:val="009A4472"/>
    <w:rsid w:val="009A5700"/>
    <w:rsid w:val="009A5FC6"/>
    <w:rsid w:val="009A696E"/>
    <w:rsid w:val="009A6AD2"/>
    <w:rsid w:val="009A6DF0"/>
    <w:rsid w:val="009B0F39"/>
    <w:rsid w:val="009B1A48"/>
    <w:rsid w:val="009B2FAC"/>
    <w:rsid w:val="009B3C3C"/>
    <w:rsid w:val="009B3DA2"/>
    <w:rsid w:val="009B3F1A"/>
    <w:rsid w:val="009B5E83"/>
    <w:rsid w:val="009B73C4"/>
    <w:rsid w:val="009C0BC4"/>
    <w:rsid w:val="009C1AB9"/>
    <w:rsid w:val="009C237A"/>
    <w:rsid w:val="009C2675"/>
    <w:rsid w:val="009C2F63"/>
    <w:rsid w:val="009C40E5"/>
    <w:rsid w:val="009C5293"/>
    <w:rsid w:val="009C5FF4"/>
    <w:rsid w:val="009C6CF7"/>
    <w:rsid w:val="009C7432"/>
    <w:rsid w:val="009C755B"/>
    <w:rsid w:val="009D0307"/>
    <w:rsid w:val="009D21B0"/>
    <w:rsid w:val="009D2E51"/>
    <w:rsid w:val="009D4B91"/>
    <w:rsid w:val="009D6AEF"/>
    <w:rsid w:val="009D6E6C"/>
    <w:rsid w:val="009D76CD"/>
    <w:rsid w:val="009E0855"/>
    <w:rsid w:val="009E0DF7"/>
    <w:rsid w:val="009E0FF7"/>
    <w:rsid w:val="009E1DDD"/>
    <w:rsid w:val="009E2552"/>
    <w:rsid w:val="009E2DE4"/>
    <w:rsid w:val="009E3459"/>
    <w:rsid w:val="009E3496"/>
    <w:rsid w:val="009E3EA4"/>
    <w:rsid w:val="009E4416"/>
    <w:rsid w:val="009E585E"/>
    <w:rsid w:val="009E5E56"/>
    <w:rsid w:val="009E65BB"/>
    <w:rsid w:val="009E6BAE"/>
    <w:rsid w:val="009E7BC9"/>
    <w:rsid w:val="009F00D5"/>
    <w:rsid w:val="009F277B"/>
    <w:rsid w:val="009F29F7"/>
    <w:rsid w:val="009F3A7F"/>
    <w:rsid w:val="009F5001"/>
    <w:rsid w:val="009F5C8F"/>
    <w:rsid w:val="009F6690"/>
    <w:rsid w:val="009F76E6"/>
    <w:rsid w:val="009F7B1D"/>
    <w:rsid w:val="009F7DDE"/>
    <w:rsid w:val="00A01872"/>
    <w:rsid w:val="00A024AA"/>
    <w:rsid w:val="00A02BB9"/>
    <w:rsid w:val="00A02D81"/>
    <w:rsid w:val="00A03F4A"/>
    <w:rsid w:val="00A0675A"/>
    <w:rsid w:val="00A07311"/>
    <w:rsid w:val="00A107E3"/>
    <w:rsid w:val="00A12D2B"/>
    <w:rsid w:val="00A13B7D"/>
    <w:rsid w:val="00A140B5"/>
    <w:rsid w:val="00A15E82"/>
    <w:rsid w:val="00A16028"/>
    <w:rsid w:val="00A16EC3"/>
    <w:rsid w:val="00A2135D"/>
    <w:rsid w:val="00A21610"/>
    <w:rsid w:val="00A2251C"/>
    <w:rsid w:val="00A22D33"/>
    <w:rsid w:val="00A26A86"/>
    <w:rsid w:val="00A277F5"/>
    <w:rsid w:val="00A27EBA"/>
    <w:rsid w:val="00A329A8"/>
    <w:rsid w:val="00A3311C"/>
    <w:rsid w:val="00A331D4"/>
    <w:rsid w:val="00A353CC"/>
    <w:rsid w:val="00A37EA0"/>
    <w:rsid w:val="00A41004"/>
    <w:rsid w:val="00A4169D"/>
    <w:rsid w:val="00A42866"/>
    <w:rsid w:val="00A42996"/>
    <w:rsid w:val="00A42DCE"/>
    <w:rsid w:val="00A43C6F"/>
    <w:rsid w:val="00A44F96"/>
    <w:rsid w:val="00A45504"/>
    <w:rsid w:val="00A45FC2"/>
    <w:rsid w:val="00A47A9D"/>
    <w:rsid w:val="00A47BE9"/>
    <w:rsid w:val="00A519CD"/>
    <w:rsid w:val="00A51DA9"/>
    <w:rsid w:val="00A52243"/>
    <w:rsid w:val="00A54482"/>
    <w:rsid w:val="00A549A7"/>
    <w:rsid w:val="00A5529F"/>
    <w:rsid w:val="00A558CE"/>
    <w:rsid w:val="00A561FA"/>
    <w:rsid w:val="00A576E6"/>
    <w:rsid w:val="00A57F37"/>
    <w:rsid w:val="00A60948"/>
    <w:rsid w:val="00A61591"/>
    <w:rsid w:val="00A620EC"/>
    <w:rsid w:val="00A6332D"/>
    <w:rsid w:val="00A65DAA"/>
    <w:rsid w:val="00A6633B"/>
    <w:rsid w:val="00A675C5"/>
    <w:rsid w:val="00A677C7"/>
    <w:rsid w:val="00A706D4"/>
    <w:rsid w:val="00A7083B"/>
    <w:rsid w:val="00A70ACE"/>
    <w:rsid w:val="00A71055"/>
    <w:rsid w:val="00A71F12"/>
    <w:rsid w:val="00A7275C"/>
    <w:rsid w:val="00A72BB5"/>
    <w:rsid w:val="00A72BCC"/>
    <w:rsid w:val="00A73377"/>
    <w:rsid w:val="00A7358C"/>
    <w:rsid w:val="00A73817"/>
    <w:rsid w:val="00A738E3"/>
    <w:rsid w:val="00A73F9A"/>
    <w:rsid w:val="00A74574"/>
    <w:rsid w:val="00A74CDB"/>
    <w:rsid w:val="00A75200"/>
    <w:rsid w:val="00A75DFC"/>
    <w:rsid w:val="00A76493"/>
    <w:rsid w:val="00A76D29"/>
    <w:rsid w:val="00A77762"/>
    <w:rsid w:val="00A7790F"/>
    <w:rsid w:val="00A77972"/>
    <w:rsid w:val="00A801E7"/>
    <w:rsid w:val="00A80840"/>
    <w:rsid w:val="00A81401"/>
    <w:rsid w:val="00A81A0D"/>
    <w:rsid w:val="00A8275C"/>
    <w:rsid w:val="00A8416C"/>
    <w:rsid w:val="00A85878"/>
    <w:rsid w:val="00A86495"/>
    <w:rsid w:val="00A878C7"/>
    <w:rsid w:val="00A90366"/>
    <w:rsid w:val="00A9118F"/>
    <w:rsid w:val="00A9167C"/>
    <w:rsid w:val="00A9174E"/>
    <w:rsid w:val="00A91D14"/>
    <w:rsid w:val="00A91D71"/>
    <w:rsid w:val="00A92397"/>
    <w:rsid w:val="00A935DE"/>
    <w:rsid w:val="00A93BF8"/>
    <w:rsid w:val="00A93C00"/>
    <w:rsid w:val="00A94489"/>
    <w:rsid w:val="00A954F3"/>
    <w:rsid w:val="00A95770"/>
    <w:rsid w:val="00A96038"/>
    <w:rsid w:val="00A96457"/>
    <w:rsid w:val="00A966CC"/>
    <w:rsid w:val="00A96A47"/>
    <w:rsid w:val="00A971AC"/>
    <w:rsid w:val="00AA0680"/>
    <w:rsid w:val="00AA1FE1"/>
    <w:rsid w:val="00AA2A88"/>
    <w:rsid w:val="00AA2F31"/>
    <w:rsid w:val="00AA3AAA"/>
    <w:rsid w:val="00AA41CC"/>
    <w:rsid w:val="00AA42F4"/>
    <w:rsid w:val="00AA5FA9"/>
    <w:rsid w:val="00AA6165"/>
    <w:rsid w:val="00AA6794"/>
    <w:rsid w:val="00AA67A0"/>
    <w:rsid w:val="00AA6FC8"/>
    <w:rsid w:val="00AA756C"/>
    <w:rsid w:val="00AA784C"/>
    <w:rsid w:val="00AA7ADA"/>
    <w:rsid w:val="00AB2056"/>
    <w:rsid w:val="00AB2A6C"/>
    <w:rsid w:val="00AB2AD5"/>
    <w:rsid w:val="00AB4F04"/>
    <w:rsid w:val="00AB52CB"/>
    <w:rsid w:val="00AB690B"/>
    <w:rsid w:val="00AB7F5C"/>
    <w:rsid w:val="00AC06EE"/>
    <w:rsid w:val="00AC0CBA"/>
    <w:rsid w:val="00AC110D"/>
    <w:rsid w:val="00AC3161"/>
    <w:rsid w:val="00AC37AF"/>
    <w:rsid w:val="00AC4277"/>
    <w:rsid w:val="00AC4CE9"/>
    <w:rsid w:val="00AC5A47"/>
    <w:rsid w:val="00AC6A0D"/>
    <w:rsid w:val="00AD20DC"/>
    <w:rsid w:val="00AD3383"/>
    <w:rsid w:val="00AD484D"/>
    <w:rsid w:val="00AD49A1"/>
    <w:rsid w:val="00AD5B11"/>
    <w:rsid w:val="00AD5E44"/>
    <w:rsid w:val="00AD60BE"/>
    <w:rsid w:val="00AD7DD2"/>
    <w:rsid w:val="00AE0F41"/>
    <w:rsid w:val="00AE1076"/>
    <w:rsid w:val="00AE2384"/>
    <w:rsid w:val="00AE240B"/>
    <w:rsid w:val="00AE3917"/>
    <w:rsid w:val="00AE46C4"/>
    <w:rsid w:val="00AE4817"/>
    <w:rsid w:val="00AE4CB8"/>
    <w:rsid w:val="00AE4DF1"/>
    <w:rsid w:val="00AE70D4"/>
    <w:rsid w:val="00AE75F1"/>
    <w:rsid w:val="00AE7665"/>
    <w:rsid w:val="00AF3640"/>
    <w:rsid w:val="00AF499F"/>
    <w:rsid w:val="00AF4F0D"/>
    <w:rsid w:val="00AF7702"/>
    <w:rsid w:val="00B0005F"/>
    <w:rsid w:val="00B006AB"/>
    <w:rsid w:val="00B00993"/>
    <w:rsid w:val="00B00CFC"/>
    <w:rsid w:val="00B0145E"/>
    <w:rsid w:val="00B04F9D"/>
    <w:rsid w:val="00B06330"/>
    <w:rsid w:val="00B06523"/>
    <w:rsid w:val="00B06E6D"/>
    <w:rsid w:val="00B06FEC"/>
    <w:rsid w:val="00B10555"/>
    <w:rsid w:val="00B10E22"/>
    <w:rsid w:val="00B11DBC"/>
    <w:rsid w:val="00B131C6"/>
    <w:rsid w:val="00B132F5"/>
    <w:rsid w:val="00B172FB"/>
    <w:rsid w:val="00B2097C"/>
    <w:rsid w:val="00B20A61"/>
    <w:rsid w:val="00B218C9"/>
    <w:rsid w:val="00B244DE"/>
    <w:rsid w:val="00B2468E"/>
    <w:rsid w:val="00B2553B"/>
    <w:rsid w:val="00B258F1"/>
    <w:rsid w:val="00B25908"/>
    <w:rsid w:val="00B26EB2"/>
    <w:rsid w:val="00B26F86"/>
    <w:rsid w:val="00B27052"/>
    <w:rsid w:val="00B271CA"/>
    <w:rsid w:val="00B275E7"/>
    <w:rsid w:val="00B310E9"/>
    <w:rsid w:val="00B31502"/>
    <w:rsid w:val="00B31815"/>
    <w:rsid w:val="00B32FAE"/>
    <w:rsid w:val="00B351BD"/>
    <w:rsid w:val="00B353C3"/>
    <w:rsid w:val="00B3543C"/>
    <w:rsid w:val="00B374CA"/>
    <w:rsid w:val="00B37B63"/>
    <w:rsid w:val="00B37F1B"/>
    <w:rsid w:val="00B4081F"/>
    <w:rsid w:val="00B414DC"/>
    <w:rsid w:val="00B41892"/>
    <w:rsid w:val="00B423C0"/>
    <w:rsid w:val="00B423F3"/>
    <w:rsid w:val="00B42AA9"/>
    <w:rsid w:val="00B42EC7"/>
    <w:rsid w:val="00B43294"/>
    <w:rsid w:val="00B43A01"/>
    <w:rsid w:val="00B43FB7"/>
    <w:rsid w:val="00B4466D"/>
    <w:rsid w:val="00B44956"/>
    <w:rsid w:val="00B46A85"/>
    <w:rsid w:val="00B47831"/>
    <w:rsid w:val="00B47880"/>
    <w:rsid w:val="00B47A76"/>
    <w:rsid w:val="00B47E67"/>
    <w:rsid w:val="00B528B8"/>
    <w:rsid w:val="00B5363A"/>
    <w:rsid w:val="00B540E5"/>
    <w:rsid w:val="00B5449A"/>
    <w:rsid w:val="00B548C9"/>
    <w:rsid w:val="00B5685F"/>
    <w:rsid w:val="00B56ED7"/>
    <w:rsid w:val="00B57524"/>
    <w:rsid w:val="00B60B3D"/>
    <w:rsid w:val="00B61E61"/>
    <w:rsid w:val="00B625B2"/>
    <w:rsid w:val="00B62C49"/>
    <w:rsid w:val="00B63FA9"/>
    <w:rsid w:val="00B643FB"/>
    <w:rsid w:val="00B64F5C"/>
    <w:rsid w:val="00B65F83"/>
    <w:rsid w:val="00B66B9F"/>
    <w:rsid w:val="00B7113D"/>
    <w:rsid w:val="00B73214"/>
    <w:rsid w:val="00B74B2F"/>
    <w:rsid w:val="00B75156"/>
    <w:rsid w:val="00B75E4D"/>
    <w:rsid w:val="00B76060"/>
    <w:rsid w:val="00B76C62"/>
    <w:rsid w:val="00B77862"/>
    <w:rsid w:val="00B82DFA"/>
    <w:rsid w:val="00B84C22"/>
    <w:rsid w:val="00B84CE2"/>
    <w:rsid w:val="00B84EAC"/>
    <w:rsid w:val="00B85766"/>
    <w:rsid w:val="00B85D2B"/>
    <w:rsid w:val="00B90118"/>
    <w:rsid w:val="00B905D2"/>
    <w:rsid w:val="00B90D9B"/>
    <w:rsid w:val="00B90F9E"/>
    <w:rsid w:val="00B910A0"/>
    <w:rsid w:val="00B914F1"/>
    <w:rsid w:val="00B91DF5"/>
    <w:rsid w:val="00B91EF3"/>
    <w:rsid w:val="00B91FAB"/>
    <w:rsid w:val="00B92051"/>
    <w:rsid w:val="00B92561"/>
    <w:rsid w:val="00B92F1B"/>
    <w:rsid w:val="00B948B8"/>
    <w:rsid w:val="00B95C5A"/>
    <w:rsid w:val="00B96FDF"/>
    <w:rsid w:val="00B9740B"/>
    <w:rsid w:val="00B9782D"/>
    <w:rsid w:val="00B9782F"/>
    <w:rsid w:val="00BA060B"/>
    <w:rsid w:val="00BA0DBE"/>
    <w:rsid w:val="00BA113A"/>
    <w:rsid w:val="00BA1747"/>
    <w:rsid w:val="00BA22F1"/>
    <w:rsid w:val="00BA3209"/>
    <w:rsid w:val="00BA399D"/>
    <w:rsid w:val="00BA4411"/>
    <w:rsid w:val="00BA60A6"/>
    <w:rsid w:val="00BA6839"/>
    <w:rsid w:val="00BA6DC1"/>
    <w:rsid w:val="00BB004B"/>
    <w:rsid w:val="00BB00CF"/>
    <w:rsid w:val="00BB1EF7"/>
    <w:rsid w:val="00BB260F"/>
    <w:rsid w:val="00BB2DB8"/>
    <w:rsid w:val="00BB320B"/>
    <w:rsid w:val="00BB43DD"/>
    <w:rsid w:val="00BB5DCD"/>
    <w:rsid w:val="00BB66FC"/>
    <w:rsid w:val="00BB68FE"/>
    <w:rsid w:val="00BB6A71"/>
    <w:rsid w:val="00BC2E28"/>
    <w:rsid w:val="00BC2E9A"/>
    <w:rsid w:val="00BC504D"/>
    <w:rsid w:val="00BC5055"/>
    <w:rsid w:val="00BC5559"/>
    <w:rsid w:val="00BC5C39"/>
    <w:rsid w:val="00BC5D82"/>
    <w:rsid w:val="00BC6827"/>
    <w:rsid w:val="00BC7248"/>
    <w:rsid w:val="00BC7B15"/>
    <w:rsid w:val="00BD0E2F"/>
    <w:rsid w:val="00BD19C0"/>
    <w:rsid w:val="00BD1CA8"/>
    <w:rsid w:val="00BD36DF"/>
    <w:rsid w:val="00BD4581"/>
    <w:rsid w:val="00BD4604"/>
    <w:rsid w:val="00BD4CD4"/>
    <w:rsid w:val="00BD521F"/>
    <w:rsid w:val="00BD5ABD"/>
    <w:rsid w:val="00BD6040"/>
    <w:rsid w:val="00BD6FA2"/>
    <w:rsid w:val="00BD785C"/>
    <w:rsid w:val="00BE12E4"/>
    <w:rsid w:val="00BE27FB"/>
    <w:rsid w:val="00BE28DF"/>
    <w:rsid w:val="00BE3992"/>
    <w:rsid w:val="00BE3A40"/>
    <w:rsid w:val="00BE3D51"/>
    <w:rsid w:val="00BE683D"/>
    <w:rsid w:val="00BE6E4A"/>
    <w:rsid w:val="00BE6F18"/>
    <w:rsid w:val="00BF0EC0"/>
    <w:rsid w:val="00BF20AF"/>
    <w:rsid w:val="00BF2AF3"/>
    <w:rsid w:val="00BF2D7F"/>
    <w:rsid w:val="00BF37FE"/>
    <w:rsid w:val="00BF38A3"/>
    <w:rsid w:val="00BF5EEA"/>
    <w:rsid w:val="00BF6FA7"/>
    <w:rsid w:val="00C00AA1"/>
    <w:rsid w:val="00C011B5"/>
    <w:rsid w:val="00C012B3"/>
    <w:rsid w:val="00C01890"/>
    <w:rsid w:val="00C01D0C"/>
    <w:rsid w:val="00C02030"/>
    <w:rsid w:val="00C028A6"/>
    <w:rsid w:val="00C02D06"/>
    <w:rsid w:val="00C02EE3"/>
    <w:rsid w:val="00C034F6"/>
    <w:rsid w:val="00C03BF7"/>
    <w:rsid w:val="00C04390"/>
    <w:rsid w:val="00C06673"/>
    <w:rsid w:val="00C11791"/>
    <w:rsid w:val="00C11BED"/>
    <w:rsid w:val="00C11CA8"/>
    <w:rsid w:val="00C11DDA"/>
    <w:rsid w:val="00C12618"/>
    <w:rsid w:val="00C12D15"/>
    <w:rsid w:val="00C13191"/>
    <w:rsid w:val="00C15548"/>
    <w:rsid w:val="00C15CAB"/>
    <w:rsid w:val="00C178D8"/>
    <w:rsid w:val="00C17E68"/>
    <w:rsid w:val="00C21829"/>
    <w:rsid w:val="00C22634"/>
    <w:rsid w:val="00C2461C"/>
    <w:rsid w:val="00C24E7F"/>
    <w:rsid w:val="00C24EF6"/>
    <w:rsid w:val="00C24F1B"/>
    <w:rsid w:val="00C26204"/>
    <w:rsid w:val="00C27D2E"/>
    <w:rsid w:val="00C27DEC"/>
    <w:rsid w:val="00C31DBB"/>
    <w:rsid w:val="00C32BB0"/>
    <w:rsid w:val="00C32D0C"/>
    <w:rsid w:val="00C350CD"/>
    <w:rsid w:val="00C35359"/>
    <w:rsid w:val="00C36587"/>
    <w:rsid w:val="00C377E6"/>
    <w:rsid w:val="00C40415"/>
    <w:rsid w:val="00C41846"/>
    <w:rsid w:val="00C41F82"/>
    <w:rsid w:val="00C42997"/>
    <w:rsid w:val="00C431BF"/>
    <w:rsid w:val="00C43631"/>
    <w:rsid w:val="00C4468D"/>
    <w:rsid w:val="00C466DC"/>
    <w:rsid w:val="00C47A41"/>
    <w:rsid w:val="00C514B7"/>
    <w:rsid w:val="00C516D6"/>
    <w:rsid w:val="00C5229C"/>
    <w:rsid w:val="00C52825"/>
    <w:rsid w:val="00C54B20"/>
    <w:rsid w:val="00C551CC"/>
    <w:rsid w:val="00C56712"/>
    <w:rsid w:val="00C56751"/>
    <w:rsid w:val="00C56E6F"/>
    <w:rsid w:val="00C5799B"/>
    <w:rsid w:val="00C6196F"/>
    <w:rsid w:val="00C61A2E"/>
    <w:rsid w:val="00C61CCB"/>
    <w:rsid w:val="00C6210E"/>
    <w:rsid w:val="00C626D0"/>
    <w:rsid w:val="00C6276F"/>
    <w:rsid w:val="00C62DF7"/>
    <w:rsid w:val="00C70346"/>
    <w:rsid w:val="00C714C1"/>
    <w:rsid w:val="00C71A20"/>
    <w:rsid w:val="00C71DCC"/>
    <w:rsid w:val="00C72867"/>
    <w:rsid w:val="00C73DE8"/>
    <w:rsid w:val="00C73EB6"/>
    <w:rsid w:val="00C73FB5"/>
    <w:rsid w:val="00C74A7E"/>
    <w:rsid w:val="00C74B65"/>
    <w:rsid w:val="00C75100"/>
    <w:rsid w:val="00C757A2"/>
    <w:rsid w:val="00C76772"/>
    <w:rsid w:val="00C7731F"/>
    <w:rsid w:val="00C774CB"/>
    <w:rsid w:val="00C77A24"/>
    <w:rsid w:val="00C81CD2"/>
    <w:rsid w:val="00C822EA"/>
    <w:rsid w:val="00C833BA"/>
    <w:rsid w:val="00C849F4"/>
    <w:rsid w:val="00C85F77"/>
    <w:rsid w:val="00C86176"/>
    <w:rsid w:val="00C863E0"/>
    <w:rsid w:val="00C87ED0"/>
    <w:rsid w:val="00C9016B"/>
    <w:rsid w:val="00C909F6"/>
    <w:rsid w:val="00C9175D"/>
    <w:rsid w:val="00C9301C"/>
    <w:rsid w:val="00C93C02"/>
    <w:rsid w:val="00C94050"/>
    <w:rsid w:val="00C94150"/>
    <w:rsid w:val="00C94A10"/>
    <w:rsid w:val="00C958B1"/>
    <w:rsid w:val="00C95968"/>
    <w:rsid w:val="00C95BDB"/>
    <w:rsid w:val="00C9674F"/>
    <w:rsid w:val="00C9753C"/>
    <w:rsid w:val="00CA01E1"/>
    <w:rsid w:val="00CA1E56"/>
    <w:rsid w:val="00CA2A9C"/>
    <w:rsid w:val="00CA2E34"/>
    <w:rsid w:val="00CA374B"/>
    <w:rsid w:val="00CA39D4"/>
    <w:rsid w:val="00CA4362"/>
    <w:rsid w:val="00CA4A21"/>
    <w:rsid w:val="00CA4D49"/>
    <w:rsid w:val="00CA571F"/>
    <w:rsid w:val="00CA6A5D"/>
    <w:rsid w:val="00CA74B0"/>
    <w:rsid w:val="00CA7A8E"/>
    <w:rsid w:val="00CB0884"/>
    <w:rsid w:val="00CB0B6F"/>
    <w:rsid w:val="00CB17C4"/>
    <w:rsid w:val="00CB18E8"/>
    <w:rsid w:val="00CB1A52"/>
    <w:rsid w:val="00CB1A86"/>
    <w:rsid w:val="00CB1EC2"/>
    <w:rsid w:val="00CB1F4A"/>
    <w:rsid w:val="00CB491C"/>
    <w:rsid w:val="00CB4F85"/>
    <w:rsid w:val="00CB5405"/>
    <w:rsid w:val="00CB5509"/>
    <w:rsid w:val="00CB563D"/>
    <w:rsid w:val="00CB6122"/>
    <w:rsid w:val="00CB6254"/>
    <w:rsid w:val="00CB6ECA"/>
    <w:rsid w:val="00CB76FA"/>
    <w:rsid w:val="00CB77A1"/>
    <w:rsid w:val="00CC0240"/>
    <w:rsid w:val="00CC11D9"/>
    <w:rsid w:val="00CC2EB8"/>
    <w:rsid w:val="00CC4EF5"/>
    <w:rsid w:val="00CC5165"/>
    <w:rsid w:val="00CC5C5B"/>
    <w:rsid w:val="00CC6E4A"/>
    <w:rsid w:val="00CC6E6F"/>
    <w:rsid w:val="00CC706B"/>
    <w:rsid w:val="00CD255B"/>
    <w:rsid w:val="00CD3AB3"/>
    <w:rsid w:val="00CD42E9"/>
    <w:rsid w:val="00CD650D"/>
    <w:rsid w:val="00CD67BE"/>
    <w:rsid w:val="00CD73F5"/>
    <w:rsid w:val="00CE1555"/>
    <w:rsid w:val="00CE2C1D"/>
    <w:rsid w:val="00CE3957"/>
    <w:rsid w:val="00CE406C"/>
    <w:rsid w:val="00CE46AA"/>
    <w:rsid w:val="00CE4903"/>
    <w:rsid w:val="00CE609C"/>
    <w:rsid w:val="00CE632B"/>
    <w:rsid w:val="00CE6762"/>
    <w:rsid w:val="00CE6FCA"/>
    <w:rsid w:val="00CF0C38"/>
    <w:rsid w:val="00CF4CB2"/>
    <w:rsid w:val="00CF4EDA"/>
    <w:rsid w:val="00CF69AF"/>
    <w:rsid w:val="00CF6AEF"/>
    <w:rsid w:val="00CF6DC3"/>
    <w:rsid w:val="00CF7650"/>
    <w:rsid w:val="00D00A4E"/>
    <w:rsid w:val="00D01223"/>
    <w:rsid w:val="00D015AD"/>
    <w:rsid w:val="00D02430"/>
    <w:rsid w:val="00D025F7"/>
    <w:rsid w:val="00D02781"/>
    <w:rsid w:val="00D02CA9"/>
    <w:rsid w:val="00D02D67"/>
    <w:rsid w:val="00D02E95"/>
    <w:rsid w:val="00D0433F"/>
    <w:rsid w:val="00D0548A"/>
    <w:rsid w:val="00D05E63"/>
    <w:rsid w:val="00D05FCF"/>
    <w:rsid w:val="00D072ED"/>
    <w:rsid w:val="00D10773"/>
    <w:rsid w:val="00D11371"/>
    <w:rsid w:val="00D115A0"/>
    <w:rsid w:val="00D11E16"/>
    <w:rsid w:val="00D11F04"/>
    <w:rsid w:val="00D11F99"/>
    <w:rsid w:val="00D12471"/>
    <w:rsid w:val="00D1319C"/>
    <w:rsid w:val="00D13B27"/>
    <w:rsid w:val="00D13ED9"/>
    <w:rsid w:val="00D17048"/>
    <w:rsid w:val="00D1723E"/>
    <w:rsid w:val="00D1758D"/>
    <w:rsid w:val="00D17A5C"/>
    <w:rsid w:val="00D17C90"/>
    <w:rsid w:val="00D17CB9"/>
    <w:rsid w:val="00D20AE9"/>
    <w:rsid w:val="00D229E1"/>
    <w:rsid w:val="00D23B7A"/>
    <w:rsid w:val="00D243D3"/>
    <w:rsid w:val="00D24579"/>
    <w:rsid w:val="00D306A4"/>
    <w:rsid w:val="00D312CD"/>
    <w:rsid w:val="00D3192F"/>
    <w:rsid w:val="00D32124"/>
    <w:rsid w:val="00D32778"/>
    <w:rsid w:val="00D3386C"/>
    <w:rsid w:val="00D3574A"/>
    <w:rsid w:val="00D35CD7"/>
    <w:rsid w:val="00D36895"/>
    <w:rsid w:val="00D36C9C"/>
    <w:rsid w:val="00D37050"/>
    <w:rsid w:val="00D37120"/>
    <w:rsid w:val="00D406B0"/>
    <w:rsid w:val="00D40A2B"/>
    <w:rsid w:val="00D414BA"/>
    <w:rsid w:val="00D442A9"/>
    <w:rsid w:val="00D4462B"/>
    <w:rsid w:val="00D45731"/>
    <w:rsid w:val="00D46056"/>
    <w:rsid w:val="00D464F1"/>
    <w:rsid w:val="00D469BE"/>
    <w:rsid w:val="00D52362"/>
    <w:rsid w:val="00D54E56"/>
    <w:rsid w:val="00D557F6"/>
    <w:rsid w:val="00D55D34"/>
    <w:rsid w:val="00D55F56"/>
    <w:rsid w:val="00D565C4"/>
    <w:rsid w:val="00D5667E"/>
    <w:rsid w:val="00D5723C"/>
    <w:rsid w:val="00D5799F"/>
    <w:rsid w:val="00D57FF4"/>
    <w:rsid w:val="00D60A3F"/>
    <w:rsid w:val="00D61036"/>
    <w:rsid w:val="00D616B8"/>
    <w:rsid w:val="00D61AFE"/>
    <w:rsid w:val="00D62756"/>
    <w:rsid w:val="00D62DFA"/>
    <w:rsid w:val="00D6387C"/>
    <w:rsid w:val="00D642E5"/>
    <w:rsid w:val="00D64661"/>
    <w:rsid w:val="00D64B0A"/>
    <w:rsid w:val="00D652E7"/>
    <w:rsid w:val="00D67033"/>
    <w:rsid w:val="00D67585"/>
    <w:rsid w:val="00D679BF"/>
    <w:rsid w:val="00D71C09"/>
    <w:rsid w:val="00D724A0"/>
    <w:rsid w:val="00D72B80"/>
    <w:rsid w:val="00D72F05"/>
    <w:rsid w:val="00D7301D"/>
    <w:rsid w:val="00D74FFB"/>
    <w:rsid w:val="00D7531C"/>
    <w:rsid w:val="00D75A87"/>
    <w:rsid w:val="00D76F1B"/>
    <w:rsid w:val="00D813F1"/>
    <w:rsid w:val="00D814B1"/>
    <w:rsid w:val="00D81A60"/>
    <w:rsid w:val="00D825F0"/>
    <w:rsid w:val="00D8302E"/>
    <w:rsid w:val="00D83158"/>
    <w:rsid w:val="00D838FA"/>
    <w:rsid w:val="00D8411F"/>
    <w:rsid w:val="00D84918"/>
    <w:rsid w:val="00D84D4E"/>
    <w:rsid w:val="00D84DF6"/>
    <w:rsid w:val="00D85D31"/>
    <w:rsid w:val="00D85E6B"/>
    <w:rsid w:val="00D860EF"/>
    <w:rsid w:val="00D8702A"/>
    <w:rsid w:val="00D90E0F"/>
    <w:rsid w:val="00D910A2"/>
    <w:rsid w:val="00D928B1"/>
    <w:rsid w:val="00D92C21"/>
    <w:rsid w:val="00D93522"/>
    <w:rsid w:val="00D96EB0"/>
    <w:rsid w:val="00D9719E"/>
    <w:rsid w:val="00D97A51"/>
    <w:rsid w:val="00D97DE3"/>
    <w:rsid w:val="00DA0F49"/>
    <w:rsid w:val="00DA16C0"/>
    <w:rsid w:val="00DA29F0"/>
    <w:rsid w:val="00DA302F"/>
    <w:rsid w:val="00DA3C77"/>
    <w:rsid w:val="00DA4600"/>
    <w:rsid w:val="00DA5B7B"/>
    <w:rsid w:val="00DA6187"/>
    <w:rsid w:val="00DA6C22"/>
    <w:rsid w:val="00DA6E8C"/>
    <w:rsid w:val="00DB1758"/>
    <w:rsid w:val="00DB252C"/>
    <w:rsid w:val="00DB2A0A"/>
    <w:rsid w:val="00DB2C37"/>
    <w:rsid w:val="00DB3799"/>
    <w:rsid w:val="00DB3E9D"/>
    <w:rsid w:val="00DB582E"/>
    <w:rsid w:val="00DB5FE1"/>
    <w:rsid w:val="00DB77EC"/>
    <w:rsid w:val="00DC1554"/>
    <w:rsid w:val="00DC2AC0"/>
    <w:rsid w:val="00DC2B8F"/>
    <w:rsid w:val="00DC3E11"/>
    <w:rsid w:val="00DC456F"/>
    <w:rsid w:val="00DC45EC"/>
    <w:rsid w:val="00DC4D79"/>
    <w:rsid w:val="00DC4D86"/>
    <w:rsid w:val="00DC6956"/>
    <w:rsid w:val="00DC716A"/>
    <w:rsid w:val="00DC7301"/>
    <w:rsid w:val="00DC7F34"/>
    <w:rsid w:val="00DD093F"/>
    <w:rsid w:val="00DD0C23"/>
    <w:rsid w:val="00DD1194"/>
    <w:rsid w:val="00DD1A1C"/>
    <w:rsid w:val="00DD21EC"/>
    <w:rsid w:val="00DD2A72"/>
    <w:rsid w:val="00DD2EBC"/>
    <w:rsid w:val="00DD2F77"/>
    <w:rsid w:val="00DD31CB"/>
    <w:rsid w:val="00DD32A5"/>
    <w:rsid w:val="00DD33DF"/>
    <w:rsid w:val="00DD3FAD"/>
    <w:rsid w:val="00DD5D4B"/>
    <w:rsid w:val="00DD65E3"/>
    <w:rsid w:val="00DD69B6"/>
    <w:rsid w:val="00DD6D61"/>
    <w:rsid w:val="00DD7644"/>
    <w:rsid w:val="00DE0240"/>
    <w:rsid w:val="00DE2043"/>
    <w:rsid w:val="00DE23D4"/>
    <w:rsid w:val="00DE260C"/>
    <w:rsid w:val="00DE53D1"/>
    <w:rsid w:val="00DE5BA2"/>
    <w:rsid w:val="00DE5EA8"/>
    <w:rsid w:val="00DE5F38"/>
    <w:rsid w:val="00DE673E"/>
    <w:rsid w:val="00DE6D0E"/>
    <w:rsid w:val="00DE78BC"/>
    <w:rsid w:val="00DF0C44"/>
    <w:rsid w:val="00DF13E6"/>
    <w:rsid w:val="00DF1998"/>
    <w:rsid w:val="00DF2EBE"/>
    <w:rsid w:val="00DF3384"/>
    <w:rsid w:val="00DF5542"/>
    <w:rsid w:val="00DF6604"/>
    <w:rsid w:val="00DF6D47"/>
    <w:rsid w:val="00DF6F47"/>
    <w:rsid w:val="00E006E5"/>
    <w:rsid w:val="00E026D1"/>
    <w:rsid w:val="00E03018"/>
    <w:rsid w:val="00E04641"/>
    <w:rsid w:val="00E04A98"/>
    <w:rsid w:val="00E04D41"/>
    <w:rsid w:val="00E0548F"/>
    <w:rsid w:val="00E060BB"/>
    <w:rsid w:val="00E0623D"/>
    <w:rsid w:val="00E06557"/>
    <w:rsid w:val="00E06F8C"/>
    <w:rsid w:val="00E12811"/>
    <w:rsid w:val="00E12E4A"/>
    <w:rsid w:val="00E13FCE"/>
    <w:rsid w:val="00E150FE"/>
    <w:rsid w:val="00E15124"/>
    <w:rsid w:val="00E15283"/>
    <w:rsid w:val="00E17378"/>
    <w:rsid w:val="00E227D1"/>
    <w:rsid w:val="00E248BA"/>
    <w:rsid w:val="00E259CA"/>
    <w:rsid w:val="00E25E1D"/>
    <w:rsid w:val="00E277BC"/>
    <w:rsid w:val="00E27839"/>
    <w:rsid w:val="00E30208"/>
    <w:rsid w:val="00E3064F"/>
    <w:rsid w:val="00E312FF"/>
    <w:rsid w:val="00E326DE"/>
    <w:rsid w:val="00E32716"/>
    <w:rsid w:val="00E33AD8"/>
    <w:rsid w:val="00E33FAE"/>
    <w:rsid w:val="00E3626F"/>
    <w:rsid w:val="00E371CC"/>
    <w:rsid w:val="00E37345"/>
    <w:rsid w:val="00E3735C"/>
    <w:rsid w:val="00E37387"/>
    <w:rsid w:val="00E37E68"/>
    <w:rsid w:val="00E37FCC"/>
    <w:rsid w:val="00E406F5"/>
    <w:rsid w:val="00E40711"/>
    <w:rsid w:val="00E407BE"/>
    <w:rsid w:val="00E408DA"/>
    <w:rsid w:val="00E40D84"/>
    <w:rsid w:val="00E41AA4"/>
    <w:rsid w:val="00E427D1"/>
    <w:rsid w:val="00E43072"/>
    <w:rsid w:val="00E43EC1"/>
    <w:rsid w:val="00E44FE8"/>
    <w:rsid w:val="00E454A2"/>
    <w:rsid w:val="00E468CF"/>
    <w:rsid w:val="00E47122"/>
    <w:rsid w:val="00E500C9"/>
    <w:rsid w:val="00E53133"/>
    <w:rsid w:val="00E53470"/>
    <w:rsid w:val="00E55A9D"/>
    <w:rsid w:val="00E56152"/>
    <w:rsid w:val="00E56456"/>
    <w:rsid w:val="00E606A6"/>
    <w:rsid w:val="00E61F12"/>
    <w:rsid w:val="00E6438D"/>
    <w:rsid w:val="00E64ACC"/>
    <w:rsid w:val="00E65180"/>
    <w:rsid w:val="00E65366"/>
    <w:rsid w:val="00E65450"/>
    <w:rsid w:val="00E67F9A"/>
    <w:rsid w:val="00E729BF"/>
    <w:rsid w:val="00E72FE2"/>
    <w:rsid w:val="00E73ECA"/>
    <w:rsid w:val="00E75375"/>
    <w:rsid w:val="00E7593D"/>
    <w:rsid w:val="00E76D9B"/>
    <w:rsid w:val="00E77159"/>
    <w:rsid w:val="00E77B77"/>
    <w:rsid w:val="00E80363"/>
    <w:rsid w:val="00E80CCC"/>
    <w:rsid w:val="00E811DB"/>
    <w:rsid w:val="00E8174B"/>
    <w:rsid w:val="00E861BD"/>
    <w:rsid w:val="00E87D5B"/>
    <w:rsid w:val="00E91B60"/>
    <w:rsid w:val="00E92422"/>
    <w:rsid w:val="00E94955"/>
    <w:rsid w:val="00E95861"/>
    <w:rsid w:val="00E95E51"/>
    <w:rsid w:val="00E9773F"/>
    <w:rsid w:val="00EA194B"/>
    <w:rsid w:val="00EA20AD"/>
    <w:rsid w:val="00EA282A"/>
    <w:rsid w:val="00EA29A6"/>
    <w:rsid w:val="00EA4710"/>
    <w:rsid w:val="00EA5145"/>
    <w:rsid w:val="00EA64EF"/>
    <w:rsid w:val="00EA6C82"/>
    <w:rsid w:val="00EA7B35"/>
    <w:rsid w:val="00EB2703"/>
    <w:rsid w:val="00EB411C"/>
    <w:rsid w:val="00EB5F8C"/>
    <w:rsid w:val="00EB62F0"/>
    <w:rsid w:val="00EB6CF2"/>
    <w:rsid w:val="00EB7E26"/>
    <w:rsid w:val="00EC1458"/>
    <w:rsid w:val="00EC16C6"/>
    <w:rsid w:val="00EC1F13"/>
    <w:rsid w:val="00EC3498"/>
    <w:rsid w:val="00EC539D"/>
    <w:rsid w:val="00EC59EE"/>
    <w:rsid w:val="00EC678A"/>
    <w:rsid w:val="00EC6FBA"/>
    <w:rsid w:val="00EC77D6"/>
    <w:rsid w:val="00EC7CB0"/>
    <w:rsid w:val="00EC7CB7"/>
    <w:rsid w:val="00ED16C0"/>
    <w:rsid w:val="00ED174A"/>
    <w:rsid w:val="00ED25FA"/>
    <w:rsid w:val="00ED5018"/>
    <w:rsid w:val="00ED5F13"/>
    <w:rsid w:val="00ED6359"/>
    <w:rsid w:val="00ED7845"/>
    <w:rsid w:val="00EE052F"/>
    <w:rsid w:val="00EE459B"/>
    <w:rsid w:val="00EE51C5"/>
    <w:rsid w:val="00EE5320"/>
    <w:rsid w:val="00EE5668"/>
    <w:rsid w:val="00EE5759"/>
    <w:rsid w:val="00EF0135"/>
    <w:rsid w:val="00EF0CC7"/>
    <w:rsid w:val="00EF10FF"/>
    <w:rsid w:val="00EF398E"/>
    <w:rsid w:val="00EF3B02"/>
    <w:rsid w:val="00EF3F0F"/>
    <w:rsid w:val="00EF42E7"/>
    <w:rsid w:val="00EF51AC"/>
    <w:rsid w:val="00EF5D33"/>
    <w:rsid w:val="00EF6527"/>
    <w:rsid w:val="00EF7436"/>
    <w:rsid w:val="00EF754E"/>
    <w:rsid w:val="00EF7851"/>
    <w:rsid w:val="00F00678"/>
    <w:rsid w:val="00F006A3"/>
    <w:rsid w:val="00F01558"/>
    <w:rsid w:val="00F03520"/>
    <w:rsid w:val="00F036D8"/>
    <w:rsid w:val="00F03F30"/>
    <w:rsid w:val="00F046EA"/>
    <w:rsid w:val="00F05477"/>
    <w:rsid w:val="00F05899"/>
    <w:rsid w:val="00F05E6B"/>
    <w:rsid w:val="00F062C3"/>
    <w:rsid w:val="00F06768"/>
    <w:rsid w:val="00F06BB7"/>
    <w:rsid w:val="00F079F9"/>
    <w:rsid w:val="00F07D23"/>
    <w:rsid w:val="00F11688"/>
    <w:rsid w:val="00F14CA6"/>
    <w:rsid w:val="00F162E8"/>
    <w:rsid w:val="00F165B2"/>
    <w:rsid w:val="00F17231"/>
    <w:rsid w:val="00F17FA4"/>
    <w:rsid w:val="00F201F9"/>
    <w:rsid w:val="00F209F5"/>
    <w:rsid w:val="00F21687"/>
    <w:rsid w:val="00F23E04"/>
    <w:rsid w:val="00F24C9A"/>
    <w:rsid w:val="00F2521D"/>
    <w:rsid w:val="00F279BF"/>
    <w:rsid w:val="00F31299"/>
    <w:rsid w:val="00F31C32"/>
    <w:rsid w:val="00F35181"/>
    <w:rsid w:val="00F357B5"/>
    <w:rsid w:val="00F36E50"/>
    <w:rsid w:val="00F40797"/>
    <w:rsid w:val="00F41CF1"/>
    <w:rsid w:val="00F44524"/>
    <w:rsid w:val="00F44991"/>
    <w:rsid w:val="00F44E63"/>
    <w:rsid w:val="00F46630"/>
    <w:rsid w:val="00F46A0A"/>
    <w:rsid w:val="00F46EAE"/>
    <w:rsid w:val="00F47D7E"/>
    <w:rsid w:val="00F50AA9"/>
    <w:rsid w:val="00F51425"/>
    <w:rsid w:val="00F51D11"/>
    <w:rsid w:val="00F53947"/>
    <w:rsid w:val="00F541C9"/>
    <w:rsid w:val="00F54B18"/>
    <w:rsid w:val="00F57DAC"/>
    <w:rsid w:val="00F613A9"/>
    <w:rsid w:val="00F61D86"/>
    <w:rsid w:val="00F61FAF"/>
    <w:rsid w:val="00F63C76"/>
    <w:rsid w:val="00F643B5"/>
    <w:rsid w:val="00F65DBD"/>
    <w:rsid w:val="00F673D0"/>
    <w:rsid w:val="00F67CC7"/>
    <w:rsid w:val="00F7001B"/>
    <w:rsid w:val="00F70392"/>
    <w:rsid w:val="00F711A8"/>
    <w:rsid w:val="00F71395"/>
    <w:rsid w:val="00F71ADE"/>
    <w:rsid w:val="00F72A9D"/>
    <w:rsid w:val="00F74501"/>
    <w:rsid w:val="00F74DAC"/>
    <w:rsid w:val="00F76751"/>
    <w:rsid w:val="00F7789B"/>
    <w:rsid w:val="00F80457"/>
    <w:rsid w:val="00F806D8"/>
    <w:rsid w:val="00F81F05"/>
    <w:rsid w:val="00F8250E"/>
    <w:rsid w:val="00F82768"/>
    <w:rsid w:val="00F82AA6"/>
    <w:rsid w:val="00F82E2D"/>
    <w:rsid w:val="00F84640"/>
    <w:rsid w:val="00F8491A"/>
    <w:rsid w:val="00F91D08"/>
    <w:rsid w:val="00F93C4C"/>
    <w:rsid w:val="00F941DB"/>
    <w:rsid w:val="00F9533C"/>
    <w:rsid w:val="00F95830"/>
    <w:rsid w:val="00F974A4"/>
    <w:rsid w:val="00F9781E"/>
    <w:rsid w:val="00FA0276"/>
    <w:rsid w:val="00FA0572"/>
    <w:rsid w:val="00FA3419"/>
    <w:rsid w:val="00FA3B40"/>
    <w:rsid w:val="00FA3C75"/>
    <w:rsid w:val="00FA3E2B"/>
    <w:rsid w:val="00FA414F"/>
    <w:rsid w:val="00FA4780"/>
    <w:rsid w:val="00FA4C84"/>
    <w:rsid w:val="00FA65FC"/>
    <w:rsid w:val="00FA6988"/>
    <w:rsid w:val="00FB1608"/>
    <w:rsid w:val="00FB1791"/>
    <w:rsid w:val="00FB2EC2"/>
    <w:rsid w:val="00FB36D0"/>
    <w:rsid w:val="00FB4025"/>
    <w:rsid w:val="00FB48F6"/>
    <w:rsid w:val="00FB4C3A"/>
    <w:rsid w:val="00FB5821"/>
    <w:rsid w:val="00FB5A7B"/>
    <w:rsid w:val="00FB5C1C"/>
    <w:rsid w:val="00FB6709"/>
    <w:rsid w:val="00FB779B"/>
    <w:rsid w:val="00FB7B98"/>
    <w:rsid w:val="00FB7D7B"/>
    <w:rsid w:val="00FB7E04"/>
    <w:rsid w:val="00FC10CB"/>
    <w:rsid w:val="00FC126E"/>
    <w:rsid w:val="00FC29AD"/>
    <w:rsid w:val="00FC2C6B"/>
    <w:rsid w:val="00FC3FAE"/>
    <w:rsid w:val="00FC419E"/>
    <w:rsid w:val="00FC6485"/>
    <w:rsid w:val="00FC6E48"/>
    <w:rsid w:val="00FC7FE3"/>
    <w:rsid w:val="00FD0894"/>
    <w:rsid w:val="00FD1911"/>
    <w:rsid w:val="00FD209C"/>
    <w:rsid w:val="00FD26B8"/>
    <w:rsid w:val="00FD26F6"/>
    <w:rsid w:val="00FD2F25"/>
    <w:rsid w:val="00FD3207"/>
    <w:rsid w:val="00FD4D37"/>
    <w:rsid w:val="00FD4E43"/>
    <w:rsid w:val="00FD5037"/>
    <w:rsid w:val="00FE1D98"/>
    <w:rsid w:val="00FE2A15"/>
    <w:rsid w:val="00FE3B81"/>
    <w:rsid w:val="00FE3E34"/>
    <w:rsid w:val="00FE44B9"/>
    <w:rsid w:val="00FE498D"/>
    <w:rsid w:val="00FE7175"/>
    <w:rsid w:val="00FF149D"/>
    <w:rsid w:val="00FF1CC3"/>
    <w:rsid w:val="00FF2C0F"/>
    <w:rsid w:val="00FF3811"/>
    <w:rsid w:val="00FF385C"/>
    <w:rsid w:val="00FF38AC"/>
    <w:rsid w:val="00FF44D4"/>
    <w:rsid w:val="00FF4FEC"/>
    <w:rsid w:val="00FF5083"/>
    <w:rsid w:val="00FF62A0"/>
    <w:rsid w:val="00FF63B2"/>
    <w:rsid w:val="00FF6645"/>
    <w:rsid w:val="00FF6731"/>
    <w:rsid w:val="00FF729D"/>
    <w:rsid w:val="01D39B9B"/>
    <w:rsid w:val="06319887"/>
    <w:rsid w:val="0F0E40F9"/>
    <w:rsid w:val="126E2093"/>
    <w:rsid w:val="1D42D7E2"/>
    <w:rsid w:val="21C6BDFC"/>
    <w:rsid w:val="25FB927C"/>
    <w:rsid w:val="27CD1733"/>
    <w:rsid w:val="27DDAB9D"/>
    <w:rsid w:val="2C894E41"/>
    <w:rsid w:val="2D7F54B1"/>
    <w:rsid w:val="325B62AA"/>
    <w:rsid w:val="334EDB2F"/>
    <w:rsid w:val="33DBC074"/>
    <w:rsid w:val="34163E82"/>
    <w:rsid w:val="34F53D0B"/>
    <w:rsid w:val="3569A8D8"/>
    <w:rsid w:val="36AA7725"/>
    <w:rsid w:val="37057939"/>
    <w:rsid w:val="400FC568"/>
    <w:rsid w:val="485DD97E"/>
    <w:rsid w:val="4B82DE4A"/>
    <w:rsid w:val="4E839C6D"/>
    <w:rsid w:val="54AF6C33"/>
    <w:rsid w:val="5F328B51"/>
    <w:rsid w:val="6842388A"/>
    <w:rsid w:val="73E61BFA"/>
    <w:rsid w:val="7725F5A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F8915"/>
  <w15:chartTrackingRefBased/>
  <w15:docId w15:val="{2CE95D14-623E-4C32-9004-513EDD55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7D5"/>
    <w:rPr>
      <w:rFonts w:ascii="Arial" w:hAnsi="Arial"/>
      <w:sz w:val="24"/>
    </w:rPr>
  </w:style>
  <w:style w:type="paragraph" w:styleId="Heading1">
    <w:name w:val="heading 1"/>
    <w:basedOn w:val="Normal"/>
    <w:link w:val="Heading1Char"/>
    <w:uiPriority w:val="9"/>
    <w:qFormat/>
    <w:rsid w:val="006937D5"/>
    <w:pPr>
      <w:spacing w:before="100" w:beforeAutospacing="1" w:after="100" w:afterAutospacing="1" w:line="240" w:lineRule="auto"/>
      <w:outlineLvl w:val="0"/>
    </w:pPr>
    <w:rPr>
      <w:rFonts w:eastAsia="Times New Roman" w:cs="Times New Roman"/>
      <w:bCs/>
      <w:color w:val="347B9F"/>
      <w:kern w:val="36"/>
      <w:sz w:val="48"/>
      <w:szCs w:val="48"/>
      <w:lang w:eastAsia="en-AU"/>
    </w:rPr>
  </w:style>
  <w:style w:type="paragraph" w:styleId="Heading2">
    <w:name w:val="heading 2"/>
    <w:basedOn w:val="Normal"/>
    <w:link w:val="Heading2Char"/>
    <w:uiPriority w:val="9"/>
    <w:qFormat/>
    <w:rsid w:val="007E7C64"/>
    <w:pPr>
      <w:spacing w:before="100" w:beforeAutospacing="1" w:after="100" w:afterAutospacing="1" w:line="240" w:lineRule="auto"/>
      <w:outlineLvl w:val="1"/>
    </w:pPr>
    <w:rPr>
      <w:rFonts w:eastAsia="Times New Roman" w:cs="Times New Roman"/>
      <w:bCs/>
      <w:color w:val="347B9F"/>
      <w:sz w:val="36"/>
      <w:szCs w:val="36"/>
      <w:lang w:eastAsia="en-AU"/>
    </w:rPr>
  </w:style>
  <w:style w:type="paragraph" w:styleId="Heading3">
    <w:name w:val="heading 3"/>
    <w:basedOn w:val="Normal"/>
    <w:next w:val="Normal"/>
    <w:link w:val="Heading3Char"/>
    <w:uiPriority w:val="9"/>
    <w:semiHidden/>
    <w:unhideWhenUsed/>
    <w:qFormat/>
    <w:rsid w:val="007E7C64"/>
    <w:pPr>
      <w:keepNext/>
      <w:keepLines/>
      <w:spacing w:before="40" w:after="0"/>
      <w:outlineLvl w:val="2"/>
    </w:pPr>
    <w:rPr>
      <w:rFonts w:eastAsiaTheme="majorEastAsia" w:cstheme="majorBidi"/>
      <w:color w:val="347B9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qFormat/>
    <w:rsid w:val="006937D5"/>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937D5"/>
    <w:rPr>
      <w:rFonts w:ascii="Arial" w:hAnsi="Arial"/>
      <w:sz w:val="20"/>
    </w:rPr>
  </w:style>
  <w:style w:type="character" w:customStyle="1" w:styleId="Heading1Char">
    <w:name w:val="Heading 1 Char"/>
    <w:basedOn w:val="DefaultParagraphFont"/>
    <w:link w:val="Heading1"/>
    <w:uiPriority w:val="9"/>
    <w:rsid w:val="006937D5"/>
    <w:rPr>
      <w:rFonts w:ascii="Arial" w:eastAsia="Times New Roman" w:hAnsi="Arial" w:cs="Times New Roman"/>
      <w:bCs/>
      <w:color w:val="347B9F"/>
      <w:kern w:val="36"/>
      <w:sz w:val="48"/>
      <w:szCs w:val="48"/>
      <w:lang w:eastAsia="en-AU"/>
    </w:rPr>
  </w:style>
  <w:style w:type="character" w:customStyle="1" w:styleId="Heading2Char">
    <w:name w:val="Heading 2 Char"/>
    <w:basedOn w:val="DefaultParagraphFont"/>
    <w:link w:val="Heading2"/>
    <w:uiPriority w:val="9"/>
    <w:rsid w:val="007E7C64"/>
    <w:rPr>
      <w:rFonts w:ascii="Arial" w:eastAsia="Times New Roman" w:hAnsi="Arial" w:cs="Times New Roman"/>
      <w:bCs/>
      <w:color w:val="347B9F"/>
      <w:sz w:val="36"/>
      <w:szCs w:val="36"/>
      <w:lang w:eastAsia="en-AU"/>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lang w:eastAsia="en-AU"/>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lang w:eastAsia="en-AU"/>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semiHidden/>
    <w:rsid w:val="007E7C64"/>
    <w:rPr>
      <w:rFonts w:ascii="Arial" w:eastAsiaTheme="majorEastAsia" w:hAnsi="Arial" w:cstheme="majorBidi"/>
      <w:color w:val="347B9F"/>
      <w:sz w:val="28"/>
      <w:szCs w:val="24"/>
    </w:rPr>
  </w:style>
  <w:style w:type="paragraph" w:styleId="Quote">
    <w:name w:val="Quote"/>
    <w:basedOn w:val="Normal"/>
    <w:next w:val="Normal"/>
    <w:link w:val="QuoteChar"/>
    <w:uiPriority w:val="29"/>
    <w:qFormat/>
    <w:rsid w:val="007E7C64"/>
    <w:pPr>
      <w:spacing w:before="200" w:after="160"/>
      <w:ind w:left="864" w:right="864"/>
    </w:pPr>
    <w:rPr>
      <w:i/>
      <w:iCs/>
      <w:color w:val="000000" w:themeColor="text1"/>
    </w:rPr>
  </w:style>
  <w:style w:type="character" w:customStyle="1" w:styleId="QuoteChar">
    <w:name w:val="Quote Char"/>
    <w:basedOn w:val="DefaultParagraphFont"/>
    <w:link w:val="Quote"/>
    <w:uiPriority w:val="29"/>
    <w:rsid w:val="007E7C64"/>
    <w:rPr>
      <w:rFonts w:ascii="Arial" w:hAnsi="Arial"/>
      <w:i/>
      <w:iCs/>
      <w:color w:val="000000" w:themeColor="text1"/>
      <w:sz w:val="24"/>
    </w:rPr>
  </w:style>
  <w:style w:type="paragraph" w:styleId="Title">
    <w:name w:val="Title"/>
    <w:basedOn w:val="Normal"/>
    <w:next w:val="Normal"/>
    <w:link w:val="TitleChar"/>
    <w:uiPriority w:val="10"/>
    <w:rsid w:val="006937D5"/>
    <w:pPr>
      <w:spacing w:after="0" w:line="240" w:lineRule="auto"/>
      <w:contextualSpacing/>
    </w:pPr>
    <w:rPr>
      <w:rFonts w:eastAsiaTheme="majorEastAsia" w:cstheme="majorBidi"/>
      <w:color w:val="000000" w:themeColor="text1"/>
      <w:spacing w:val="-10"/>
      <w:kern w:val="28"/>
      <w:sz w:val="72"/>
      <w:szCs w:val="56"/>
    </w:rPr>
  </w:style>
  <w:style w:type="character" w:customStyle="1" w:styleId="TitleChar">
    <w:name w:val="Title Char"/>
    <w:basedOn w:val="DefaultParagraphFont"/>
    <w:link w:val="Title"/>
    <w:uiPriority w:val="10"/>
    <w:rsid w:val="006937D5"/>
    <w:rPr>
      <w:rFonts w:ascii="Arial" w:eastAsiaTheme="majorEastAsia" w:hAnsi="Arial" w:cstheme="majorBidi"/>
      <w:color w:val="000000" w:themeColor="text1"/>
      <w:spacing w:val="-10"/>
      <w:kern w:val="28"/>
      <w:sz w:val="72"/>
      <w:szCs w:val="56"/>
    </w:rPr>
  </w:style>
  <w:style w:type="paragraph" w:customStyle="1" w:styleId="Heading1black">
    <w:name w:val="Heading 1 (black)"/>
    <w:basedOn w:val="Heading1"/>
    <w:qFormat/>
    <w:rsid w:val="006937D5"/>
    <w:rPr>
      <w:color w:val="000000" w:themeColor="text1"/>
    </w:rPr>
  </w:style>
  <w:style w:type="paragraph" w:customStyle="1" w:styleId="Heading2black">
    <w:name w:val="Heading 2 (black)"/>
    <w:basedOn w:val="Heading1black"/>
    <w:qFormat/>
    <w:rsid w:val="006937D5"/>
    <w:rPr>
      <w:sz w:val="36"/>
    </w:rPr>
  </w:style>
  <w:style w:type="paragraph" w:customStyle="1" w:styleId="Heading3black">
    <w:name w:val="Heading 3 (black)"/>
    <w:basedOn w:val="Heading2black"/>
    <w:qFormat/>
    <w:rsid w:val="006937D5"/>
    <w:rPr>
      <w:sz w:val="28"/>
    </w:rPr>
  </w:style>
  <w:style w:type="paragraph" w:customStyle="1" w:styleId="Heading1darkblue">
    <w:name w:val="Heading 1 (dark blue)"/>
    <w:basedOn w:val="Heading1black"/>
    <w:qFormat/>
    <w:rsid w:val="006937D5"/>
    <w:rPr>
      <w:color w:val="004270"/>
    </w:rPr>
  </w:style>
  <w:style w:type="paragraph" w:customStyle="1" w:styleId="Heading2darkblue">
    <w:name w:val="Heading 2 (dark blue)"/>
    <w:basedOn w:val="Heading1darkblue"/>
    <w:qFormat/>
    <w:rsid w:val="006937D5"/>
    <w:rPr>
      <w:sz w:val="36"/>
    </w:rPr>
  </w:style>
  <w:style w:type="paragraph" w:customStyle="1" w:styleId="Heading3darkblue">
    <w:name w:val="Heading 3 (dark blue)"/>
    <w:basedOn w:val="Heading1darkblue"/>
    <w:qFormat/>
    <w:rsid w:val="006937D5"/>
    <w:rPr>
      <w:sz w:val="28"/>
    </w:rPr>
  </w:style>
  <w:style w:type="paragraph" w:styleId="ListParagraph">
    <w:name w:val="List Paragraph"/>
    <w:basedOn w:val="Normal"/>
    <w:link w:val="ListParagraphChar"/>
    <w:uiPriority w:val="34"/>
    <w:qFormat/>
    <w:rsid w:val="000E2699"/>
    <w:pPr>
      <w:ind w:left="720"/>
      <w:contextualSpacing/>
    </w:pPr>
  </w:style>
  <w:style w:type="character" w:styleId="CommentReference">
    <w:name w:val="annotation reference"/>
    <w:basedOn w:val="DefaultParagraphFont"/>
    <w:uiPriority w:val="99"/>
    <w:semiHidden/>
    <w:unhideWhenUsed/>
    <w:rsid w:val="00741399"/>
    <w:rPr>
      <w:sz w:val="16"/>
      <w:szCs w:val="16"/>
    </w:rPr>
  </w:style>
  <w:style w:type="paragraph" w:styleId="CommentText">
    <w:name w:val="annotation text"/>
    <w:basedOn w:val="Normal"/>
    <w:link w:val="CommentTextChar"/>
    <w:uiPriority w:val="99"/>
    <w:unhideWhenUsed/>
    <w:rsid w:val="00741399"/>
    <w:pPr>
      <w:spacing w:line="240" w:lineRule="auto"/>
    </w:pPr>
    <w:rPr>
      <w:sz w:val="20"/>
      <w:szCs w:val="20"/>
    </w:rPr>
  </w:style>
  <w:style w:type="character" w:customStyle="1" w:styleId="CommentTextChar">
    <w:name w:val="Comment Text Char"/>
    <w:basedOn w:val="DefaultParagraphFont"/>
    <w:link w:val="CommentText"/>
    <w:uiPriority w:val="99"/>
    <w:rsid w:val="007413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41399"/>
    <w:rPr>
      <w:b/>
      <w:bCs/>
    </w:rPr>
  </w:style>
  <w:style w:type="character" w:customStyle="1" w:styleId="CommentSubjectChar">
    <w:name w:val="Comment Subject Char"/>
    <w:basedOn w:val="CommentTextChar"/>
    <w:link w:val="CommentSubject"/>
    <w:uiPriority w:val="99"/>
    <w:semiHidden/>
    <w:rsid w:val="00741399"/>
    <w:rPr>
      <w:rFonts w:ascii="Arial" w:hAnsi="Arial"/>
      <w:b/>
      <w:bCs/>
      <w:sz w:val="20"/>
      <w:szCs w:val="20"/>
    </w:rPr>
  </w:style>
  <w:style w:type="paragraph" w:styleId="BalloonText">
    <w:name w:val="Balloon Text"/>
    <w:basedOn w:val="Normal"/>
    <w:link w:val="BalloonTextChar"/>
    <w:uiPriority w:val="99"/>
    <w:semiHidden/>
    <w:unhideWhenUsed/>
    <w:rsid w:val="00741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4D79"/>
    <w:rPr>
      <w:color w:val="605E5C"/>
      <w:shd w:val="clear" w:color="auto" w:fill="E1DFDD"/>
    </w:rPr>
  </w:style>
  <w:style w:type="character" w:customStyle="1" w:styleId="UnresolvedMention2">
    <w:name w:val="Unresolved Mention2"/>
    <w:basedOn w:val="DefaultParagraphFont"/>
    <w:uiPriority w:val="99"/>
    <w:semiHidden/>
    <w:unhideWhenUsed/>
    <w:rsid w:val="00BD0E2F"/>
    <w:rPr>
      <w:color w:val="605E5C"/>
      <w:shd w:val="clear" w:color="auto" w:fill="E1DFDD"/>
    </w:rPr>
  </w:style>
  <w:style w:type="paragraph" w:styleId="FootnoteText">
    <w:name w:val="footnote text"/>
    <w:basedOn w:val="Normal"/>
    <w:link w:val="FootnoteTextChar"/>
    <w:unhideWhenUsed/>
    <w:rsid w:val="00A7790F"/>
    <w:pPr>
      <w:spacing w:after="0" w:line="240" w:lineRule="auto"/>
    </w:pPr>
    <w:rPr>
      <w:sz w:val="20"/>
      <w:szCs w:val="20"/>
    </w:rPr>
  </w:style>
  <w:style w:type="character" w:customStyle="1" w:styleId="FootnoteTextChar">
    <w:name w:val="Footnote Text Char"/>
    <w:basedOn w:val="DefaultParagraphFont"/>
    <w:link w:val="FootnoteText"/>
    <w:rsid w:val="00A7790F"/>
    <w:rPr>
      <w:rFonts w:ascii="Arial" w:hAnsi="Arial"/>
      <w:sz w:val="20"/>
      <w:szCs w:val="20"/>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nhideWhenUsed/>
    <w:qFormat/>
    <w:rsid w:val="00A7790F"/>
    <w:rPr>
      <w:vertAlign w:val="superscript"/>
    </w:rPr>
  </w:style>
  <w:style w:type="paragraph" w:styleId="Revision">
    <w:name w:val="Revision"/>
    <w:hidden/>
    <w:uiPriority w:val="99"/>
    <w:semiHidden/>
    <w:rsid w:val="00C85F77"/>
    <w:pPr>
      <w:spacing w:after="0" w:line="240" w:lineRule="auto"/>
    </w:pPr>
    <w:rPr>
      <w:rFonts w:ascii="Arial" w:hAnsi="Arial"/>
      <w:sz w:val="24"/>
    </w:rPr>
  </w:style>
  <w:style w:type="character" w:styleId="PlaceholderText">
    <w:name w:val="Placeholder Text"/>
    <w:basedOn w:val="DefaultParagraphFont"/>
    <w:uiPriority w:val="99"/>
    <w:semiHidden/>
    <w:rsid w:val="008907E1"/>
    <w:rPr>
      <w:color w:val="808080"/>
    </w:rPr>
  </w:style>
  <w:style w:type="character" w:styleId="UnresolvedMention">
    <w:name w:val="Unresolved Mention"/>
    <w:basedOn w:val="DefaultParagraphFont"/>
    <w:uiPriority w:val="99"/>
    <w:semiHidden/>
    <w:unhideWhenUsed/>
    <w:rsid w:val="00EC3498"/>
    <w:rPr>
      <w:color w:val="605E5C"/>
      <w:shd w:val="clear" w:color="auto" w:fill="E1DFDD"/>
    </w:rPr>
  </w:style>
  <w:style w:type="paragraph" w:customStyle="1" w:styleId="Numberedparagraph">
    <w:name w:val="Numbered paragraph"/>
    <w:basedOn w:val="ListParagraph"/>
    <w:link w:val="NumberedparagraphChar"/>
    <w:qFormat/>
    <w:rsid w:val="00294E09"/>
    <w:pPr>
      <w:numPr>
        <w:numId w:val="23"/>
      </w:numPr>
      <w:spacing w:before="120" w:after="240"/>
      <w:contextualSpacing w:val="0"/>
    </w:pPr>
    <w:rPr>
      <w:rFonts w:eastAsiaTheme="minorEastAsia" w:cs="Arial"/>
      <w:sz w:val="22"/>
      <w:szCs w:val="24"/>
    </w:rPr>
  </w:style>
  <w:style w:type="character" w:styleId="FollowedHyperlink">
    <w:name w:val="FollowedHyperlink"/>
    <w:basedOn w:val="DefaultParagraphFont"/>
    <w:uiPriority w:val="99"/>
    <w:semiHidden/>
    <w:unhideWhenUsed/>
    <w:rsid w:val="00A47A9D"/>
    <w:rPr>
      <w:color w:val="800080" w:themeColor="followedHyperlink"/>
      <w:u w:val="single"/>
    </w:rPr>
  </w:style>
  <w:style w:type="character" w:customStyle="1" w:styleId="ListParagraphChar">
    <w:name w:val="List Paragraph Char"/>
    <w:basedOn w:val="DefaultParagraphFont"/>
    <w:link w:val="ListParagraph"/>
    <w:uiPriority w:val="34"/>
    <w:rsid w:val="00FF6731"/>
    <w:rPr>
      <w:rFonts w:ascii="Arial" w:hAnsi="Arial"/>
      <w:sz w:val="24"/>
    </w:rPr>
  </w:style>
  <w:style w:type="character" w:customStyle="1" w:styleId="NumberedparagraphChar">
    <w:name w:val="Numbered paragraph Char"/>
    <w:basedOn w:val="ListParagraphChar"/>
    <w:link w:val="Numberedparagraph"/>
    <w:rsid w:val="00C93C02"/>
    <w:rPr>
      <w:rFonts w:ascii="Arial" w:eastAsiaTheme="minorEastAsia" w:hAnsi="Arial" w:cs="Arial"/>
      <w:sz w:val="24"/>
      <w:szCs w:val="24"/>
    </w:rPr>
  </w:style>
  <w:style w:type="paragraph" w:customStyle="1" w:styleId="Bulletedlist">
    <w:name w:val="Bulleted list"/>
    <w:basedOn w:val="ListParagraph"/>
    <w:qFormat/>
    <w:rsid w:val="00A47BE9"/>
    <w:pPr>
      <w:numPr>
        <w:numId w:val="40"/>
      </w:numPr>
      <w:spacing w:after="120" w:line="240" w:lineRule="auto"/>
      <w:contextualSpacing w:val="0"/>
    </w:pPr>
    <w:rPr>
      <w:rFonts w:eastAsiaTheme="minorEastAsia" w:cs="Arial"/>
      <w:szCs w:val="24"/>
    </w:rPr>
  </w:style>
  <w:style w:type="paragraph" w:styleId="EndnoteText">
    <w:name w:val="endnote text"/>
    <w:basedOn w:val="Normal"/>
    <w:link w:val="EndnoteTextChar"/>
    <w:uiPriority w:val="99"/>
    <w:semiHidden/>
    <w:unhideWhenUsed/>
    <w:rsid w:val="00B172FB"/>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B172FB"/>
    <w:rPr>
      <w:rFonts w:ascii="Arial" w:eastAsiaTheme="minorEastAsia" w:hAnsi="Arial"/>
      <w:sz w:val="20"/>
      <w:szCs w:val="20"/>
    </w:rPr>
  </w:style>
  <w:style w:type="character" w:styleId="EndnoteReference">
    <w:name w:val="endnote reference"/>
    <w:basedOn w:val="DefaultParagraphFont"/>
    <w:uiPriority w:val="99"/>
    <w:semiHidden/>
    <w:unhideWhenUsed/>
    <w:rsid w:val="00B17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843">
      <w:bodyDiv w:val="1"/>
      <w:marLeft w:val="0"/>
      <w:marRight w:val="0"/>
      <w:marTop w:val="0"/>
      <w:marBottom w:val="0"/>
      <w:divBdr>
        <w:top w:val="none" w:sz="0" w:space="0" w:color="auto"/>
        <w:left w:val="none" w:sz="0" w:space="0" w:color="auto"/>
        <w:bottom w:val="none" w:sz="0" w:space="0" w:color="auto"/>
        <w:right w:val="none" w:sz="0" w:space="0" w:color="auto"/>
      </w:divBdr>
      <w:divsChild>
        <w:div w:id="160407386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3163562">
      <w:bodyDiv w:val="1"/>
      <w:marLeft w:val="0"/>
      <w:marRight w:val="0"/>
      <w:marTop w:val="0"/>
      <w:marBottom w:val="0"/>
      <w:divBdr>
        <w:top w:val="none" w:sz="0" w:space="0" w:color="auto"/>
        <w:left w:val="none" w:sz="0" w:space="0" w:color="auto"/>
        <w:bottom w:val="none" w:sz="0" w:space="0" w:color="auto"/>
        <w:right w:val="none" w:sz="0" w:space="0" w:color="auto"/>
      </w:divBdr>
    </w:div>
    <w:div w:id="39018158">
      <w:bodyDiv w:val="1"/>
      <w:marLeft w:val="0"/>
      <w:marRight w:val="0"/>
      <w:marTop w:val="0"/>
      <w:marBottom w:val="0"/>
      <w:divBdr>
        <w:top w:val="none" w:sz="0" w:space="0" w:color="auto"/>
        <w:left w:val="none" w:sz="0" w:space="0" w:color="auto"/>
        <w:bottom w:val="none" w:sz="0" w:space="0" w:color="auto"/>
        <w:right w:val="none" w:sz="0" w:space="0" w:color="auto"/>
      </w:divBdr>
    </w:div>
    <w:div w:id="224947860">
      <w:bodyDiv w:val="1"/>
      <w:marLeft w:val="0"/>
      <w:marRight w:val="0"/>
      <w:marTop w:val="0"/>
      <w:marBottom w:val="0"/>
      <w:divBdr>
        <w:top w:val="none" w:sz="0" w:space="0" w:color="auto"/>
        <w:left w:val="none" w:sz="0" w:space="0" w:color="auto"/>
        <w:bottom w:val="none" w:sz="0" w:space="0" w:color="auto"/>
        <w:right w:val="none" w:sz="0" w:space="0" w:color="auto"/>
      </w:divBdr>
    </w:div>
    <w:div w:id="296181989">
      <w:bodyDiv w:val="1"/>
      <w:marLeft w:val="0"/>
      <w:marRight w:val="0"/>
      <w:marTop w:val="0"/>
      <w:marBottom w:val="0"/>
      <w:divBdr>
        <w:top w:val="none" w:sz="0" w:space="0" w:color="auto"/>
        <w:left w:val="none" w:sz="0" w:space="0" w:color="auto"/>
        <w:bottom w:val="none" w:sz="0" w:space="0" w:color="auto"/>
        <w:right w:val="none" w:sz="0" w:space="0" w:color="auto"/>
      </w:divBdr>
    </w:div>
    <w:div w:id="445080765">
      <w:bodyDiv w:val="1"/>
      <w:marLeft w:val="0"/>
      <w:marRight w:val="0"/>
      <w:marTop w:val="0"/>
      <w:marBottom w:val="0"/>
      <w:divBdr>
        <w:top w:val="none" w:sz="0" w:space="0" w:color="auto"/>
        <w:left w:val="none" w:sz="0" w:space="0" w:color="auto"/>
        <w:bottom w:val="none" w:sz="0" w:space="0" w:color="auto"/>
        <w:right w:val="none" w:sz="0" w:space="0" w:color="auto"/>
      </w:divBdr>
    </w:div>
    <w:div w:id="517735408">
      <w:bodyDiv w:val="1"/>
      <w:marLeft w:val="0"/>
      <w:marRight w:val="0"/>
      <w:marTop w:val="0"/>
      <w:marBottom w:val="0"/>
      <w:divBdr>
        <w:top w:val="none" w:sz="0" w:space="0" w:color="auto"/>
        <w:left w:val="none" w:sz="0" w:space="0" w:color="auto"/>
        <w:bottom w:val="none" w:sz="0" w:space="0" w:color="auto"/>
        <w:right w:val="none" w:sz="0" w:space="0" w:color="auto"/>
      </w:divBdr>
    </w:div>
    <w:div w:id="572013543">
      <w:bodyDiv w:val="1"/>
      <w:marLeft w:val="0"/>
      <w:marRight w:val="0"/>
      <w:marTop w:val="0"/>
      <w:marBottom w:val="0"/>
      <w:divBdr>
        <w:top w:val="none" w:sz="0" w:space="0" w:color="auto"/>
        <w:left w:val="none" w:sz="0" w:space="0" w:color="auto"/>
        <w:bottom w:val="none" w:sz="0" w:space="0" w:color="auto"/>
        <w:right w:val="none" w:sz="0" w:space="0" w:color="auto"/>
      </w:divBdr>
    </w:div>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519393170">
                  <w:marLeft w:val="375"/>
                  <w:marRight w:val="0"/>
                  <w:marTop w:val="375"/>
                  <w:marBottom w:val="0"/>
                  <w:divBdr>
                    <w:top w:val="none" w:sz="0" w:space="0" w:color="auto"/>
                    <w:left w:val="none" w:sz="0" w:space="0" w:color="auto"/>
                    <w:bottom w:val="none" w:sz="0" w:space="0" w:color="auto"/>
                    <w:right w:val="none" w:sz="0" w:space="0" w:color="auto"/>
                  </w:divBdr>
                </w:div>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sChild>
            </w:div>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662051766">
      <w:bodyDiv w:val="1"/>
      <w:marLeft w:val="0"/>
      <w:marRight w:val="0"/>
      <w:marTop w:val="0"/>
      <w:marBottom w:val="0"/>
      <w:divBdr>
        <w:top w:val="none" w:sz="0" w:space="0" w:color="auto"/>
        <w:left w:val="none" w:sz="0" w:space="0" w:color="auto"/>
        <w:bottom w:val="none" w:sz="0" w:space="0" w:color="auto"/>
        <w:right w:val="none" w:sz="0" w:space="0" w:color="auto"/>
      </w:divBdr>
    </w:div>
    <w:div w:id="702561662">
      <w:bodyDiv w:val="1"/>
      <w:marLeft w:val="0"/>
      <w:marRight w:val="0"/>
      <w:marTop w:val="0"/>
      <w:marBottom w:val="0"/>
      <w:divBdr>
        <w:top w:val="none" w:sz="0" w:space="0" w:color="auto"/>
        <w:left w:val="none" w:sz="0" w:space="0" w:color="auto"/>
        <w:bottom w:val="none" w:sz="0" w:space="0" w:color="auto"/>
        <w:right w:val="none" w:sz="0" w:space="0" w:color="auto"/>
      </w:divBdr>
    </w:div>
    <w:div w:id="943925792">
      <w:bodyDiv w:val="1"/>
      <w:marLeft w:val="0"/>
      <w:marRight w:val="0"/>
      <w:marTop w:val="0"/>
      <w:marBottom w:val="0"/>
      <w:divBdr>
        <w:top w:val="none" w:sz="0" w:space="0" w:color="auto"/>
        <w:left w:val="none" w:sz="0" w:space="0" w:color="auto"/>
        <w:bottom w:val="none" w:sz="0" w:space="0" w:color="auto"/>
        <w:right w:val="none" w:sz="0" w:space="0" w:color="auto"/>
      </w:divBdr>
    </w:div>
    <w:div w:id="1401096222">
      <w:bodyDiv w:val="1"/>
      <w:marLeft w:val="0"/>
      <w:marRight w:val="0"/>
      <w:marTop w:val="0"/>
      <w:marBottom w:val="0"/>
      <w:divBdr>
        <w:top w:val="none" w:sz="0" w:space="0" w:color="auto"/>
        <w:left w:val="none" w:sz="0" w:space="0" w:color="auto"/>
        <w:bottom w:val="none" w:sz="0" w:space="0" w:color="auto"/>
        <w:right w:val="none" w:sz="0" w:space="0" w:color="auto"/>
      </w:divBdr>
    </w:div>
    <w:div w:id="2059543942">
      <w:bodyDiv w:val="1"/>
      <w:marLeft w:val="0"/>
      <w:marRight w:val="0"/>
      <w:marTop w:val="0"/>
      <w:marBottom w:val="0"/>
      <w:divBdr>
        <w:top w:val="none" w:sz="0" w:space="0" w:color="auto"/>
        <w:left w:val="none" w:sz="0" w:space="0" w:color="auto"/>
        <w:bottom w:val="none" w:sz="0" w:space="0" w:color="auto"/>
        <w:right w:val="none" w:sz="0" w:space="0" w:color="auto"/>
      </w:divBdr>
    </w:div>
    <w:div w:id="21178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qhrc.qld.gov.au/__data/assets/word_doc/0004/49990/2024.07.10-QHRC-submission-WWC-Bill.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cott.mcdougall@qhrc.qld.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qhrc.qld.gov.au/__data/assets/word_doc/0004/36715/Working-with-children-Indigenous-communities.doc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soncx\Desktop\Template%20-%20Letter%20-%20multiple%20page%20with%20hea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QHRC Document" ma:contentTypeID="0x0101000118694C86DCC840B8A954DADB00E5EA00855E8A362CDEE7408C029E3CD3F10B7E" ma:contentTypeVersion="29" ma:contentTypeDescription="" ma:contentTypeScope="" ma:versionID="8ed3c3f4a2cdf199aa5e2a99554173a1">
  <xsd:schema xmlns:xsd="http://www.w3.org/2001/XMLSchema" xmlns:xs="http://www.w3.org/2001/XMLSchema" xmlns:p="http://schemas.microsoft.com/office/2006/metadata/properties" xmlns:ns2="ca61dc34-46aa-470b-af0e-0de93029fe6e" xmlns:ns3="a9ec758c-7b29-4bbd-836f-c599af6fef2b" targetNamespace="http://schemas.microsoft.com/office/2006/metadata/properties" ma:root="true" ma:fieldsID="c83ad5e8313518c4a2579e5957bafb97" ns2:_="" ns3:_="">
    <xsd:import namespace="ca61dc34-46aa-470b-af0e-0de93029fe6e"/>
    <xsd:import namespace="a9ec758c-7b29-4bbd-836f-c599af6fef2b"/>
    <xsd:element name="properties">
      <xsd:complexType>
        <xsd:sequence>
          <xsd:element name="documentManagement">
            <xsd:complexType>
              <xsd:all>
                <xsd:element ref="ns2:oa9fbd0508de436da13dc19a72853b3f"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1dc34-46aa-470b-af0e-0de93029fe6e" elementFormDefault="qualified">
    <xsd:import namespace="http://schemas.microsoft.com/office/2006/documentManagement/types"/>
    <xsd:import namespace="http://schemas.microsoft.com/office/infopath/2007/PartnerControls"/>
    <xsd:element name="oa9fbd0508de436da13dc19a72853b3f" ma:index="8" nillable="true" ma:taxonomy="true" ma:internalName="oa9fbd0508de436da13dc19a72853b3f" ma:taxonomyFieldName="DocumentType" ma:displayName="Document Type" ma:readOnly="false" ma:fieldId="{8a9fbd05-08de-436d-a13d-c19a72853b3f}" ma:sspId="6155ed63-341b-4a6d-8d92-bc71a3205411" ma:termSetId="8bbc9f34-4119-40c5-bf7c-0e9cabac0be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6e732e9-20f6-4cc6-8312-ca0e2c83f086}" ma:internalName="TaxCatchAll" ma:showField="CatchAllData" ma:web="a9ec758c-7b29-4bbd-836f-c599af6fef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6e732e9-20f6-4cc6-8312-ca0e2c83f086}" ma:internalName="TaxCatchAllLabel" ma:readOnly="true" ma:showField="CatchAllDataLabel" ma:web="a9ec758c-7b29-4bbd-836f-c599af6fef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155ed63-341b-4a6d-8d92-bc71a3205411" ContentTypeId="0x0101000118694C86DCC840B8A954DADB00E5EA" PreviousValue="false" LastSyncTimeStamp="2025-05-12T12:05:58.073Z"/>
</file>

<file path=customXml/item3.xml><?xml version="1.0" encoding="utf-8"?>
<p:properties xmlns:p="http://schemas.microsoft.com/office/2006/metadata/properties" xmlns:xsi="http://www.w3.org/2001/XMLSchema-instance" xmlns:pc="http://schemas.microsoft.com/office/infopath/2007/PartnerControls">
  <documentManagement>
    <_dlc_DocId xmlns="a9ec758c-7b29-4bbd-836f-c599af6fef2b">CS3F356C3TDS-1011335364-8107</_dlc_DocId>
    <_dlc_DocIdUrl xmlns="a9ec758c-7b29-4bbd-836f-c599af6fef2b">
      <Url>https://qldhrc.sharepoint.com/sites/LegalResearchandPolicy/_layouts/15/DocIdRedir.aspx?ID=CS3F356C3TDS-1011335364-8107</Url>
      <Description>CS3F356C3TDS-1011335364-8107</Description>
    </_dlc_DocIdUrl>
    <oa9fbd0508de436da13dc19a72853b3f xmlns="ca61dc34-46aa-470b-af0e-0de93029fe6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aaf00d10-84d3-4180-ba8b-d16ef7e37900</TermId>
        </TermInfo>
      </Terms>
    </oa9fbd0508de436da13dc19a72853b3f>
    <TaxCatchAll xmlns="ca61dc34-46aa-470b-af0e-0de93029fe6e">
      <Value>15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2EDFD-423A-4B96-A93D-E76E30677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1dc34-46aa-470b-af0e-0de93029fe6e"/>
    <ds:schemaRef ds:uri="a9ec758c-7b29-4bbd-836f-c599af6f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FF1B6-DE4F-45C2-A07B-6BD2F0557381}">
  <ds:schemaRefs>
    <ds:schemaRef ds:uri="Microsoft.SharePoint.Taxonomy.ContentTypeSync"/>
  </ds:schemaRefs>
</ds:datastoreItem>
</file>

<file path=customXml/itemProps3.xml><?xml version="1.0" encoding="utf-8"?>
<ds:datastoreItem xmlns:ds="http://schemas.openxmlformats.org/officeDocument/2006/customXml" ds:itemID="{257D1398-22EC-4587-9A4A-E8428706E754}">
  <ds:schemaRefs>
    <ds:schemaRef ds:uri="http://schemas.microsoft.com/office/2006/metadata/properties"/>
    <ds:schemaRef ds:uri="http://schemas.microsoft.com/office/infopath/2007/PartnerControls"/>
    <ds:schemaRef ds:uri="a9ec758c-7b29-4bbd-836f-c599af6fef2b"/>
    <ds:schemaRef ds:uri="ca61dc34-46aa-470b-af0e-0de93029fe6e"/>
  </ds:schemaRefs>
</ds:datastoreItem>
</file>

<file path=customXml/itemProps4.xml><?xml version="1.0" encoding="utf-8"?>
<ds:datastoreItem xmlns:ds="http://schemas.openxmlformats.org/officeDocument/2006/customXml" ds:itemID="{C8522534-4268-48BC-85A2-01E6A43B6203}">
  <ds:schemaRefs>
    <ds:schemaRef ds:uri="http://schemas.microsoft.com/sharepoint/v3/contenttype/forms"/>
  </ds:schemaRefs>
</ds:datastoreItem>
</file>

<file path=customXml/itemProps5.xml><?xml version="1.0" encoding="utf-8"?>
<ds:datastoreItem xmlns:ds="http://schemas.openxmlformats.org/officeDocument/2006/customXml" ds:itemID="{75F02B7D-CBD6-4C26-95B8-CF91421406B4}">
  <ds:schemaRefs>
    <ds:schemaRef ds:uri="http://schemas.microsoft.com/sharepoint/events"/>
  </ds:schemaRefs>
</ds:datastoreItem>
</file>

<file path=customXml/itemProps6.xml><?xml version="1.0" encoding="utf-8"?>
<ds:datastoreItem xmlns:ds="http://schemas.openxmlformats.org/officeDocument/2006/customXml" ds:itemID="{164450E1-E353-4272-A190-93713618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Letter - multiple page with header</Template>
  <TotalTime>4</TotalTime>
  <Pages>10</Pages>
  <Words>3362</Words>
  <Characters>19166</Characters>
  <DocSecurity>8</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22484</CharactersWithSpaces>
  <SharedDoc>false</SharedDoc>
  <HLinks>
    <vt:vector size="18" baseType="variant">
      <vt:variant>
        <vt:i4>2097242</vt:i4>
      </vt:variant>
      <vt:variant>
        <vt:i4>9</vt:i4>
      </vt:variant>
      <vt:variant>
        <vt:i4>0</vt:i4>
      </vt:variant>
      <vt:variant>
        <vt:i4>5</vt:i4>
      </vt:variant>
      <vt:variant>
        <vt:lpwstr>mailto:scott.mcdougall@qhrc.qld.gov.au</vt:lpwstr>
      </vt:variant>
      <vt:variant>
        <vt:lpwstr/>
      </vt:variant>
      <vt:variant>
        <vt:i4>327788</vt:i4>
      </vt:variant>
      <vt:variant>
        <vt:i4>6</vt:i4>
      </vt:variant>
      <vt:variant>
        <vt:i4>0</vt:i4>
      </vt:variant>
      <vt:variant>
        <vt:i4>5</vt:i4>
      </vt:variant>
      <vt:variant>
        <vt:lpwstr>https://www.qhrc.qld.gov.au/__data/assets/word_doc/0004/36715/Working-with-children-Indigenous-communities.docx</vt:lpwstr>
      </vt:variant>
      <vt:variant>
        <vt:lpwstr/>
      </vt:variant>
      <vt:variant>
        <vt:i4>5767202</vt:i4>
      </vt:variant>
      <vt:variant>
        <vt:i4>3</vt:i4>
      </vt:variant>
      <vt:variant>
        <vt:i4>0</vt:i4>
      </vt:variant>
      <vt:variant>
        <vt:i4>5</vt:i4>
      </vt:variant>
      <vt:variant>
        <vt:lpwstr>https://www.qhrc.qld.gov.au/__data/assets/word_doc/0004/49990/2024.07.10-QHRC-submission-WWC-Bill.docx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2022-03-05T16:33:00Z</cp:lastPrinted>
  <dcterms:created xsi:type="dcterms:W3CDTF">2025-07-23T04:19:00Z</dcterms:created>
  <dcterms:modified xsi:type="dcterms:W3CDTF">2025-07-30T01:26:00Z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0x0101000118694C86DCC840B8A954DADB00E5EA00855E8A362CDEE7408C029E3CD3F10B7E</vt:lpwstr>
  </property>
  <property fmtid="{D5CDD505-2E9C-101B-9397-08002B2CF9AE}" pid="3" name="MediaServiceImageTags">
    <vt:lpwstr/>
  </property>
  <property fmtid="{D5CDD505-2E9C-101B-9397-08002B2CF9AE}" pid="4" name="Order">
    <vt:r8>413000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704e5972-3e26-4871-bf4f-14002b01f679</vt:lpwstr>
  </property>
  <property fmtid="{D5CDD505-2E9C-101B-9397-08002B2CF9AE}" pid="12" name="DocumentType">
    <vt:lpwstr>15;#Template|aaf00d10-84d3-4180-ba8b-d16ef7e37900</vt:lpwstr>
  </property>
  <property fmtid="{D5CDD505-2E9C-101B-9397-08002B2CF9AE}" pid="13" name="DocumentSetDescription">
    <vt:lpwstr/>
  </property>
  <property fmtid="{D5CDD505-2E9C-101B-9397-08002B2CF9AE}" pid="14" name="SubmissionStatus">
    <vt:lpwstr/>
  </property>
  <property fmtid="{D5CDD505-2E9C-101B-9397-08002B2CF9AE}" pid="15" name="Confidentiality">
    <vt:lpwstr/>
  </property>
  <property fmtid="{D5CDD505-2E9C-101B-9397-08002B2CF9AE}" pid="16" name="g18f092eaa554abcb943f50973cc4433">
    <vt:lpwstr/>
  </property>
  <property fmtid="{D5CDD505-2E9C-101B-9397-08002B2CF9AE}" pid="17" name="QHRCKeywords">
    <vt:lpwstr/>
  </property>
  <property fmtid="{D5CDD505-2E9C-101B-9397-08002B2CF9AE}" pid="18" name="SubmissionTo">
    <vt:lpwstr/>
  </property>
  <property fmtid="{D5CDD505-2E9C-101B-9397-08002B2CF9AE}" pid="19" name="Filenumber">
    <vt:lpwstr>BNE5418948</vt:lpwstr>
  </property>
  <property fmtid="{D5CDD505-2E9C-101B-9397-08002B2CF9AE}" pid="20" name="SubmissionType">
    <vt:lpwstr/>
  </property>
  <property fmtid="{D5CDD505-2E9C-101B-9397-08002B2CF9AE}" pid="21" name="Briefsummary">
    <vt:lpwstr/>
  </property>
  <property fmtid="{D5CDD505-2E9C-101B-9397-08002B2CF9AE}" pid="22" name="Assignedto">
    <vt:lpwstr/>
  </property>
  <property fmtid="{D5CDD505-2E9C-101B-9397-08002B2CF9AE}" pid="23" name="lcf76f155ced4ddcb4097134ff3c332f">
    <vt:lpwstr/>
  </property>
</Properties>
</file>