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9BE1" w14:textId="77777777" w:rsidR="00312EBD" w:rsidRDefault="00312EBD" w:rsidP="00A4212E">
      <w:pPr>
        <w:rPr>
          <w:sz w:val="144"/>
          <w:szCs w:val="144"/>
        </w:rPr>
      </w:pPr>
    </w:p>
    <w:p w14:paraId="0FD5BB57" w14:textId="77777777" w:rsidR="00527ECE" w:rsidRDefault="00527ECE" w:rsidP="00A4212E">
      <w:pPr>
        <w:rPr>
          <w:sz w:val="96"/>
          <w:szCs w:val="96"/>
        </w:rPr>
      </w:pPr>
    </w:p>
    <w:p w14:paraId="1580BFB8" w14:textId="0E125D7F" w:rsidR="00527ECE" w:rsidRPr="00BF7719" w:rsidRDefault="00E72889" w:rsidP="00EB2E13">
      <w:pPr>
        <w:pStyle w:val="Title"/>
        <w:spacing w:line="240" w:lineRule="auto"/>
      </w:pPr>
      <w:r>
        <w:t>Independent Review of the Parole Board Queensland</w:t>
      </w:r>
    </w:p>
    <w:p w14:paraId="0747A86D" w14:textId="36A0E8DB" w:rsidR="008D4132" w:rsidRDefault="008D4132" w:rsidP="00EB2E13">
      <w:pPr>
        <w:spacing w:line="240" w:lineRule="auto"/>
        <w:rPr>
          <w:sz w:val="36"/>
          <w:szCs w:val="36"/>
        </w:rPr>
      </w:pPr>
      <w:r>
        <w:rPr>
          <w:sz w:val="36"/>
          <w:szCs w:val="36"/>
        </w:rPr>
        <w:t xml:space="preserve">Submission to </w:t>
      </w:r>
      <w:r w:rsidR="00E72889">
        <w:rPr>
          <w:sz w:val="36"/>
          <w:szCs w:val="36"/>
        </w:rPr>
        <w:t>Mr Peter Hastie KC</w:t>
      </w:r>
      <w:r w:rsidR="00527ECE" w:rsidRPr="00527ECE">
        <w:rPr>
          <w:sz w:val="36"/>
          <w:szCs w:val="36"/>
        </w:rPr>
        <w:t xml:space="preserve"> </w:t>
      </w:r>
    </w:p>
    <w:p w14:paraId="63150203" w14:textId="51F10B34" w:rsidR="00527ECE" w:rsidRDefault="73D4200D" w:rsidP="00EB2E13">
      <w:pPr>
        <w:spacing w:line="240" w:lineRule="auto"/>
        <w:rPr>
          <w:sz w:val="36"/>
          <w:szCs w:val="36"/>
        </w:rPr>
      </w:pPr>
      <w:r w:rsidRPr="5306F0CB">
        <w:rPr>
          <w:sz w:val="36"/>
          <w:szCs w:val="36"/>
        </w:rPr>
        <w:t>31</w:t>
      </w:r>
      <w:r w:rsidR="00E72889">
        <w:rPr>
          <w:sz w:val="36"/>
          <w:szCs w:val="36"/>
        </w:rPr>
        <w:t xml:space="preserve"> July 2025</w:t>
      </w:r>
    </w:p>
    <w:p w14:paraId="37FB1192" w14:textId="77777777" w:rsidR="00527ECE" w:rsidRPr="00BF7719" w:rsidRDefault="00527ECE" w:rsidP="00BF7719">
      <w:pPr>
        <w:pStyle w:val="Contents"/>
      </w:pPr>
      <w:r>
        <w:rPr>
          <w:sz w:val="36"/>
          <w:szCs w:val="36"/>
        </w:rPr>
        <w:br w:type="page"/>
      </w:r>
      <w:r>
        <w:lastRenderedPageBreak/>
        <w:t>Content</w:t>
      </w:r>
      <w:r w:rsidR="00271C99">
        <w:t>s</w:t>
      </w:r>
    </w:p>
    <w:p w14:paraId="4C0FEE23" w14:textId="30EC34B2" w:rsidR="00632149" w:rsidRDefault="00C50C86">
      <w:pPr>
        <w:pStyle w:val="TOC1"/>
        <w:tabs>
          <w:tab w:val="right" w:leader="dot" w:pos="9322"/>
        </w:tabs>
        <w:rPr>
          <w:rFonts w:asciiTheme="minorHAnsi" w:eastAsiaTheme="minorEastAsia" w:hAnsiTheme="minorHAnsi"/>
          <w:noProof/>
          <w:kern w:val="2"/>
          <w:szCs w:val="24"/>
          <w:lang w:eastAsia="en-AU"/>
          <w14:ligatures w14:val="standardContextual"/>
        </w:rPr>
      </w:pPr>
      <w:r>
        <w:fldChar w:fldCharType="begin"/>
      </w:r>
      <w:r>
        <w:instrText xml:space="preserve"> TOC \o "1-3" \h \z \u </w:instrText>
      </w:r>
      <w:r>
        <w:fldChar w:fldCharType="separate"/>
      </w:r>
      <w:hyperlink w:anchor="_Toc204594200" w:history="1">
        <w:r w:rsidR="00632149" w:rsidRPr="00B321BE">
          <w:rPr>
            <w:rStyle w:val="Hyperlink"/>
            <w:noProof/>
          </w:rPr>
          <w:t>Introduction</w:t>
        </w:r>
        <w:r w:rsidR="00632149">
          <w:rPr>
            <w:noProof/>
            <w:webHidden/>
          </w:rPr>
          <w:tab/>
        </w:r>
        <w:r w:rsidR="00632149">
          <w:rPr>
            <w:noProof/>
            <w:webHidden/>
          </w:rPr>
          <w:fldChar w:fldCharType="begin"/>
        </w:r>
        <w:r w:rsidR="00632149">
          <w:rPr>
            <w:noProof/>
            <w:webHidden/>
          </w:rPr>
          <w:instrText xml:space="preserve"> PAGEREF _Toc204594200 \h </w:instrText>
        </w:r>
        <w:r w:rsidR="00632149">
          <w:rPr>
            <w:noProof/>
            <w:webHidden/>
          </w:rPr>
        </w:r>
        <w:r w:rsidR="00632149">
          <w:rPr>
            <w:noProof/>
            <w:webHidden/>
          </w:rPr>
          <w:fldChar w:fldCharType="separate"/>
        </w:r>
        <w:r w:rsidR="00632149">
          <w:rPr>
            <w:noProof/>
            <w:webHidden/>
          </w:rPr>
          <w:t>3</w:t>
        </w:r>
        <w:r w:rsidR="00632149">
          <w:rPr>
            <w:noProof/>
            <w:webHidden/>
          </w:rPr>
          <w:fldChar w:fldCharType="end"/>
        </w:r>
      </w:hyperlink>
    </w:p>
    <w:p w14:paraId="1A2FA26A" w14:textId="6C2D8012" w:rsidR="00632149" w:rsidRDefault="00632149">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4594201" w:history="1">
        <w:r w:rsidRPr="00B321BE">
          <w:rPr>
            <w:rStyle w:val="Hyperlink"/>
            <w:noProof/>
          </w:rPr>
          <w:t>Summary</w:t>
        </w:r>
        <w:r>
          <w:rPr>
            <w:noProof/>
            <w:webHidden/>
          </w:rPr>
          <w:tab/>
        </w:r>
        <w:r>
          <w:rPr>
            <w:noProof/>
            <w:webHidden/>
          </w:rPr>
          <w:fldChar w:fldCharType="begin"/>
        </w:r>
        <w:r>
          <w:rPr>
            <w:noProof/>
            <w:webHidden/>
          </w:rPr>
          <w:instrText xml:space="preserve"> PAGEREF _Toc204594201 \h </w:instrText>
        </w:r>
        <w:r>
          <w:rPr>
            <w:noProof/>
            <w:webHidden/>
          </w:rPr>
        </w:r>
        <w:r>
          <w:rPr>
            <w:noProof/>
            <w:webHidden/>
          </w:rPr>
          <w:fldChar w:fldCharType="separate"/>
        </w:r>
        <w:r>
          <w:rPr>
            <w:noProof/>
            <w:webHidden/>
          </w:rPr>
          <w:t>3</w:t>
        </w:r>
        <w:r>
          <w:rPr>
            <w:noProof/>
            <w:webHidden/>
          </w:rPr>
          <w:fldChar w:fldCharType="end"/>
        </w:r>
      </w:hyperlink>
    </w:p>
    <w:p w14:paraId="30766CFD" w14:textId="48DC134A" w:rsidR="00632149" w:rsidRDefault="00632149">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4594202" w:history="1">
        <w:r w:rsidRPr="00B321BE">
          <w:rPr>
            <w:rStyle w:val="Hyperlink"/>
            <w:noProof/>
          </w:rPr>
          <w:t>Parole, community safety &amp; rehabilitation</w:t>
        </w:r>
        <w:r>
          <w:rPr>
            <w:noProof/>
            <w:webHidden/>
          </w:rPr>
          <w:tab/>
        </w:r>
        <w:r>
          <w:rPr>
            <w:noProof/>
            <w:webHidden/>
          </w:rPr>
          <w:fldChar w:fldCharType="begin"/>
        </w:r>
        <w:r>
          <w:rPr>
            <w:noProof/>
            <w:webHidden/>
          </w:rPr>
          <w:instrText xml:space="preserve"> PAGEREF _Toc204594202 \h </w:instrText>
        </w:r>
        <w:r>
          <w:rPr>
            <w:noProof/>
            <w:webHidden/>
          </w:rPr>
        </w:r>
        <w:r>
          <w:rPr>
            <w:noProof/>
            <w:webHidden/>
          </w:rPr>
          <w:fldChar w:fldCharType="separate"/>
        </w:r>
        <w:r>
          <w:rPr>
            <w:noProof/>
            <w:webHidden/>
          </w:rPr>
          <w:t>3</w:t>
        </w:r>
        <w:r>
          <w:rPr>
            <w:noProof/>
            <w:webHidden/>
          </w:rPr>
          <w:fldChar w:fldCharType="end"/>
        </w:r>
      </w:hyperlink>
    </w:p>
    <w:p w14:paraId="4A3FED64" w14:textId="5F4C2359" w:rsidR="00632149" w:rsidRDefault="00632149">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4594203" w:history="1">
        <w:r w:rsidRPr="00B321BE">
          <w:rPr>
            <w:rStyle w:val="Hyperlink"/>
            <w:noProof/>
          </w:rPr>
          <w:t>Rights, participation &amp; treatment of victims</w:t>
        </w:r>
        <w:r>
          <w:rPr>
            <w:noProof/>
            <w:webHidden/>
          </w:rPr>
          <w:tab/>
        </w:r>
        <w:r>
          <w:rPr>
            <w:noProof/>
            <w:webHidden/>
          </w:rPr>
          <w:fldChar w:fldCharType="begin"/>
        </w:r>
        <w:r>
          <w:rPr>
            <w:noProof/>
            <w:webHidden/>
          </w:rPr>
          <w:instrText xml:space="preserve"> PAGEREF _Toc204594203 \h </w:instrText>
        </w:r>
        <w:r>
          <w:rPr>
            <w:noProof/>
            <w:webHidden/>
          </w:rPr>
        </w:r>
        <w:r>
          <w:rPr>
            <w:noProof/>
            <w:webHidden/>
          </w:rPr>
          <w:fldChar w:fldCharType="separate"/>
        </w:r>
        <w:r>
          <w:rPr>
            <w:noProof/>
            <w:webHidden/>
          </w:rPr>
          <w:t>4</w:t>
        </w:r>
        <w:r>
          <w:rPr>
            <w:noProof/>
            <w:webHidden/>
          </w:rPr>
          <w:fldChar w:fldCharType="end"/>
        </w:r>
      </w:hyperlink>
    </w:p>
    <w:p w14:paraId="1182FA1C" w14:textId="7E18A059" w:rsidR="00632149" w:rsidRDefault="00632149">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4594204" w:history="1">
        <w:r w:rsidRPr="00B321BE">
          <w:rPr>
            <w:rStyle w:val="Hyperlink"/>
            <w:noProof/>
          </w:rPr>
          <w:t>The Human Rights Act framework</w:t>
        </w:r>
        <w:r>
          <w:rPr>
            <w:noProof/>
            <w:webHidden/>
          </w:rPr>
          <w:tab/>
        </w:r>
        <w:r>
          <w:rPr>
            <w:noProof/>
            <w:webHidden/>
          </w:rPr>
          <w:fldChar w:fldCharType="begin"/>
        </w:r>
        <w:r>
          <w:rPr>
            <w:noProof/>
            <w:webHidden/>
          </w:rPr>
          <w:instrText xml:space="preserve"> PAGEREF _Toc204594204 \h </w:instrText>
        </w:r>
        <w:r>
          <w:rPr>
            <w:noProof/>
            <w:webHidden/>
          </w:rPr>
        </w:r>
        <w:r>
          <w:rPr>
            <w:noProof/>
            <w:webHidden/>
          </w:rPr>
          <w:fldChar w:fldCharType="separate"/>
        </w:r>
        <w:r>
          <w:rPr>
            <w:noProof/>
            <w:webHidden/>
          </w:rPr>
          <w:t>4</w:t>
        </w:r>
        <w:r>
          <w:rPr>
            <w:noProof/>
            <w:webHidden/>
          </w:rPr>
          <w:fldChar w:fldCharType="end"/>
        </w:r>
      </w:hyperlink>
    </w:p>
    <w:p w14:paraId="68C1C369" w14:textId="6CA14F71" w:rsidR="00632149" w:rsidRDefault="00632149">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4594205" w:history="1">
        <w:r w:rsidRPr="00B321BE">
          <w:rPr>
            <w:rStyle w:val="Hyperlink"/>
            <w:noProof/>
          </w:rPr>
          <w:t>Victims’ rights under the Human Rights Act</w:t>
        </w:r>
        <w:r>
          <w:rPr>
            <w:noProof/>
            <w:webHidden/>
          </w:rPr>
          <w:tab/>
        </w:r>
        <w:r>
          <w:rPr>
            <w:noProof/>
            <w:webHidden/>
          </w:rPr>
          <w:fldChar w:fldCharType="begin"/>
        </w:r>
        <w:r>
          <w:rPr>
            <w:noProof/>
            <w:webHidden/>
          </w:rPr>
          <w:instrText xml:space="preserve"> PAGEREF _Toc204594205 \h </w:instrText>
        </w:r>
        <w:r>
          <w:rPr>
            <w:noProof/>
            <w:webHidden/>
          </w:rPr>
        </w:r>
        <w:r>
          <w:rPr>
            <w:noProof/>
            <w:webHidden/>
          </w:rPr>
          <w:fldChar w:fldCharType="separate"/>
        </w:r>
        <w:r>
          <w:rPr>
            <w:noProof/>
            <w:webHidden/>
          </w:rPr>
          <w:t>6</w:t>
        </w:r>
        <w:r>
          <w:rPr>
            <w:noProof/>
            <w:webHidden/>
          </w:rPr>
          <w:fldChar w:fldCharType="end"/>
        </w:r>
      </w:hyperlink>
    </w:p>
    <w:p w14:paraId="6C7278AC" w14:textId="370624FB" w:rsidR="00632149" w:rsidRDefault="00632149">
      <w:pPr>
        <w:pStyle w:val="TOC3"/>
        <w:tabs>
          <w:tab w:val="right" w:leader="dot" w:pos="9322"/>
        </w:tabs>
        <w:rPr>
          <w:rFonts w:asciiTheme="minorHAnsi" w:eastAsiaTheme="minorEastAsia" w:hAnsiTheme="minorHAnsi"/>
          <w:noProof/>
          <w:kern w:val="2"/>
          <w:szCs w:val="24"/>
          <w:lang w:eastAsia="en-AU"/>
          <w14:ligatures w14:val="standardContextual"/>
        </w:rPr>
      </w:pPr>
      <w:hyperlink w:anchor="_Toc204594206" w:history="1">
        <w:r w:rsidRPr="00B321BE">
          <w:rPr>
            <w:rStyle w:val="Hyperlink"/>
            <w:noProof/>
          </w:rPr>
          <w:t>Recommendations</w:t>
        </w:r>
        <w:r>
          <w:rPr>
            <w:noProof/>
            <w:webHidden/>
          </w:rPr>
          <w:tab/>
        </w:r>
        <w:r>
          <w:rPr>
            <w:noProof/>
            <w:webHidden/>
          </w:rPr>
          <w:fldChar w:fldCharType="begin"/>
        </w:r>
        <w:r>
          <w:rPr>
            <w:noProof/>
            <w:webHidden/>
          </w:rPr>
          <w:instrText xml:space="preserve"> PAGEREF _Toc204594206 \h </w:instrText>
        </w:r>
        <w:r>
          <w:rPr>
            <w:noProof/>
            <w:webHidden/>
          </w:rPr>
        </w:r>
        <w:r>
          <w:rPr>
            <w:noProof/>
            <w:webHidden/>
          </w:rPr>
          <w:fldChar w:fldCharType="separate"/>
        </w:r>
        <w:r>
          <w:rPr>
            <w:noProof/>
            <w:webHidden/>
          </w:rPr>
          <w:t>8</w:t>
        </w:r>
        <w:r>
          <w:rPr>
            <w:noProof/>
            <w:webHidden/>
          </w:rPr>
          <w:fldChar w:fldCharType="end"/>
        </w:r>
      </w:hyperlink>
    </w:p>
    <w:p w14:paraId="7E8C3D0A" w14:textId="13C94777" w:rsidR="00632149" w:rsidRDefault="00632149">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4594207" w:history="1">
        <w:r w:rsidRPr="00B321BE">
          <w:rPr>
            <w:rStyle w:val="Hyperlink"/>
            <w:noProof/>
          </w:rPr>
          <w:t>Role in upholding prisoners’ rights</w:t>
        </w:r>
        <w:r>
          <w:rPr>
            <w:noProof/>
            <w:webHidden/>
          </w:rPr>
          <w:tab/>
        </w:r>
        <w:r>
          <w:rPr>
            <w:noProof/>
            <w:webHidden/>
          </w:rPr>
          <w:fldChar w:fldCharType="begin"/>
        </w:r>
        <w:r>
          <w:rPr>
            <w:noProof/>
            <w:webHidden/>
          </w:rPr>
          <w:instrText xml:space="preserve"> PAGEREF _Toc204594207 \h </w:instrText>
        </w:r>
        <w:r>
          <w:rPr>
            <w:noProof/>
            <w:webHidden/>
          </w:rPr>
        </w:r>
        <w:r>
          <w:rPr>
            <w:noProof/>
            <w:webHidden/>
          </w:rPr>
          <w:fldChar w:fldCharType="separate"/>
        </w:r>
        <w:r>
          <w:rPr>
            <w:noProof/>
            <w:webHidden/>
          </w:rPr>
          <w:t>8</w:t>
        </w:r>
        <w:r>
          <w:rPr>
            <w:noProof/>
            <w:webHidden/>
          </w:rPr>
          <w:fldChar w:fldCharType="end"/>
        </w:r>
      </w:hyperlink>
    </w:p>
    <w:p w14:paraId="650EB1D3" w14:textId="1A1101DA" w:rsidR="00632149" w:rsidRDefault="00632149">
      <w:pPr>
        <w:pStyle w:val="TOC3"/>
        <w:tabs>
          <w:tab w:val="right" w:leader="dot" w:pos="9322"/>
        </w:tabs>
        <w:rPr>
          <w:rFonts w:asciiTheme="minorHAnsi" w:eastAsiaTheme="minorEastAsia" w:hAnsiTheme="minorHAnsi"/>
          <w:noProof/>
          <w:kern w:val="2"/>
          <w:szCs w:val="24"/>
          <w:lang w:eastAsia="en-AU"/>
          <w14:ligatures w14:val="standardContextual"/>
        </w:rPr>
      </w:pPr>
      <w:hyperlink w:anchor="_Toc204594208" w:history="1">
        <w:r w:rsidRPr="00B321BE">
          <w:rPr>
            <w:rStyle w:val="Hyperlink"/>
            <w:noProof/>
          </w:rPr>
          <w:t>Recommendations</w:t>
        </w:r>
        <w:r>
          <w:rPr>
            <w:noProof/>
            <w:webHidden/>
          </w:rPr>
          <w:tab/>
        </w:r>
        <w:r>
          <w:rPr>
            <w:noProof/>
            <w:webHidden/>
          </w:rPr>
          <w:fldChar w:fldCharType="begin"/>
        </w:r>
        <w:r>
          <w:rPr>
            <w:noProof/>
            <w:webHidden/>
          </w:rPr>
          <w:instrText xml:space="preserve"> PAGEREF _Toc204594208 \h </w:instrText>
        </w:r>
        <w:r>
          <w:rPr>
            <w:noProof/>
            <w:webHidden/>
          </w:rPr>
        </w:r>
        <w:r>
          <w:rPr>
            <w:noProof/>
            <w:webHidden/>
          </w:rPr>
          <w:fldChar w:fldCharType="separate"/>
        </w:r>
        <w:r>
          <w:rPr>
            <w:noProof/>
            <w:webHidden/>
          </w:rPr>
          <w:t>11</w:t>
        </w:r>
        <w:r>
          <w:rPr>
            <w:noProof/>
            <w:webHidden/>
          </w:rPr>
          <w:fldChar w:fldCharType="end"/>
        </w:r>
      </w:hyperlink>
    </w:p>
    <w:p w14:paraId="7FC8DBF7" w14:textId="7D6427DB" w:rsidR="00632149" w:rsidRDefault="00632149">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4594209" w:history="1">
        <w:r w:rsidRPr="00B321BE">
          <w:rPr>
            <w:rStyle w:val="Hyperlink"/>
            <w:noProof/>
          </w:rPr>
          <w:t>Alignment of practice with legislation</w:t>
        </w:r>
        <w:r>
          <w:rPr>
            <w:noProof/>
            <w:webHidden/>
          </w:rPr>
          <w:tab/>
        </w:r>
        <w:r>
          <w:rPr>
            <w:noProof/>
            <w:webHidden/>
          </w:rPr>
          <w:fldChar w:fldCharType="begin"/>
        </w:r>
        <w:r>
          <w:rPr>
            <w:noProof/>
            <w:webHidden/>
          </w:rPr>
          <w:instrText xml:space="preserve"> PAGEREF _Toc204594209 \h </w:instrText>
        </w:r>
        <w:r>
          <w:rPr>
            <w:noProof/>
            <w:webHidden/>
          </w:rPr>
        </w:r>
        <w:r>
          <w:rPr>
            <w:noProof/>
            <w:webHidden/>
          </w:rPr>
          <w:fldChar w:fldCharType="separate"/>
        </w:r>
        <w:r>
          <w:rPr>
            <w:noProof/>
            <w:webHidden/>
          </w:rPr>
          <w:t>11</w:t>
        </w:r>
        <w:r>
          <w:rPr>
            <w:noProof/>
            <w:webHidden/>
          </w:rPr>
          <w:fldChar w:fldCharType="end"/>
        </w:r>
      </w:hyperlink>
    </w:p>
    <w:p w14:paraId="57AB9DA5" w14:textId="4537171B" w:rsidR="00632149" w:rsidRDefault="00632149">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4594210" w:history="1">
        <w:r w:rsidRPr="00B321BE">
          <w:rPr>
            <w:rStyle w:val="Hyperlink"/>
            <w:noProof/>
          </w:rPr>
          <w:t>Human Rights Act: The Board’s past practice</w:t>
        </w:r>
        <w:r>
          <w:rPr>
            <w:noProof/>
            <w:webHidden/>
          </w:rPr>
          <w:tab/>
        </w:r>
        <w:r>
          <w:rPr>
            <w:noProof/>
            <w:webHidden/>
          </w:rPr>
          <w:fldChar w:fldCharType="begin"/>
        </w:r>
        <w:r>
          <w:rPr>
            <w:noProof/>
            <w:webHidden/>
          </w:rPr>
          <w:instrText xml:space="preserve"> PAGEREF _Toc204594210 \h </w:instrText>
        </w:r>
        <w:r>
          <w:rPr>
            <w:noProof/>
            <w:webHidden/>
          </w:rPr>
        </w:r>
        <w:r>
          <w:rPr>
            <w:noProof/>
            <w:webHidden/>
          </w:rPr>
          <w:fldChar w:fldCharType="separate"/>
        </w:r>
        <w:r>
          <w:rPr>
            <w:noProof/>
            <w:webHidden/>
          </w:rPr>
          <w:t>11</w:t>
        </w:r>
        <w:r>
          <w:rPr>
            <w:noProof/>
            <w:webHidden/>
          </w:rPr>
          <w:fldChar w:fldCharType="end"/>
        </w:r>
      </w:hyperlink>
    </w:p>
    <w:p w14:paraId="6DCBBA26" w14:textId="1D35AC7E" w:rsidR="00632149" w:rsidRDefault="00632149">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4594211" w:history="1">
        <w:r w:rsidRPr="00B321BE">
          <w:rPr>
            <w:rStyle w:val="Hyperlink"/>
            <w:noProof/>
          </w:rPr>
          <w:t>Putting human rights at the centre</w:t>
        </w:r>
        <w:r>
          <w:rPr>
            <w:noProof/>
            <w:webHidden/>
          </w:rPr>
          <w:tab/>
        </w:r>
        <w:r>
          <w:rPr>
            <w:noProof/>
            <w:webHidden/>
          </w:rPr>
          <w:fldChar w:fldCharType="begin"/>
        </w:r>
        <w:r>
          <w:rPr>
            <w:noProof/>
            <w:webHidden/>
          </w:rPr>
          <w:instrText xml:space="preserve"> PAGEREF _Toc204594211 \h </w:instrText>
        </w:r>
        <w:r>
          <w:rPr>
            <w:noProof/>
            <w:webHidden/>
          </w:rPr>
        </w:r>
        <w:r>
          <w:rPr>
            <w:noProof/>
            <w:webHidden/>
          </w:rPr>
          <w:fldChar w:fldCharType="separate"/>
        </w:r>
        <w:r>
          <w:rPr>
            <w:noProof/>
            <w:webHidden/>
          </w:rPr>
          <w:t>12</w:t>
        </w:r>
        <w:r>
          <w:rPr>
            <w:noProof/>
            <w:webHidden/>
          </w:rPr>
          <w:fldChar w:fldCharType="end"/>
        </w:r>
      </w:hyperlink>
    </w:p>
    <w:p w14:paraId="3BB143A2" w14:textId="08DED526" w:rsidR="00632149" w:rsidRDefault="00632149">
      <w:pPr>
        <w:pStyle w:val="TOC3"/>
        <w:tabs>
          <w:tab w:val="right" w:leader="dot" w:pos="9322"/>
        </w:tabs>
        <w:rPr>
          <w:rFonts w:asciiTheme="minorHAnsi" w:eastAsiaTheme="minorEastAsia" w:hAnsiTheme="minorHAnsi"/>
          <w:noProof/>
          <w:kern w:val="2"/>
          <w:szCs w:val="24"/>
          <w:lang w:eastAsia="en-AU"/>
          <w14:ligatures w14:val="standardContextual"/>
        </w:rPr>
      </w:pPr>
      <w:hyperlink w:anchor="_Toc204594212" w:history="1">
        <w:r w:rsidRPr="00B321BE">
          <w:rPr>
            <w:rStyle w:val="Hyperlink"/>
            <w:noProof/>
          </w:rPr>
          <w:t>Recommendations</w:t>
        </w:r>
        <w:r>
          <w:rPr>
            <w:noProof/>
            <w:webHidden/>
          </w:rPr>
          <w:tab/>
        </w:r>
        <w:r>
          <w:rPr>
            <w:noProof/>
            <w:webHidden/>
          </w:rPr>
          <w:fldChar w:fldCharType="begin"/>
        </w:r>
        <w:r>
          <w:rPr>
            <w:noProof/>
            <w:webHidden/>
          </w:rPr>
          <w:instrText xml:space="preserve"> PAGEREF _Toc204594212 \h </w:instrText>
        </w:r>
        <w:r>
          <w:rPr>
            <w:noProof/>
            <w:webHidden/>
          </w:rPr>
        </w:r>
        <w:r>
          <w:rPr>
            <w:noProof/>
            <w:webHidden/>
          </w:rPr>
          <w:fldChar w:fldCharType="separate"/>
        </w:r>
        <w:r>
          <w:rPr>
            <w:noProof/>
            <w:webHidden/>
          </w:rPr>
          <w:t>13</w:t>
        </w:r>
        <w:r>
          <w:rPr>
            <w:noProof/>
            <w:webHidden/>
          </w:rPr>
          <w:fldChar w:fldCharType="end"/>
        </w:r>
      </w:hyperlink>
    </w:p>
    <w:p w14:paraId="5240524B" w14:textId="1A7C7333" w:rsidR="00527ECE" w:rsidRDefault="00C50C86" w:rsidP="0070042F">
      <w:pPr>
        <w:pStyle w:val="Bodytextnumbered"/>
        <w:numPr>
          <w:ilvl w:val="0"/>
          <w:numId w:val="0"/>
        </w:numPr>
      </w:pPr>
      <w:r>
        <w:fldChar w:fldCharType="end"/>
      </w:r>
      <w:r w:rsidR="00527ECE">
        <w:br w:type="page"/>
      </w:r>
    </w:p>
    <w:p w14:paraId="08A1E3D3" w14:textId="4F66DDAB" w:rsidR="00527ECE" w:rsidRPr="008D4132" w:rsidRDefault="00D42558" w:rsidP="008D4132">
      <w:pPr>
        <w:pStyle w:val="Heading1"/>
      </w:pPr>
      <w:bookmarkStart w:id="0" w:name="_Toc204594200"/>
      <w:r>
        <w:lastRenderedPageBreak/>
        <w:t>Introduction</w:t>
      </w:r>
      <w:bookmarkEnd w:id="0"/>
    </w:p>
    <w:p w14:paraId="6B8B8BF7" w14:textId="77777777" w:rsidR="00C840C7" w:rsidRPr="00C840C7" w:rsidRDefault="00C840C7" w:rsidP="00D42558">
      <w:pPr>
        <w:pStyle w:val="Bodytextnumbered"/>
      </w:pPr>
      <w:r w:rsidRPr="00C840C7">
        <w:t>The Queensland Human Rights Commission (</w:t>
      </w:r>
      <w:r w:rsidRPr="00C840C7">
        <w:rPr>
          <w:b/>
          <w:bCs/>
        </w:rPr>
        <w:t>the Commission</w:t>
      </w:r>
      <w:r w:rsidRPr="00C840C7">
        <w:t xml:space="preserve">) is an independent statutory body established under the </w:t>
      </w:r>
      <w:r w:rsidRPr="00C840C7">
        <w:rPr>
          <w:i/>
          <w:iCs/>
        </w:rPr>
        <w:t>Anti-Discrimination Act 1991</w:t>
      </w:r>
      <w:r w:rsidRPr="00C840C7">
        <w:t xml:space="preserve">, with functions under that Act and the </w:t>
      </w:r>
      <w:r w:rsidRPr="00C840C7">
        <w:rPr>
          <w:i/>
          <w:iCs/>
        </w:rPr>
        <w:t>Human Rights Act 2019</w:t>
      </w:r>
      <w:r w:rsidRPr="00C840C7">
        <w:t xml:space="preserve"> (</w:t>
      </w:r>
      <w:r w:rsidRPr="00C840C7">
        <w:rPr>
          <w:b/>
          <w:bCs/>
        </w:rPr>
        <w:t>Human Rights Act</w:t>
      </w:r>
      <w:r w:rsidRPr="00C840C7">
        <w:t>) to promote an understanding, acceptance, and public discussion of human rights in Queensland. This submission has been approved by the Queensland Human Rights Commissioner.</w:t>
      </w:r>
    </w:p>
    <w:p w14:paraId="7020D091" w14:textId="02A35C3C" w:rsidR="00D12B6D" w:rsidRDefault="00D42558" w:rsidP="008D4132">
      <w:pPr>
        <w:pStyle w:val="Heading1"/>
      </w:pPr>
      <w:bookmarkStart w:id="1" w:name="_Toc204594201"/>
      <w:r>
        <w:t>Summary</w:t>
      </w:r>
      <w:bookmarkEnd w:id="1"/>
    </w:p>
    <w:p w14:paraId="3E20E7D0" w14:textId="4A381FF7" w:rsidR="00442D85" w:rsidRDefault="00E034A4" w:rsidP="000B10A0">
      <w:pPr>
        <w:pStyle w:val="Bodytextnumbered"/>
      </w:pPr>
      <w:r>
        <w:t xml:space="preserve">This submission focuses on the </w:t>
      </w:r>
      <w:r w:rsidR="00197C05">
        <w:t>relevance</w:t>
      </w:r>
      <w:r w:rsidR="002B058B">
        <w:t xml:space="preserve"> </w:t>
      </w:r>
      <w:r w:rsidR="00197C05">
        <w:t xml:space="preserve">of the Human Rights Act </w:t>
      </w:r>
      <w:r w:rsidR="00AB2D46">
        <w:t xml:space="preserve">to </w:t>
      </w:r>
      <w:proofErr w:type="gramStart"/>
      <w:r w:rsidR="002E4429">
        <w:t>a number of</w:t>
      </w:r>
      <w:proofErr w:type="gramEnd"/>
      <w:r w:rsidR="002E4429">
        <w:t xml:space="preserve"> </w:t>
      </w:r>
      <w:r w:rsidR="00AB2D46">
        <w:t>issues within the</w:t>
      </w:r>
      <w:r w:rsidR="00416542">
        <w:t xml:space="preserve"> Independent Review’s Terms of Reference. </w:t>
      </w:r>
      <w:r w:rsidR="00AB2D46">
        <w:t>These include</w:t>
      </w:r>
      <w:r w:rsidR="008F3243">
        <w:t>:</w:t>
      </w:r>
    </w:p>
    <w:p w14:paraId="51B7CD42" w14:textId="77777777" w:rsidR="000B10A0" w:rsidRDefault="00157097" w:rsidP="0095645C">
      <w:pPr>
        <w:pStyle w:val="Bodybullet"/>
      </w:pPr>
      <w:r>
        <w:t xml:space="preserve">the </w:t>
      </w:r>
      <w:r w:rsidRPr="00983F38">
        <w:t>rights, participation, and treatment of victims within the parole process</w:t>
      </w:r>
    </w:p>
    <w:p w14:paraId="5CF9323E" w14:textId="616ED895" w:rsidR="00157097" w:rsidRDefault="0095645C" w:rsidP="0095645C">
      <w:pPr>
        <w:pStyle w:val="Bodybullet"/>
      </w:pPr>
      <w:r>
        <w:t xml:space="preserve">the </w:t>
      </w:r>
      <w:r w:rsidR="00CC4456">
        <w:t>relationships between</w:t>
      </w:r>
      <w:r w:rsidR="00CD2D59">
        <w:t xml:space="preserve"> </w:t>
      </w:r>
      <w:r>
        <w:t>victims’</w:t>
      </w:r>
      <w:r w:rsidR="00CD2D59">
        <w:t xml:space="preserve"> rights</w:t>
      </w:r>
      <w:r w:rsidR="00CC4456">
        <w:t xml:space="preserve"> and</w:t>
      </w:r>
      <w:r w:rsidR="00CD2D59">
        <w:t xml:space="preserve"> </w:t>
      </w:r>
      <w:r w:rsidR="00442D85">
        <w:t>rights of prisoners and members of the broader community</w:t>
      </w:r>
    </w:p>
    <w:p w14:paraId="34780C27" w14:textId="115E536E" w:rsidR="008F3243" w:rsidRDefault="008F3243" w:rsidP="00157097">
      <w:pPr>
        <w:pStyle w:val="Bodybullet"/>
      </w:pPr>
      <w:r>
        <w:t xml:space="preserve">the alignment of the Parole Board’s operations with legislation, </w:t>
      </w:r>
      <w:r w:rsidR="0057379F">
        <w:t>including the Human Rights Act.</w:t>
      </w:r>
    </w:p>
    <w:p w14:paraId="5B7CA8BE" w14:textId="751F834E" w:rsidR="00994AAA" w:rsidRPr="00994AAA" w:rsidRDefault="00577959" w:rsidP="00994AAA">
      <w:pPr>
        <w:pStyle w:val="Bodytextnumbered"/>
      </w:pPr>
      <w:r>
        <w:t>The Parole Board</w:t>
      </w:r>
      <w:r w:rsidR="002B058B">
        <w:t>’s role</w:t>
      </w:r>
      <w:r>
        <w:t xml:space="preserve"> is</w:t>
      </w:r>
      <w:r w:rsidR="007E1C1E">
        <w:t xml:space="preserve"> critical </w:t>
      </w:r>
      <w:r w:rsidR="00994AAA" w:rsidRPr="00994AAA">
        <w:t xml:space="preserve">within Queensland’s criminal justice system. </w:t>
      </w:r>
      <w:r w:rsidR="007E1C1E">
        <w:t>It</w:t>
      </w:r>
      <w:r w:rsidR="00994AAA" w:rsidRPr="00994AAA">
        <w:t xml:space="preserve"> is not merely an administrative mechanism for prisoner release—</w:t>
      </w:r>
      <w:r w:rsidR="00F9297B">
        <w:t xml:space="preserve">rather </w:t>
      </w:r>
      <w:r w:rsidR="00126B86">
        <w:t>a</w:t>
      </w:r>
      <w:r w:rsidR="00994AAA" w:rsidRPr="00994AAA">
        <w:t xml:space="preserve"> fundamental </w:t>
      </w:r>
      <w:r w:rsidR="00AD5A7C">
        <w:t>element</w:t>
      </w:r>
      <w:r w:rsidR="00994AAA" w:rsidRPr="00994AAA">
        <w:t xml:space="preserve"> support</w:t>
      </w:r>
      <w:r w:rsidR="00126B86">
        <w:t>ing</w:t>
      </w:r>
      <w:r w:rsidR="00994AAA" w:rsidRPr="00994AAA">
        <w:t xml:space="preserve"> rehabilitation, manag</w:t>
      </w:r>
      <w:r w:rsidR="00126B86">
        <w:t>ing</w:t>
      </w:r>
      <w:r w:rsidR="00994AAA" w:rsidRPr="00994AAA">
        <w:t xml:space="preserve"> risk, and contribut</w:t>
      </w:r>
      <w:r w:rsidR="00126B86">
        <w:t>ing</w:t>
      </w:r>
      <w:r w:rsidR="00994AAA" w:rsidRPr="00994AAA">
        <w:t xml:space="preserve"> to safer communities.</w:t>
      </w:r>
      <w:r w:rsidR="00271F58">
        <w:rPr>
          <w:rStyle w:val="FootnoteReference"/>
        </w:rPr>
        <w:footnoteReference w:id="1"/>
      </w:r>
      <w:r w:rsidR="00126B86" w:rsidRPr="00126B86">
        <w:t xml:space="preserve"> </w:t>
      </w:r>
      <w:r w:rsidR="00AE6E35">
        <w:t>T</w:t>
      </w:r>
      <w:r w:rsidR="00126B86" w:rsidRPr="00994AAA">
        <w:t>he parole system</w:t>
      </w:r>
      <w:r w:rsidR="00F33053" w:rsidDel="00F13C28">
        <w:t xml:space="preserve"> </w:t>
      </w:r>
      <w:r w:rsidR="00F13C28">
        <w:t xml:space="preserve">must </w:t>
      </w:r>
      <w:r w:rsidR="00126B86" w:rsidRPr="00994AAA">
        <w:t>uphold victims’ rights to safety and participation, respect prisoners’ rights to liberty and humane treatment, and enhance public safety through structured</w:t>
      </w:r>
      <w:r w:rsidR="003C273F">
        <w:t xml:space="preserve"> rehabilitation and</w:t>
      </w:r>
      <w:r w:rsidR="00126B86" w:rsidRPr="00994AAA">
        <w:t xml:space="preserve"> reintegration.</w:t>
      </w:r>
      <w:r w:rsidR="00EA5619">
        <w:t xml:space="preserve"> </w:t>
      </w:r>
      <w:r w:rsidR="00CC269A">
        <w:t>T</w:t>
      </w:r>
      <w:r w:rsidR="00EA5619">
        <w:t>he rights and interests of victims, the prisoner</w:t>
      </w:r>
      <w:r w:rsidR="004C65AA">
        <w:t>,</w:t>
      </w:r>
      <w:r w:rsidR="00EA5619">
        <w:t xml:space="preserve"> and the community </w:t>
      </w:r>
      <w:r w:rsidR="004C65AA">
        <w:t>are complementary rather than competing.</w:t>
      </w:r>
    </w:p>
    <w:p w14:paraId="342CB0ED" w14:textId="11B71899" w:rsidR="000F13ED" w:rsidRPr="00994AAA" w:rsidRDefault="000F13ED" w:rsidP="000F13ED">
      <w:pPr>
        <w:pStyle w:val="Bodytextnumbered"/>
      </w:pPr>
      <w:r w:rsidRPr="00994AAA">
        <w:t xml:space="preserve">The Human Rights Act offers a </w:t>
      </w:r>
      <w:r>
        <w:t xml:space="preserve">binding and </w:t>
      </w:r>
      <w:r w:rsidRPr="00994AAA">
        <w:t>valuable</w:t>
      </w:r>
      <w:r>
        <w:t>,</w:t>
      </w:r>
      <w:r w:rsidRPr="00994AAA">
        <w:t xml:space="preserve"> framework for </w:t>
      </w:r>
      <w:r>
        <w:t>managing the overlapping and intersecting rights and interests at play</w:t>
      </w:r>
      <w:r w:rsidRPr="00994AAA">
        <w:t>. It encourages transparent, reasoned decision-making that takes full account of the individual circumstances of each case</w:t>
      </w:r>
      <w:r w:rsidR="00E559CB">
        <w:t xml:space="preserve"> </w:t>
      </w:r>
      <w:r w:rsidR="00BA6540">
        <w:t>to</w:t>
      </w:r>
      <w:r>
        <w:t xml:space="preserve"> best promote the rights of all.</w:t>
      </w:r>
    </w:p>
    <w:p w14:paraId="02BDF6DD" w14:textId="3463277E" w:rsidR="007645C9" w:rsidRDefault="00824B4C" w:rsidP="007952BA">
      <w:pPr>
        <w:pStyle w:val="Heading1"/>
      </w:pPr>
      <w:bookmarkStart w:id="2" w:name="_Toc204594202"/>
      <w:r>
        <w:t>Parole</w:t>
      </w:r>
      <w:r w:rsidR="008508DE">
        <w:t>,</w:t>
      </w:r>
      <w:r w:rsidR="00474440">
        <w:t xml:space="preserve"> community safety</w:t>
      </w:r>
      <w:r w:rsidR="008508DE">
        <w:t xml:space="preserve"> </w:t>
      </w:r>
      <w:r w:rsidR="00BD03A4">
        <w:t>&amp;</w:t>
      </w:r>
      <w:r w:rsidR="00354E59">
        <w:t xml:space="preserve"> </w:t>
      </w:r>
      <w:r w:rsidR="00B37E8E">
        <w:t>rehabilitation</w:t>
      </w:r>
      <w:bookmarkEnd w:id="2"/>
    </w:p>
    <w:p w14:paraId="4990B715" w14:textId="22F29BA9" w:rsidR="00BD712E" w:rsidRDefault="00BD712E" w:rsidP="00BD712E">
      <w:pPr>
        <w:pStyle w:val="Bodytextnumbered"/>
        <w:rPr>
          <w:lang w:eastAsia="en-AU"/>
        </w:rPr>
      </w:pPr>
      <w:r>
        <w:t>The purpose of corrective services</w:t>
      </w:r>
      <w:r w:rsidR="002927DE">
        <w:t xml:space="preserve"> in Queensland</w:t>
      </w:r>
      <w:r>
        <w:t xml:space="preserve"> is ‘</w:t>
      </w:r>
      <w:r w:rsidRPr="00BD712E">
        <w:rPr>
          <w:lang w:eastAsia="en-AU"/>
        </w:rPr>
        <w:t>community safety and crime prevention through the humane containment, supervision and rehabilitation of offenders</w:t>
      </w:r>
      <w:r w:rsidR="002927DE">
        <w:rPr>
          <w:lang w:eastAsia="en-AU"/>
        </w:rPr>
        <w:t>’</w:t>
      </w:r>
      <w:r w:rsidRPr="00BD712E">
        <w:rPr>
          <w:lang w:eastAsia="en-AU"/>
        </w:rPr>
        <w:t>.</w:t>
      </w:r>
      <w:r w:rsidR="002927DE">
        <w:rPr>
          <w:rStyle w:val="FootnoteReference"/>
          <w:lang w:eastAsia="en-AU"/>
        </w:rPr>
        <w:footnoteReference w:id="2"/>
      </w:r>
      <w:r w:rsidR="00847BFC">
        <w:rPr>
          <w:lang w:eastAsia="en-AU"/>
        </w:rPr>
        <w:t xml:space="preserve"> </w:t>
      </w:r>
      <w:r w:rsidR="00E001F1">
        <w:rPr>
          <w:lang w:eastAsia="en-AU"/>
        </w:rPr>
        <w:t xml:space="preserve"> The parole</w:t>
      </w:r>
      <w:r w:rsidR="00BD07C7">
        <w:rPr>
          <w:lang w:eastAsia="en-AU"/>
        </w:rPr>
        <w:t xml:space="preserve"> system</w:t>
      </w:r>
      <w:r w:rsidR="00E001F1">
        <w:rPr>
          <w:lang w:eastAsia="en-AU"/>
        </w:rPr>
        <w:t xml:space="preserve"> plays a crucial role in achieving these aims.</w:t>
      </w:r>
    </w:p>
    <w:p w14:paraId="15BD6431" w14:textId="2B5D83BE" w:rsidR="00D47CC3" w:rsidRDefault="005F2851" w:rsidP="00A04B9C">
      <w:pPr>
        <w:pStyle w:val="Bodytextnumbered"/>
        <w:rPr>
          <w:lang w:eastAsia="en-AU"/>
        </w:rPr>
      </w:pPr>
      <w:r>
        <w:rPr>
          <w:lang w:eastAsia="en-AU"/>
        </w:rPr>
        <w:lastRenderedPageBreak/>
        <w:t xml:space="preserve">Parole is continuation of a person’s sentence in the community, under supervision. </w:t>
      </w:r>
      <w:r w:rsidR="00E001F1">
        <w:rPr>
          <w:lang w:eastAsia="en-AU"/>
        </w:rPr>
        <w:t xml:space="preserve">As </w:t>
      </w:r>
      <w:r w:rsidR="00BD3194">
        <w:rPr>
          <w:lang w:eastAsia="en-AU"/>
        </w:rPr>
        <w:t xml:space="preserve">the Ministerial </w:t>
      </w:r>
      <w:r w:rsidR="00847BFC">
        <w:rPr>
          <w:lang w:eastAsia="en-AU"/>
        </w:rPr>
        <w:t>Guidelines</w:t>
      </w:r>
      <w:r w:rsidR="00BD3194">
        <w:rPr>
          <w:lang w:eastAsia="en-AU"/>
        </w:rPr>
        <w:t xml:space="preserve"> recognise</w:t>
      </w:r>
      <w:r w:rsidR="00E001F1">
        <w:rPr>
          <w:lang w:eastAsia="en-AU"/>
        </w:rPr>
        <w:t xml:space="preserve">, </w:t>
      </w:r>
      <w:r w:rsidR="00466861">
        <w:rPr>
          <w:lang w:eastAsia="en-AU"/>
        </w:rPr>
        <w:t xml:space="preserve">the </w:t>
      </w:r>
      <w:r w:rsidR="008869DC">
        <w:rPr>
          <w:lang w:eastAsia="en-AU"/>
        </w:rPr>
        <w:t xml:space="preserve">only </w:t>
      </w:r>
      <w:r w:rsidR="00466861">
        <w:rPr>
          <w:lang w:eastAsia="en-AU"/>
        </w:rPr>
        <w:t xml:space="preserve">purpose of </w:t>
      </w:r>
      <w:r w:rsidR="00CC1855">
        <w:rPr>
          <w:lang w:eastAsia="en-AU"/>
        </w:rPr>
        <w:t>parole is to ‘</w:t>
      </w:r>
      <w:r w:rsidR="00CC1855" w:rsidRPr="00CC1855">
        <w:rPr>
          <w:lang w:eastAsia="en-AU"/>
        </w:rPr>
        <w:t>reintegrate a prisoner into the community before the end of a prison sentence to decrease the chance that the prisoner will ever reoffend</w:t>
      </w:r>
      <w:r w:rsidR="00CC1855">
        <w:rPr>
          <w:lang w:eastAsia="en-AU"/>
        </w:rPr>
        <w:t>’.</w:t>
      </w:r>
      <w:r w:rsidR="000D173E">
        <w:rPr>
          <w:rStyle w:val="FootnoteReference"/>
          <w:lang w:eastAsia="en-AU"/>
        </w:rPr>
        <w:footnoteReference w:id="3"/>
      </w:r>
      <w:r w:rsidR="00CC1855">
        <w:rPr>
          <w:lang w:eastAsia="en-AU"/>
        </w:rPr>
        <w:t xml:space="preserve"> </w:t>
      </w:r>
      <w:r w:rsidR="002D63E6">
        <w:rPr>
          <w:lang w:eastAsia="en-AU"/>
        </w:rPr>
        <w:t xml:space="preserve"> Community safety is at the heart of the </w:t>
      </w:r>
      <w:r w:rsidR="00886C0E">
        <w:rPr>
          <w:lang w:eastAsia="en-AU"/>
        </w:rPr>
        <w:t xml:space="preserve">parole </w:t>
      </w:r>
      <w:r w:rsidR="002D63E6">
        <w:rPr>
          <w:lang w:eastAsia="en-AU"/>
        </w:rPr>
        <w:t>system. In this, t</w:t>
      </w:r>
      <w:r w:rsidR="00A04B9C">
        <w:rPr>
          <w:lang w:eastAsia="en-AU"/>
        </w:rPr>
        <w:t>he</w:t>
      </w:r>
      <w:r w:rsidR="0033512C">
        <w:rPr>
          <w:lang w:eastAsia="en-AU"/>
        </w:rPr>
        <w:t xml:space="preserve"> rights and</w:t>
      </w:r>
      <w:r w:rsidR="00924B78">
        <w:rPr>
          <w:lang w:eastAsia="en-AU"/>
        </w:rPr>
        <w:t xml:space="preserve"> </w:t>
      </w:r>
      <w:r w:rsidR="001943B6">
        <w:rPr>
          <w:lang w:eastAsia="en-AU"/>
        </w:rPr>
        <w:t>interests of the community and the prisoner</w:t>
      </w:r>
      <w:r w:rsidR="00670794">
        <w:rPr>
          <w:lang w:eastAsia="en-AU"/>
        </w:rPr>
        <w:t xml:space="preserve"> </w:t>
      </w:r>
      <w:r w:rsidR="00F433FE">
        <w:rPr>
          <w:lang w:eastAsia="en-AU"/>
        </w:rPr>
        <w:t>align</w:t>
      </w:r>
      <w:r w:rsidR="0064781E">
        <w:rPr>
          <w:lang w:eastAsia="en-AU"/>
        </w:rPr>
        <w:t xml:space="preserve">. The 2016 </w:t>
      </w:r>
      <w:r w:rsidR="0068132E">
        <w:rPr>
          <w:lang w:eastAsia="en-AU"/>
        </w:rPr>
        <w:t>Queensland</w:t>
      </w:r>
      <w:r w:rsidR="0064781E">
        <w:rPr>
          <w:lang w:eastAsia="en-AU"/>
        </w:rPr>
        <w:t xml:space="preserve"> Parole System </w:t>
      </w:r>
      <w:r w:rsidR="0068132E">
        <w:rPr>
          <w:lang w:eastAsia="en-AU"/>
        </w:rPr>
        <w:t>Review</w:t>
      </w:r>
      <w:r w:rsidR="0064781E">
        <w:rPr>
          <w:lang w:eastAsia="en-AU"/>
        </w:rPr>
        <w:t xml:space="preserve"> recognised this, finding that:</w:t>
      </w:r>
    </w:p>
    <w:p w14:paraId="68839436" w14:textId="75E5F46C" w:rsidR="00BD712E" w:rsidRPr="009620C7" w:rsidRDefault="00574EF5" w:rsidP="009365D3">
      <w:pPr>
        <w:pStyle w:val="Quote"/>
        <w:ind w:left="1440"/>
        <w:rPr>
          <w:i w:val="0"/>
          <w:iCs w:val="0"/>
          <w:sz w:val="20"/>
          <w:szCs w:val="20"/>
          <w:lang w:eastAsia="en-AU"/>
        </w:rPr>
      </w:pPr>
      <w:r w:rsidRPr="00425863">
        <w:rPr>
          <w:i w:val="0"/>
          <w:iCs w:val="0"/>
          <w:sz w:val="20"/>
          <w:szCs w:val="20"/>
          <w:lang w:eastAsia="en-AU"/>
        </w:rPr>
        <w:t xml:space="preserve">From the perspective of the prisoner and those concerned with the interests of prisoners, </w:t>
      </w:r>
      <w:r w:rsidR="005A37D4" w:rsidRPr="00425863">
        <w:rPr>
          <w:i w:val="0"/>
          <w:iCs w:val="0"/>
          <w:sz w:val="20"/>
          <w:szCs w:val="20"/>
          <w:lang w:eastAsia="en-AU"/>
        </w:rPr>
        <w:t>… [t]</w:t>
      </w:r>
      <w:r w:rsidRPr="00425863">
        <w:rPr>
          <w:i w:val="0"/>
          <w:iCs w:val="0"/>
          <w:sz w:val="20"/>
          <w:szCs w:val="20"/>
          <w:lang w:eastAsia="en-AU"/>
        </w:rPr>
        <w:t xml:space="preserve">he question is whether an element of parole is or is not effective in supporting and guiding the prisoner to a better way of life. For the rest of us, the relevant criterion is </w:t>
      </w:r>
      <w:proofErr w:type="gramStart"/>
      <w:r w:rsidRPr="00425863">
        <w:rPr>
          <w:i w:val="0"/>
          <w:iCs w:val="0"/>
          <w:sz w:val="20"/>
          <w:szCs w:val="20"/>
          <w:lang w:eastAsia="en-AU"/>
        </w:rPr>
        <w:t>whether or not</w:t>
      </w:r>
      <w:proofErr w:type="gramEnd"/>
      <w:r w:rsidRPr="00425863">
        <w:rPr>
          <w:i w:val="0"/>
          <w:iCs w:val="0"/>
          <w:sz w:val="20"/>
          <w:szCs w:val="20"/>
          <w:lang w:eastAsia="en-AU"/>
        </w:rPr>
        <w:t xml:space="preserve"> parole is effective to keep the community safe from the prisoner’s re</w:t>
      </w:r>
      <w:r w:rsidRPr="00425863">
        <w:rPr>
          <w:rFonts w:ascii="Cambria Math" w:hAnsi="Cambria Math" w:cs="Cambria Math"/>
          <w:i w:val="0"/>
          <w:iCs w:val="0"/>
          <w:sz w:val="20"/>
          <w:szCs w:val="20"/>
          <w:lang w:eastAsia="en-AU"/>
        </w:rPr>
        <w:t>‐</w:t>
      </w:r>
      <w:r w:rsidRPr="00425863">
        <w:rPr>
          <w:i w:val="0"/>
          <w:iCs w:val="0"/>
          <w:sz w:val="20"/>
          <w:szCs w:val="20"/>
          <w:lang w:eastAsia="en-AU"/>
        </w:rPr>
        <w:t>offending. My investigation has demonstrated to me that it makes no difference which point of view is taken. That which best serves community safety is also in the best interests of the prisone</w:t>
      </w:r>
      <w:r w:rsidR="004A1B2F" w:rsidRPr="00425863">
        <w:rPr>
          <w:i w:val="0"/>
          <w:iCs w:val="0"/>
          <w:sz w:val="20"/>
          <w:szCs w:val="20"/>
          <w:lang w:eastAsia="en-AU"/>
        </w:rPr>
        <w:t>r.</w:t>
      </w:r>
      <w:r w:rsidR="004A1B2F" w:rsidRPr="00425863">
        <w:rPr>
          <w:rStyle w:val="FootnoteReference"/>
          <w:i w:val="0"/>
          <w:iCs w:val="0"/>
          <w:sz w:val="20"/>
          <w:szCs w:val="20"/>
          <w:lang w:eastAsia="en-AU"/>
        </w:rPr>
        <w:footnoteReference w:id="4"/>
      </w:r>
    </w:p>
    <w:p w14:paraId="5EBB4465" w14:textId="7936A522" w:rsidR="003764A2" w:rsidRDefault="003764A2" w:rsidP="001B7FB1">
      <w:pPr>
        <w:pStyle w:val="Bodytextnumbered"/>
      </w:pPr>
      <w:r w:rsidRPr="00AE193A">
        <w:t>T</w:t>
      </w:r>
      <w:r w:rsidR="001B7FB1">
        <w:t xml:space="preserve">his </w:t>
      </w:r>
      <w:r w:rsidR="00FB71E7">
        <w:t>also</w:t>
      </w:r>
      <w:r w:rsidR="001B7FB1">
        <w:t xml:space="preserve"> aligns with the rights</w:t>
      </w:r>
      <w:r w:rsidR="00B80B30">
        <w:t xml:space="preserve"> and interests</w:t>
      </w:r>
      <w:r w:rsidR="001B7FB1">
        <w:t xml:space="preserve"> of victims</w:t>
      </w:r>
      <w:r w:rsidR="00C77F6C">
        <w:t xml:space="preserve"> discussed further below</w:t>
      </w:r>
      <w:r w:rsidR="001B7FB1">
        <w:t>. In the context of parole,</w:t>
      </w:r>
      <w:r w:rsidR="0033512C">
        <w:t xml:space="preserve"> like other aspects of the criminal justice system,</w:t>
      </w:r>
      <w:r w:rsidR="001B7FB1">
        <w:t xml:space="preserve"> the</w:t>
      </w:r>
      <w:r w:rsidR="00B80B30">
        <w:t xml:space="preserve"> legitimate</w:t>
      </w:r>
      <w:r w:rsidR="001B7FB1">
        <w:t xml:space="preserve"> rights of the community, victims, and prisoners</w:t>
      </w:r>
      <w:r w:rsidR="00B80B30">
        <w:t xml:space="preserve"> </w:t>
      </w:r>
      <w:r w:rsidR="001B7FB1">
        <w:t>are complementary</w:t>
      </w:r>
      <w:r w:rsidR="0033512C">
        <w:t xml:space="preserve"> rather than competing</w:t>
      </w:r>
      <w:r w:rsidR="001B7FB1">
        <w:t>.</w:t>
      </w:r>
      <w:r w:rsidR="001B7FB1" w:rsidRPr="00AE193A">
        <w:rPr>
          <w:vertAlign w:val="superscript"/>
        </w:rPr>
        <w:footnoteReference w:id="5"/>
      </w:r>
      <w:r w:rsidR="001B7FB1">
        <w:t xml:space="preserve"> </w:t>
      </w:r>
      <w:r w:rsidRPr="00AE193A">
        <w:t xml:space="preserve"> </w:t>
      </w:r>
    </w:p>
    <w:p w14:paraId="7975E5FA" w14:textId="773BAE74" w:rsidR="00755E32" w:rsidRDefault="00755E32" w:rsidP="007952BA">
      <w:pPr>
        <w:pStyle w:val="Heading1"/>
      </w:pPr>
      <w:bookmarkStart w:id="3" w:name="_Toc204594203"/>
      <w:r>
        <w:t xml:space="preserve">Rights, participation </w:t>
      </w:r>
      <w:r w:rsidR="00354E59">
        <w:t>&amp;</w:t>
      </w:r>
      <w:r>
        <w:t xml:space="preserve"> treatment of victims</w:t>
      </w:r>
      <w:bookmarkEnd w:id="3"/>
    </w:p>
    <w:p w14:paraId="52EA2647" w14:textId="7688CEE4" w:rsidR="00242AE3" w:rsidRDefault="003B6076" w:rsidP="00755E32">
      <w:pPr>
        <w:pStyle w:val="Heading2"/>
      </w:pPr>
      <w:bookmarkStart w:id="4" w:name="_Toc204594204"/>
      <w:r>
        <w:t xml:space="preserve">The </w:t>
      </w:r>
      <w:r w:rsidR="006708C8">
        <w:t>Human Rights Act</w:t>
      </w:r>
      <w:r>
        <w:t xml:space="preserve"> framework</w:t>
      </w:r>
      <w:bookmarkEnd w:id="4"/>
    </w:p>
    <w:p w14:paraId="7F6B19CE" w14:textId="39EB388F" w:rsidR="00CB20C2" w:rsidRPr="00BA767A" w:rsidRDefault="00CB20C2" w:rsidP="00D411D3">
      <w:pPr>
        <w:pStyle w:val="Bodytextnumbered"/>
      </w:pPr>
      <w:r w:rsidRPr="00BA767A">
        <w:t xml:space="preserve">The </w:t>
      </w:r>
      <w:r w:rsidR="00D34DF0">
        <w:t>Human Rights Act</w:t>
      </w:r>
      <w:r w:rsidRPr="00BA767A">
        <w:t xml:space="preserve"> imposes clear obligations on public entities, including statutory bodies such as the Parole Board </w:t>
      </w:r>
      <w:r w:rsidRPr="00BA767A" w:rsidDel="005A58C3">
        <w:t>Queensland</w:t>
      </w:r>
      <w:r w:rsidR="00D34DF0" w:rsidDel="005A58C3">
        <w:t xml:space="preserve">, </w:t>
      </w:r>
      <w:r w:rsidR="005A58C3">
        <w:t>its</w:t>
      </w:r>
      <w:r w:rsidR="00D34DF0">
        <w:t xml:space="preserve"> members and staff</w:t>
      </w:r>
      <w:r w:rsidRPr="00BA767A">
        <w:t>.</w:t>
      </w:r>
      <w:r>
        <w:rPr>
          <w:rStyle w:val="FootnoteReference"/>
        </w:rPr>
        <w:footnoteReference w:id="6"/>
      </w:r>
      <w:r w:rsidRPr="00BA767A">
        <w:t xml:space="preserve"> As a public entity for the purposes of the Act, the </w:t>
      </w:r>
      <w:r>
        <w:t xml:space="preserve">Parole </w:t>
      </w:r>
      <w:r w:rsidRPr="00BA767A">
        <w:t xml:space="preserve">Board is required to ensure that its actions and decisions are </w:t>
      </w:r>
      <w:r w:rsidR="006133B0">
        <w:t>compatible</w:t>
      </w:r>
      <w:r w:rsidR="006133B0" w:rsidRPr="00BA767A">
        <w:t xml:space="preserve"> </w:t>
      </w:r>
      <w:r w:rsidRPr="00BA767A">
        <w:t>with human rights standards.</w:t>
      </w:r>
    </w:p>
    <w:p w14:paraId="4AC9DE02" w14:textId="51CAEA4E" w:rsidR="00CB20C2" w:rsidRPr="00BA767A" w:rsidRDefault="00CB20C2" w:rsidP="00D411D3">
      <w:pPr>
        <w:pStyle w:val="Bodytextnumbered"/>
      </w:pPr>
      <w:r w:rsidRPr="00BA767A">
        <w:t xml:space="preserve">Section 58(1)(a) of the Act imposes a </w:t>
      </w:r>
      <w:r w:rsidRPr="00BA767A">
        <w:rPr>
          <w:i/>
          <w:iCs/>
        </w:rPr>
        <w:t>substantive obligation</w:t>
      </w:r>
      <w:r w:rsidRPr="00BA767A">
        <w:t xml:space="preserve"> on public entities to act and make decisions </w:t>
      </w:r>
      <w:r w:rsidR="00114642">
        <w:t>that are</w:t>
      </w:r>
      <w:r w:rsidRPr="00BA767A">
        <w:t xml:space="preserve"> compatible with human rights.</w:t>
      </w:r>
      <w:r>
        <w:rPr>
          <w:rStyle w:val="FootnoteReference"/>
        </w:rPr>
        <w:footnoteReference w:id="7"/>
      </w:r>
    </w:p>
    <w:p w14:paraId="3D56DB67" w14:textId="305DB049" w:rsidR="00CB20C2" w:rsidRPr="00BA767A" w:rsidRDefault="00CB20C2" w:rsidP="00D411D3">
      <w:pPr>
        <w:pStyle w:val="Bodytextnumbered"/>
      </w:pPr>
      <w:r w:rsidRPr="00BA767A">
        <w:t xml:space="preserve">In parallel, section 58(1)(b) establishes a </w:t>
      </w:r>
      <w:r w:rsidRPr="00BA767A">
        <w:rPr>
          <w:i/>
          <w:iCs/>
        </w:rPr>
        <w:t>procedural obligation</w:t>
      </w:r>
      <w:r w:rsidRPr="00BA767A">
        <w:t xml:space="preserve">, requiring public entities to </w:t>
      </w:r>
      <w:proofErr w:type="gramStart"/>
      <w:r w:rsidRPr="00BA767A">
        <w:t xml:space="preserve">give proper </w:t>
      </w:r>
      <w:r w:rsidRPr="00D411D3">
        <w:t>consideration</w:t>
      </w:r>
      <w:r w:rsidRPr="00BA767A">
        <w:t xml:space="preserve"> to</w:t>
      </w:r>
      <w:proofErr w:type="gramEnd"/>
      <w:r w:rsidRPr="00BA767A">
        <w:t xml:space="preserve"> relevant human rights when making decisions.</w:t>
      </w:r>
      <w:r>
        <w:rPr>
          <w:rStyle w:val="FootnoteReference"/>
        </w:rPr>
        <w:footnoteReference w:id="8"/>
      </w:r>
      <w:r w:rsidRPr="00BA767A">
        <w:t xml:space="preserve"> Section 58(5) clarifies that </w:t>
      </w:r>
      <w:r w:rsidR="00FB71E7">
        <w:t>proper consideration</w:t>
      </w:r>
      <w:r w:rsidRPr="00BA767A">
        <w:t xml:space="preserve"> includes, but is not limited to, identifying which human rights may be affected and assessing whether the decision is compatible with those rights.</w:t>
      </w:r>
      <w:r>
        <w:rPr>
          <w:rStyle w:val="FootnoteReference"/>
        </w:rPr>
        <w:footnoteReference w:id="9"/>
      </w:r>
    </w:p>
    <w:p w14:paraId="0728BBF7" w14:textId="77777777" w:rsidR="00F734AB" w:rsidRDefault="00F734AB" w:rsidP="00F734AB">
      <w:pPr>
        <w:pStyle w:val="Bodytextnumbered"/>
      </w:pPr>
      <w:r>
        <w:lastRenderedPageBreak/>
        <w:t>An act or decision is compatible with human rights if it does not limit a right, or only limits rights to the extent that is reasonable and demonstrably justifiable in a free and democratic society based on human dignity, equality an</w:t>
      </w:r>
      <w:r w:rsidRPr="00587AEA">
        <w:t>d freedom</w:t>
      </w:r>
      <w:r>
        <w:t>.</w:t>
      </w:r>
      <w:r>
        <w:rPr>
          <w:rStyle w:val="FootnoteReference"/>
        </w:rPr>
        <w:footnoteReference w:id="10"/>
      </w:r>
    </w:p>
    <w:p w14:paraId="60AED778" w14:textId="77777777" w:rsidR="002051FD" w:rsidRPr="00763DEE" w:rsidRDefault="002051FD" w:rsidP="004F2648">
      <w:pPr>
        <w:pStyle w:val="Bodytextnumbered"/>
      </w:pPr>
      <w:bookmarkStart w:id="5" w:name="_Ref204367620"/>
      <w:r w:rsidRPr="00763DEE">
        <w:t>Sub-section 13(2) provides a list of factors that may be relevant to the assessment of whether a limitation on a human right is justified. The factors listed ‘generally align’ with the principle of proportionality.</w:t>
      </w:r>
      <w:r w:rsidRPr="00763DEE">
        <w:rPr>
          <w:rStyle w:val="FootnoteReference"/>
          <w:color w:val="000000" w:themeColor="text1"/>
        </w:rPr>
        <w:footnoteReference w:id="11"/>
      </w:r>
      <w:r w:rsidRPr="00763DEE">
        <w:t xml:space="preserve"> They are:</w:t>
      </w:r>
      <w:bookmarkEnd w:id="5"/>
    </w:p>
    <w:p w14:paraId="2E8CF6BA" w14:textId="5AD16579" w:rsidR="002051FD" w:rsidRPr="00763DEE" w:rsidRDefault="002051FD" w:rsidP="00134C45">
      <w:pPr>
        <w:pStyle w:val="Bodytextnumberedlevel2"/>
        <w:ind w:hanging="425"/>
      </w:pPr>
      <w:r w:rsidRPr="00763DEE">
        <w:t xml:space="preserve">the nature of the human </w:t>
      </w:r>
      <w:proofErr w:type="gramStart"/>
      <w:r w:rsidRPr="00763DEE">
        <w:t>right;</w:t>
      </w:r>
      <w:proofErr w:type="gramEnd"/>
    </w:p>
    <w:p w14:paraId="70E21921" w14:textId="2E2EBC88" w:rsidR="002051FD" w:rsidRPr="00763DEE" w:rsidRDefault="002051FD" w:rsidP="00134C45">
      <w:pPr>
        <w:pStyle w:val="Bodytextnumberedlevel2"/>
        <w:ind w:hanging="425"/>
      </w:pPr>
      <w:r w:rsidRPr="00763DEE">
        <w:t xml:space="preserve">the nature of the purpose of the limitation, including whether it is consistent with a free and democratic society based on human dignity, equality and </w:t>
      </w:r>
      <w:proofErr w:type="gramStart"/>
      <w:r w:rsidRPr="00763DEE">
        <w:t>freedom;</w:t>
      </w:r>
      <w:proofErr w:type="gramEnd"/>
    </w:p>
    <w:p w14:paraId="2CEB05D8" w14:textId="5203849F" w:rsidR="002051FD" w:rsidRPr="00763DEE" w:rsidRDefault="002051FD" w:rsidP="00134C45">
      <w:pPr>
        <w:pStyle w:val="Bodytextnumberedlevel2"/>
        <w:ind w:hanging="425"/>
      </w:pPr>
      <w:r w:rsidRPr="00763DEE">
        <w:t xml:space="preserve">the relationship between the limitation and its purpose, including whether the limitation helps to achieve the </w:t>
      </w:r>
      <w:proofErr w:type="gramStart"/>
      <w:r w:rsidRPr="00763DEE">
        <w:t>purpose;</w:t>
      </w:r>
      <w:proofErr w:type="gramEnd"/>
    </w:p>
    <w:p w14:paraId="4F4BF6E0" w14:textId="6C03B215" w:rsidR="002051FD" w:rsidRPr="00763DEE" w:rsidRDefault="002051FD" w:rsidP="00134C45">
      <w:pPr>
        <w:pStyle w:val="Bodytextnumberedlevel2"/>
        <w:ind w:hanging="425"/>
      </w:pPr>
      <w:r w:rsidRPr="00763DEE">
        <w:t xml:space="preserve">whether there are any less restrictive and reasonably available ways to achieve the </w:t>
      </w:r>
      <w:proofErr w:type="gramStart"/>
      <w:r w:rsidRPr="00763DEE">
        <w:t>purpose;</w:t>
      </w:r>
      <w:proofErr w:type="gramEnd"/>
    </w:p>
    <w:p w14:paraId="304ACD30" w14:textId="64D3C62A" w:rsidR="002051FD" w:rsidRPr="00763DEE" w:rsidRDefault="002051FD" w:rsidP="00134C45">
      <w:pPr>
        <w:pStyle w:val="Bodytextnumberedlevel2"/>
        <w:ind w:hanging="425"/>
      </w:pPr>
      <w:r w:rsidRPr="00763DEE">
        <w:t xml:space="preserve">the importance of the purpose of the </w:t>
      </w:r>
      <w:proofErr w:type="gramStart"/>
      <w:r w:rsidRPr="00763DEE">
        <w:t>limitation;</w:t>
      </w:r>
      <w:proofErr w:type="gramEnd"/>
    </w:p>
    <w:p w14:paraId="40AE6DCC" w14:textId="2B6620E3" w:rsidR="002051FD" w:rsidRPr="00763DEE" w:rsidRDefault="002051FD" w:rsidP="00134C45">
      <w:pPr>
        <w:pStyle w:val="Bodytextnumberedlevel2"/>
        <w:ind w:hanging="425"/>
      </w:pPr>
      <w:r w:rsidRPr="00763DEE">
        <w:t xml:space="preserve">the importance of preserving the human right, </w:t>
      </w:r>
      <w:proofErr w:type="gramStart"/>
      <w:r w:rsidRPr="00763DEE">
        <w:t>taking into account</w:t>
      </w:r>
      <w:proofErr w:type="gramEnd"/>
      <w:r w:rsidRPr="00763DEE">
        <w:t xml:space="preserve"> the nature and extent of the limitation on the human </w:t>
      </w:r>
      <w:proofErr w:type="gramStart"/>
      <w:r w:rsidRPr="00763DEE">
        <w:t>right;</w:t>
      </w:r>
      <w:proofErr w:type="gramEnd"/>
    </w:p>
    <w:p w14:paraId="78F16B50" w14:textId="074B3994" w:rsidR="002051FD" w:rsidRDefault="002051FD" w:rsidP="00134C45">
      <w:pPr>
        <w:pStyle w:val="Bodytextnumberedlevel2"/>
        <w:ind w:hanging="425"/>
      </w:pPr>
      <w:r w:rsidRPr="00763DEE">
        <w:t>the balance between the matters mentioned in paragraphs (e) and (f).</w:t>
      </w:r>
    </w:p>
    <w:p w14:paraId="40E982BD" w14:textId="77777777" w:rsidR="0008395A" w:rsidRPr="00763DEE" w:rsidRDefault="0008395A" w:rsidP="0008395A">
      <w:pPr>
        <w:pStyle w:val="Bodytextnumbered"/>
      </w:pPr>
      <w:r w:rsidRPr="00763DEE">
        <w:t>The more important the right, the more important the purpose will need to be to justify a limitation on it.</w:t>
      </w:r>
      <w:r w:rsidRPr="00763DEE">
        <w:rPr>
          <w:rStyle w:val="FootnoteReference"/>
          <w:color w:val="000000" w:themeColor="text1"/>
        </w:rPr>
        <w:footnoteReference w:id="12"/>
      </w:r>
      <w:r w:rsidRPr="00763DEE">
        <w:t xml:space="preserve"> In </w:t>
      </w:r>
      <w:r w:rsidRPr="00763DEE">
        <w:rPr>
          <w:i/>
        </w:rPr>
        <w:t>Johnston v Commissioner of Police</w:t>
      </w:r>
      <w:r w:rsidRPr="00763DEE">
        <w:t>, Martin SJA cited with approval Victorian authority that:</w:t>
      </w:r>
    </w:p>
    <w:p w14:paraId="238F0618" w14:textId="5313C8B9" w:rsidR="0008395A" w:rsidRPr="00E83D15" w:rsidRDefault="0008395A" w:rsidP="00E83D15">
      <w:pPr>
        <w:pStyle w:val="Quote"/>
        <w:rPr>
          <w:i w:val="0"/>
          <w:iCs w:val="0"/>
          <w:sz w:val="20"/>
          <w:szCs w:val="20"/>
        </w:rPr>
      </w:pPr>
      <w:r w:rsidRPr="000715D8">
        <w:rPr>
          <w:i w:val="0"/>
          <w:iCs w:val="0"/>
          <w:sz w:val="20"/>
          <w:szCs w:val="20"/>
        </w:rPr>
        <w:t>The burden on the public entity to justify limitations is high, requiring a degree of probability commensurate with the occasion, and must be strictly imposed in circumstances where the individual concerned is particularly vulnerable.</w:t>
      </w:r>
      <w:r w:rsidRPr="000715D8">
        <w:rPr>
          <w:rStyle w:val="FootnoteReference"/>
          <w:i w:val="0"/>
          <w:iCs w:val="0"/>
          <w:sz w:val="20"/>
          <w:szCs w:val="20"/>
        </w:rPr>
        <w:footnoteReference w:id="13"/>
      </w:r>
    </w:p>
    <w:p w14:paraId="1E8257AA" w14:textId="4A90796C" w:rsidR="00EB61BE" w:rsidRPr="00587AEA" w:rsidRDefault="00CB20C2" w:rsidP="00051350">
      <w:pPr>
        <w:pStyle w:val="Bodytextnumbered"/>
      </w:pPr>
      <w:r w:rsidRPr="00BA767A">
        <w:t xml:space="preserve">Section 58(2) sets out a narrow exception to these obligations. It provides that the duties under subsections (1)(a) and (1)(b) do not apply where the public entity could not reasonably have acted differently or made a different decision due to a binding statutory provision, </w:t>
      </w:r>
      <w:r w:rsidRPr="00F734AB">
        <w:t>Commonwealth</w:t>
      </w:r>
      <w:r w:rsidRPr="00BA767A">
        <w:t xml:space="preserve"> or State law, or other legal constraints.</w:t>
      </w:r>
    </w:p>
    <w:p w14:paraId="1126DB90" w14:textId="0D297851" w:rsidR="00DC1660" w:rsidRDefault="00DC1660" w:rsidP="00DC1660">
      <w:pPr>
        <w:pStyle w:val="Heading2"/>
      </w:pPr>
      <w:bookmarkStart w:id="6" w:name="_Toc204594205"/>
      <w:r>
        <w:lastRenderedPageBreak/>
        <w:t>Victims’ rights under the Human Rights Act</w:t>
      </w:r>
      <w:bookmarkEnd w:id="6"/>
    </w:p>
    <w:p w14:paraId="2B6A035A" w14:textId="27C13229" w:rsidR="00721AC1" w:rsidRDefault="00E05C21" w:rsidP="00721AC1">
      <w:pPr>
        <w:pStyle w:val="Bodytextnumbered"/>
      </w:pPr>
      <w:r>
        <w:t>The</w:t>
      </w:r>
      <w:r w:rsidR="006708C8">
        <w:t xml:space="preserve"> </w:t>
      </w:r>
      <w:r>
        <w:t>Human Rights</w:t>
      </w:r>
      <w:r w:rsidR="006708C8" w:rsidRPr="005967C5">
        <w:t xml:space="preserve"> Act contains </w:t>
      </w:r>
      <w:proofErr w:type="gramStart"/>
      <w:r w:rsidR="006708C8" w:rsidRPr="005967C5">
        <w:t>a number of</w:t>
      </w:r>
      <w:proofErr w:type="gramEnd"/>
      <w:r w:rsidR="006708C8" w:rsidRPr="005967C5">
        <w:t xml:space="preserve"> rights relevant to </w:t>
      </w:r>
      <w:r w:rsidR="00EF3E93">
        <w:t xml:space="preserve">the treatment and participation of </w:t>
      </w:r>
      <w:r w:rsidR="006708C8" w:rsidRPr="005967C5">
        <w:t xml:space="preserve">victims </w:t>
      </w:r>
      <w:r w:rsidR="00EF3E93">
        <w:t>in the processes of the Parole Board</w:t>
      </w:r>
      <w:r w:rsidR="006708C8" w:rsidRPr="005967C5">
        <w:t>.</w:t>
      </w:r>
      <w:r w:rsidR="00144897">
        <w:rPr>
          <w:rStyle w:val="FootnoteReference"/>
        </w:rPr>
        <w:footnoteReference w:id="14"/>
      </w:r>
      <w:r w:rsidR="006708C8">
        <w:t xml:space="preserve"> </w:t>
      </w:r>
      <w:r w:rsidR="00721AC1" w:rsidRPr="00787E29">
        <w:t>Some of these rights require public entities to protect people from violence committed by other individuals</w:t>
      </w:r>
      <w:r w:rsidR="00721AC1">
        <w:t xml:space="preserve">. </w:t>
      </w:r>
      <w:r w:rsidR="00721AC1" w:rsidRPr="00355067">
        <w:t xml:space="preserve">Other human rights guide the way that victims should be treated in </w:t>
      </w:r>
      <w:r w:rsidR="00721AC1">
        <w:t>the criminal justice system.</w:t>
      </w:r>
    </w:p>
    <w:p w14:paraId="6B58329C" w14:textId="12463B9F" w:rsidR="00121BA6" w:rsidRDefault="006708C8" w:rsidP="00144897">
      <w:pPr>
        <w:pStyle w:val="Bodytextnumbered"/>
      </w:pPr>
      <w:r>
        <w:t xml:space="preserve">The rights protected by the </w:t>
      </w:r>
      <w:r w:rsidR="00094688">
        <w:t>Human Rights</w:t>
      </w:r>
      <w:r>
        <w:t xml:space="preserve"> Act have been drawn from international law and may be interpreted with reference to international law and jurisprudence, including human rights treaties to which Australia is a party.</w:t>
      </w:r>
      <w:r>
        <w:rPr>
          <w:rStyle w:val="FootnoteReference"/>
        </w:rPr>
        <w:footnoteReference w:id="15"/>
      </w:r>
      <w:r>
        <w:t xml:space="preserve"> </w:t>
      </w:r>
      <w:r w:rsidRPr="005967C5">
        <w:t xml:space="preserve">The most relevant rights </w:t>
      </w:r>
      <w:r>
        <w:t>are</w:t>
      </w:r>
      <w:r w:rsidRPr="005967C5">
        <w:t xml:space="preserve">: </w:t>
      </w:r>
    </w:p>
    <w:p w14:paraId="0C3EB1FC" w14:textId="123D492B" w:rsidR="006708C8" w:rsidRDefault="006708C8" w:rsidP="006708C8">
      <w:pPr>
        <w:pStyle w:val="Bulletedlist"/>
      </w:pPr>
      <w:r w:rsidRPr="005967C5">
        <w:t>the right to equality and non-discrimination,</w:t>
      </w:r>
      <w:r>
        <w:t xml:space="preserve"> including the right to enjoy human rights without discrimination</w:t>
      </w:r>
      <w:r w:rsidR="00E25E14">
        <w:t xml:space="preserve"> and the right to equality before the law</w:t>
      </w:r>
      <w:r>
        <w:rPr>
          <w:rStyle w:val="FootnoteReference"/>
        </w:rPr>
        <w:footnoteReference w:id="16"/>
      </w:r>
      <w:r w:rsidRPr="005967C5">
        <w:t xml:space="preserve"> </w:t>
      </w:r>
    </w:p>
    <w:p w14:paraId="5C3EB795" w14:textId="1CAB79A7" w:rsidR="006708C8" w:rsidRDefault="006708C8" w:rsidP="006708C8">
      <w:pPr>
        <w:pStyle w:val="Bulletedlist"/>
      </w:pPr>
      <w:r w:rsidRPr="005967C5">
        <w:t>the right to life,</w:t>
      </w:r>
      <w:r>
        <w:rPr>
          <w:rStyle w:val="FootnoteReference"/>
        </w:rPr>
        <w:footnoteReference w:id="17"/>
      </w:r>
      <w:r w:rsidRPr="005967C5">
        <w:t xml:space="preserve"> </w:t>
      </w:r>
      <w:r>
        <w:t xml:space="preserve">for example </w:t>
      </w:r>
      <w:r w:rsidR="00094688">
        <w:t xml:space="preserve">if </w:t>
      </w:r>
      <w:proofErr w:type="gramStart"/>
      <w:r w:rsidR="00094688">
        <w:t>it is clear that a</w:t>
      </w:r>
      <w:proofErr w:type="gramEnd"/>
      <w:r w:rsidR="00094688">
        <w:t xml:space="preserve"> person’s</w:t>
      </w:r>
      <w:r w:rsidRPr="00464144">
        <w:t xml:space="preserve"> life is in danger </w:t>
      </w:r>
      <w:proofErr w:type="gramStart"/>
      <w:r w:rsidRPr="00464144">
        <w:t>as a result of</w:t>
      </w:r>
      <w:proofErr w:type="gramEnd"/>
      <w:r w:rsidRPr="00464144">
        <w:t xml:space="preserve"> threats or violence</w:t>
      </w:r>
      <w:r w:rsidR="00E766D0">
        <w:rPr>
          <w:rStyle w:val="FootnoteReference"/>
        </w:rPr>
        <w:footnoteReference w:id="18"/>
      </w:r>
      <w:r w:rsidRPr="00464144">
        <w:t xml:space="preserve">  </w:t>
      </w:r>
    </w:p>
    <w:p w14:paraId="6D15C151" w14:textId="53EA75D9" w:rsidR="006708C8" w:rsidRDefault="006708C8" w:rsidP="006708C8">
      <w:pPr>
        <w:pStyle w:val="Bulletedlist"/>
      </w:pPr>
      <w:r w:rsidRPr="005967C5">
        <w:t xml:space="preserve">the prohibition on torture, cruel, inhuman and degrading treatment, </w:t>
      </w:r>
      <w:r w:rsidRPr="00C00547">
        <w:t>includ</w:t>
      </w:r>
      <w:r>
        <w:t>ing</w:t>
      </w:r>
      <w:r w:rsidRPr="00C00547">
        <w:t xml:space="preserve"> protection from treatment that humiliates a person</w:t>
      </w:r>
      <w:r>
        <w:rPr>
          <w:rStyle w:val="FootnoteReference"/>
        </w:rPr>
        <w:footnoteReference w:id="19"/>
      </w:r>
      <w:r>
        <w:t xml:space="preserve"> </w:t>
      </w:r>
    </w:p>
    <w:p w14:paraId="76A639BB" w14:textId="5B978810" w:rsidR="006708C8" w:rsidRDefault="006708C8" w:rsidP="006708C8">
      <w:pPr>
        <w:pStyle w:val="Bulletedlist"/>
      </w:pPr>
      <w:r>
        <w:t>freedom of expression, which includes the right to seek out and receive information</w:t>
      </w:r>
      <w:r w:rsidRPr="0B62BDD4">
        <w:rPr>
          <w:rStyle w:val="FootnoteReference"/>
        </w:rPr>
        <w:footnoteReference w:id="20"/>
      </w:r>
    </w:p>
    <w:p w14:paraId="6201BE22" w14:textId="6BFFFFE1" w:rsidR="006708C8" w:rsidRDefault="006708C8" w:rsidP="006708C8">
      <w:pPr>
        <w:pStyle w:val="Bulletedlist"/>
      </w:pPr>
      <w:r w:rsidRPr="005967C5">
        <w:t>the right to privacy and reputation,</w:t>
      </w:r>
      <w:r>
        <w:t xml:space="preserve"> which protects against unlawful or arbitrary interference with a person’s </w:t>
      </w:r>
      <w:r w:rsidRPr="00C00547">
        <w:t>family, home or personal information</w:t>
      </w:r>
      <w:r>
        <w:rPr>
          <w:rStyle w:val="FootnoteReference"/>
        </w:rPr>
        <w:footnoteReference w:id="21"/>
      </w:r>
    </w:p>
    <w:p w14:paraId="77E7FA49" w14:textId="18575206" w:rsidR="006708C8" w:rsidRDefault="006708C8" w:rsidP="006708C8">
      <w:pPr>
        <w:pStyle w:val="Bulletedlist"/>
      </w:pPr>
      <w:r>
        <w:t>the protection of families and children</w:t>
      </w:r>
      <w:r w:rsidRPr="0B62BDD4">
        <w:rPr>
          <w:rStyle w:val="FootnoteReference"/>
        </w:rPr>
        <w:footnoteReference w:id="22"/>
      </w:r>
    </w:p>
    <w:p w14:paraId="1979BDDB" w14:textId="76DD7DFD" w:rsidR="006708C8" w:rsidRDefault="006708C8" w:rsidP="006708C8">
      <w:pPr>
        <w:pStyle w:val="Bulletedlist"/>
      </w:pPr>
      <w:r>
        <w:t>cultural rights generally and the cultural rights of Aboriginal peoples and Torres Strait Islander peoples, including ensuring that services provided to people are culturally safe</w:t>
      </w:r>
      <w:r w:rsidRPr="103C03BF">
        <w:rPr>
          <w:rStyle w:val="FootnoteReference"/>
        </w:rPr>
        <w:footnoteReference w:id="23"/>
      </w:r>
    </w:p>
    <w:p w14:paraId="6E752D6F" w14:textId="6E22E9EC" w:rsidR="006708C8" w:rsidRDefault="006708C8" w:rsidP="006708C8">
      <w:pPr>
        <w:pStyle w:val="Bulletedlist"/>
        <w:numPr>
          <w:ilvl w:val="0"/>
          <w:numId w:val="21"/>
        </w:numPr>
      </w:pPr>
      <w:r w:rsidRPr="005967C5">
        <w:t xml:space="preserve">the right to </w:t>
      </w:r>
      <w:r w:rsidR="00FB5780">
        <w:t>security of the person</w:t>
      </w:r>
      <w:r w:rsidRPr="005967C5">
        <w:t xml:space="preserve">, </w:t>
      </w:r>
      <w:r>
        <w:t>including ensuring</w:t>
      </w:r>
      <w:r w:rsidRPr="00C00547">
        <w:t xml:space="preserve"> the physical safety of people who are in danger of physical harm.</w:t>
      </w:r>
      <w:r>
        <w:rPr>
          <w:rStyle w:val="FootnoteReference"/>
        </w:rPr>
        <w:footnoteReference w:id="24"/>
      </w:r>
    </w:p>
    <w:p w14:paraId="777695DB" w14:textId="434FCE9B" w:rsidR="00C43E48" w:rsidRPr="00064C3E" w:rsidRDefault="00C43E48" w:rsidP="00C43E48">
      <w:pPr>
        <w:pStyle w:val="Bodytextnumbered"/>
        <w:rPr>
          <w:rFonts w:ascii="Segoe UI" w:eastAsia="Segoe UI" w:hAnsi="Segoe UI" w:cs="Segoe UI"/>
          <w:color w:val="333333"/>
          <w:sz w:val="18"/>
          <w:szCs w:val="18"/>
        </w:rPr>
      </w:pPr>
      <w:r>
        <w:lastRenderedPageBreak/>
        <w:t xml:space="preserve">Families of victims who have died or who do not have legal capacity should be entitled to exercise </w:t>
      </w:r>
      <w:r w:rsidRPr="0034743A">
        <w:t>rights</w:t>
      </w:r>
      <w:r>
        <w:t xml:space="preserve"> on behalf of the victim </w:t>
      </w:r>
      <w:proofErr w:type="gramStart"/>
      <w:r>
        <w:t>and also</w:t>
      </w:r>
      <w:proofErr w:type="gramEnd"/>
      <w:r>
        <w:t xml:space="preserve"> have their </w:t>
      </w:r>
      <w:r w:rsidR="00663C99">
        <w:t xml:space="preserve">own </w:t>
      </w:r>
      <w:r>
        <w:t>rights to privacy and family respected.</w:t>
      </w:r>
    </w:p>
    <w:p w14:paraId="5A424A51" w14:textId="79317EDA" w:rsidR="0039712A" w:rsidRPr="00C43E48" w:rsidRDefault="0039712A" w:rsidP="00C43E48">
      <w:pPr>
        <w:pStyle w:val="Bodytextnumbered"/>
        <w:rPr>
          <w:rFonts w:cs="Arial"/>
        </w:rPr>
      </w:pPr>
      <w:r>
        <w:t xml:space="preserve">Victims, to the greatest possible extent, should not be retraumatised by criminal justice processes. This may mean ensuring the victim has adequate support or that reasonable adjustments are made. Failure to do so without reasonable justification may amount to a contravention of the rights to equality, the prohibition against torture, cruel, inhuman and degrading treatment, and to privacy. </w:t>
      </w:r>
    </w:p>
    <w:p w14:paraId="52CC9C7B" w14:textId="27E65C03" w:rsidR="000430FF" w:rsidRDefault="000430FF" w:rsidP="004F2648">
      <w:pPr>
        <w:pStyle w:val="Bodytextnumbered"/>
        <w:keepLines w:val="0"/>
        <w:ind w:left="357" w:hanging="357"/>
      </w:pPr>
      <w:r>
        <w:t xml:space="preserve">The importance of protecting victims’ rights is reflected in the United Nations Declaration of Basic Principles of Justice </w:t>
      </w:r>
      <w:r w:rsidR="00682CAB">
        <w:t>for</w:t>
      </w:r>
      <w:r>
        <w:t xml:space="preserve"> Victims of Crime and Abuse of Power</w:t>
      </w:r>
      <w:r w:rsidR="00B037E1">
        <w:t xml:space="preserve"> (</w:t>
      </w:r>
      <w:r w:rsidR="00B037E1" w:rsidRPr="00682CAB">
        <w:rPr>
          <w:b/>
          <w:bCs/>
        </w:rPr>
        <w:t>UN Basic Principles</w:t>
      </w:r>
      <w:r w:rsidR="00B037E1">
        <w:t>)</w:t>
      </w:r>
      <w:r>
        <w:t>.</w:t>
      </w:r>
      <w:r>
        <w:rPr>
          <w:rStyle w:val="FootnoteReference"/>
        </w:rPr>
        <w:footnoteReference w:id="25"/>
      </w:r>
      <w:r>
        <w:t xml:space="preserve"> The </w:t>
      </w:r>
      <w:r w:rsidR="00682CAB">
        <w:t>UN Basic Principles</w:t>
      </w:r>
      <w:r>
        <w:t xml:space="preserve"> states that victims should be treated with compassion and respect for their dignity</w:t>
      </w:r>
      <w:r w:rsidR="00DE56FA">
        <w:t>.</w:t>
      </w:r>
      <w:r w:rsidR="00D269B2">
        <w:rPr>
          <w:rStyle w:val="FootnoteReference"/>
        </w:rPr>
        <w:footnoteReference w:id="26"/>
      </w:r>
      <w:r w:rsidR="00C83A91">
        <w:t xml:space="preserve"> </w:t>
      </w:r>
      <w:r w:rsidR="00164A4A">
        <w:t>They are entitled to access to the mechanisms of justice and to prompt redress, as provided for by national legislation, for the harm that they have suffered.</w:t>
      </w:r>
      <w:r w:rsidR="00887EEC">
        <w:rPr>
          <w:rStyle w:val="FootnoteReference"/>
        </w:rPr>
        <w:footnoteReference w:id="27"/>
      </w:r>
      <w:r w:rsidR="00887EEC" w:rsidRPr="00887EEC">
        <w:t xml:space="preserve"> </w:t>
      </w:r>
      <w:r w:rsidR="00887EEC">
        <w:t>Steps should be taken to protect their privacy and ensure their safety, as well as the safety of their families.</w:t>
      </w:r>
      <w:r w:rsidR="00887EEC">
        <w:rPr>
          <w:rStyle w:val="FootnoteReference"/>
        </w:rPr>
        <w:footnoteReference w:id="28"/>
      </w:r>
    </w:p>
    <w:p w14:paraId="491BD6F9" w14:textId="51B49431" w:rsidR="00257812" w:rsidRDefault="00257812" w:rsidP="000430FF">
      <w:pPr>
        <w:pStyle w:val="Bodytextnumbered"/>
      </w:pPr>
      <w:r>
        <w:t>The U</w:t>
      </w:r>
      <w:r w:rsidR="0079725D">
        <w:t xml:space="preserve">nited Nations Office of Drugs and Crime Handbook on Justice for Victims, which gives guidance to </w:t>
      </w:r>
      <w:r w:rsidR="006A2849">
        <w:t>states on implementation of the UN Basic Principles</w:t>
      </w:r>
      <w:r w:rsidR="00860080">
        <w:t>,</w:t>
      </w:r>
      <w:r w:rsidR="006A2849">
        <w:t xml:space="preserve"> recognises in relation to parole that:</w:t>
      </w:r>
    </w:p>
    <w:p w14:paraId="0DBDC43D" w14:textId="5FAE92B4" w:rsidR="00257812" w:rsidRPr="006A2849" w:rsidRDefault="00257812" w:rsidP="006A2849">
      <w:pPr>
        <w:pStyle w:val="Quote"/>
        <w:ind w:left="1440"/>
        <w:rPr>
          <w:i w:val="0"/>
          <w:iCs w:val="0"/>
          <w:sz w:val="20"/>
          <w:szCs w:val="20"/>
        </w:rPr>
      </w:pPr>
      <w:r w:rsidRPr="006A2849">
        <w:rPr>
          <w:i w:val="0"/>
          <w:iCs w:val="0"/>
          <w:sz w:val="20"/>
          <w:szCs w:val="20"/>
        </w:rPr>
        <w:t>Victims have a legitimate interest in seeking to ensure not only that those who have committed offences against them are brought to justice, but also that offenders do not present a danger to the victim or to others after release. If a prisoner is to be released, victims may want to be notified in advance. This is often because the victim may have been threatened during or after the offence or may be seen by the prisoner as the one responsible for the prisoner’s incarceration. Some victims have a very deep—and very real—fear of retaliation by offenders. At the very least, victims should be given the opportunity to take precautions or to prepare themselves mentally for the release of their offenders.</w:t>
      </w:r>
      <w:r w:rsidRPr="006A2849">
        <w:rPr>
          <w:rStyle w:val="FootnoteReference"/>
          <w:i w:val="0"/>
          <w:iCs w:val="0"/>
          <w:sz w:val="20"/>
          <w:szCs w:val="20"/>
        </w:rPr>
        <w:footnoteReference w:id="29"/>
      </w:r>
    </w:p>
    <w:p w14:paraId="3FCB10F5" w14:textId="5E30384E" w:rsidR="0053345A" w:rsidRDefault="006708C8" w:rsidP="004F2648">
      <w:pPr>
        <w:pStyle w:val="Bodytextnumbered"/>
      </w:pPr>
      <w:r w:rsidRPr="498DFD66">
        <w:t xml:space="preserve">For many victims, opportunities to be acknowledged and empowered in criminal justice processes play an </w:t>
      </w:r>
      <w:r w:rsidRPr="00645128">
        <w:t>important</w:t>
      </w:r>
      <w:r w:rsidRPr="498DFD66">
        <w:t xml:space="preserve"> role in their recovery and establishing their trust in the system. </w:t>
      </w:r>
      <w:r w:rsidR="000A2E0F">
        <w:t>In addition, p</w:t>
      </w:r>
      <w:r w:rsidR="00B642E1">
        <w:t xml:space="preserve">rovision of information to the Parole Board by eligible persons is important to inform the Board of risks that release on parole may pose to </w:t>
      </w:r>
      <w:proofErr w:type="gramStart"/>
      <w:r w:rsidR="00B642E1">
        <w:t>particular individuals</w:t>
      </w:r>
      <w:proofErr w:type="gramEnd"/>
      <w:r w:rsidR="00B642E1">
        <w:t>.</w:t>
      </w:r>
    </w:p>
    <w:p w14:paraId="24F79ED3" w14:textId="77777777" w:rsidR="000A2E0F" w:rsidRDefault="00C60DCD" w:rsidP="000A2E0F">
      <w:pPr>
        <w:pStyle w:val="Bodytextnumbered"/>
      </w:pPr>
      <w:r>
        <w:lastRenderedPageBreak/>
        <w:t xml:space="preserve">In assessing parole applications, the Parole Board must consider both the rights of the prisoner and the </w:t>
      </w:r>
      <w:r w:rsidRPr="00281C1E">
        <w:t>right to life and security of the person</w:t>
      </w:r>
      <w:r>
        <w:t xml:space="preserve"> of victims and other members of </w:t>
      </w:r>
      <w:r w:rsidRPr="00C60DCD">
        <w:t>the</w:t>
      </w:r>
      <w:r>
        <w:t xml:space="preserve"> community. If release on parole would pose a real and immediate threat to the right to life or security of the person of victims or </w:t>
      </w:r>
      <w:r w:rsidRPr="00C60DCD">
        <w:t>other</w:t>
      </w:r>
      <w:r>
        <w:t xml:space="preserve"> members of the community, steps must be taken to address those risks. </w:t>
      </w:r>
    </w:p>
    <w:p w14:paraId="0E2E969D" w14:textId="78E08134" w:rsidR="00C60DCD" w:rsidRDefault="00C60DCD" w:rsidP="000A2E0F">
      <w:pPr>
        <w:pStyle w:val="Bodytextnumbered"/>
      </w:pPr>
      <w:r>
        <w:t>For prisoners not serving a life sentence (or otherwise subject to post-sentence supervision) those risks</w:t>
      </w:r>
      <w:r w:rsidR="0072474B">
        <w:t xml:space="preserve"> </w:t>
      </w:r>
      <w:r w:rsidR="00066AE9">
        <w:t>are likely to be</w:t>
      </w:r>
      <w:r>
        <w:t xml:space="preserve"> best managed through supervised release with appropriate conditions</w:t>
      </w:r>
      <w:r w:rsidR="00066AE9">
        <w:t>.</w:t>
      </w:r>
      <w:r>
        <w:t xml:space="preserve"> This is because the prisoner will otherwise be released without supervision at the end of their sentence.</w:t>
      </w:r>
      <w:r w:rsidR="00F332A7">
        <w:t xml:space="preserve"> </w:t>
      </w:r>
      <w:r w:rsidR="0072474B">
        <w:t>Research consistently shows that being released on parole reduces the likelihood that a person will re-offend.</w:t>
      </w:r>
      <w:r w:rsidR="0072474B">
        <w:rPr>
          <w:rStyle w:val="FootnoteReference"/>
        </w:rPr>
        <w:footnoteReference w:id="30"/>
      </w:r>
      <w:r w:rsidR="0072474B">
        <w:t xml:space="preserve"> </w:t>
      </w:r>
      <w:r>
        <w:t xml:space="preserve">Where risks </w:t>
      </w:r>
      <w:r w:rsidR="00182809">
        <w:t xml:space="preserve">of release </w:t>
      </w:r>
      <w:r>
        <w:t>cannot be immediately managed, the rights of victims and the community will best be served by the provision of guidance as to steps to be taken while in custody to facilitate such release.</w:t>
      </w:r>
    </w:p>
    <w:p w14:paraId="31A42F08" w14:textId="6EDA3023" w:rsidR="00C60DCD" w:rsidRDefault="00C60DCD" w:rsidP="00C60DCD">
      <w:pPr>
        <w:pStyle w:val="Bodytextnumbered"/>
      </w:pPr>
      <w:r>
        <w:t xml:space="preserve">For life sentence prisoners or those potentially subject to other types of post-sentence supervision orders, the Human Rights Act, consistently with the purposes of the </w:t>
      </w:r>
      <w:r>
        <w:rPr>
          <w:i/>
          <w:iCs/>
        </w:rPr>
        <w:t xml:space="preserve">Corrective Services Act 2006 </w:t>
      </w:r>
      <w:r>
        <w:t>(Qld) (</w:t>
      </w:r>
      <w:r w:rsidRPr="00004499">
        <w:rPr>
          <w:b/>
          <w:bCs/>
        </w:rPr>
        <w:t>Corrective Services Act</w:t>
      </w:r>
      <w:r>
        <w:t xml:space="preserve">), requires consideration of the ways in which the rights of victims, the community and the prisoner (see further below) can all be upheld to the greatest extent possible. This </w:t>
      </w:r>
      <w:r w:rsidR="0089493E">
        <w:t xml:space="preserve">also involves </w:t>
      </w:r>
      <w:r>
        <w:t>consideration of the rights of the prisoner in the context of parole.</w:t>
      </w:r>
    </w:p>
    <w:p w14:paraId="199B1D08" w14:textId="34B68D91" w:rsidR="005B3E24" w:rsidRDefault="000A372D" w:rsidP="006809E1">
      <w:pPr>
        <w:pStyle w:val="Heading3"/>
      </w:pPr>
      <w:bookmarkStart w:id="7" w:name="_Toc204594206"/>
      <w:r>
        <w:t>Recommendations</w:t>
      </w:r>
      <w:bookmarkEnd w:id="7"/>
    </w:p>
    <w:tbl>
      <w:tblPr>
        <w:tblStyle w:val="TableGrid"/>
        <w:tblW w:w="0" w:type="auto"/>
        <w:tblInd w:w="720" w:type="dxa"/>
        <w:tblLook w:val="04A0" w:firstRow="1" w:lastRow="0" w:firstColumn="1" w:lastColumn="0" w:noHBand="0" w:noVBand="1"/>
      </w:tblPr>
      <w:tblGrid>
        <w:gridCol w:w="8602"/>
      </w:tblGrid>
      <w:tr w:rsidR="00D84FB5" w14:paraId="040C4A8F" w14:textId="77777777" w:rsidTr="00D84FB5">
        <w:tc>
          <w:tcPr>
            <w:tcW w:w="9322" w:type="dxa"/>
          </w:tcPr>
          <w:p w14:paraId="398EC551" w14:textId="6FCAE85C" w:rsidR="004271A2" w:rsidRPr="00F244D7" w:rsidRDefault="00FA63DB" w:rsidP="00C31013">
            <w:pPr>
              <w:pStyle w:val="Bodytextnumbered"/>
              <w:numPr>
                <w:ilvl w:val="0"/>
                <w:numId w:val="0"/>
              </w:numPr>
              <w:ind w:left="294"/>
              <w:rPr>
                <w:b/>
                <w:bCs/>
              </w:rPr>
            </w:pPr>
            <w:r>
              <w:rPr>
                <w:b/>
                <w:bCs/>
              </w:rPr>
              <w:t xml:space="preserve">Recommendation 1: </w:t>
            </w:r>
            <w:r w:rsidR="004271A2" w:rsidRPr="00F244D7">
              <w:rPr>
                <w:b/>
                <w:bCs/>
              </w:rPr>
              <w:t>Ensur</w:t>
            </w:r>
            <w:r w:rsidR="002F2156">
              <w:rPr>
                <w:b/>
                <w:bCs/>
              </w:rPr>
              <w:t>e</w:t>
            </w:r>
            <w:r w:rsidR="004271A2" w:rsidRPr="00F244D7">
              <w:rPr>
                <w:b/>
                <w:bCs/>
              </w:rPr>
              <w:t xml:space="preserve"> </w:t>
            </w:r>
            <w:r w:rsidR="00904119">
              <w:rPr>
                <w:b/>
                <w:bCs/>
              </w:rPr>
              <w:t xml:space="preserve">processes are designed to respect victims’ rights </w:t>
            </w:r>
            <w:r w:rsidR="008344D1">
              <w:rPr>
                <w:b/>
                <w:bCs/>
              </w:rPr>
              <w:t xml:space="preserve">at all stages </w:t>
            </w:r>
          </w:p>
          <w:p w14:paraId="5FAEC0B5" w14:textId="5FA87D62" w:rsidR="00D84FB5" w:rsidRDefault="00D84FB5" w:rsidP="004F2648">
            <w:pPr>
              <w:pStyle w:val="Bodytextnumbered"/>
              <w:numPr>
                <w:ilvl w:val="0"/>
                <w:numId w:val="0"/>
              </w:numPr>
              <w:ind w:left="567"/>
            </w:pPr>
            <w:r>
              <w:t xml:space="preserve">Based on the </w:t>
            </w:r>
            <w:r w:rsidRPr="000D6347">
              <w:t>rights to equality</w:t>
            </w:r>
            <w:r>
              <w:t xml:space="preserve">, </w:t>
            </w:r>
            <w:r w:rsidRPr="000D6347">
              <w:t>security of the person</w:t>
            </w:r>
            <w:r>
              <w:t xml:space="preserve">, </w:t>
            </w:r>
            <w:r w:rsidRPr="000D6347">
              <w:t>privacy</w:t>
            </w:r>
            <w:r w:rsidR="00C0763F">
              <w:t xml:space="preserve">, cultural rights </w:t>
            </w:r>
            <w:r>
              <w:t xml:space="preserve">and </w:t>
            </w:r>
            <w:r w:rsidRPr="000D6347">
              <w:t>freedom of expression</w:t>
            </w:r>
            <w:r>
              <w:t>,</w:t>
            </w:r>
            <w:r w:rsidRPr="498DFD66">
              <w:t xml:space="preserve"> </w:t>
            </w:r>
            <w:r w:rsidR="005B3E24">
              <w:t>victims must</w:t>
            </w:r>
            <w:r w:rsidRPr="498DFD66">
              <w:t>:</w:t>
            </w:r>
          </w:p>
          <w:p w14:paraId="3F8A6C7C" w14:textId="6CF02F03" w:rsidR="00C0763F" w:rsidRDefault="005D4630" w:rsidP="00D84FB5">
            <w:pPr>
              <w:pStyle w:val="Bodybullet"/>
            </w:pPr>
            <w:r>
              <w:t xml:space="preserve">have the choice to be </w:t>
            </w:r>
            <w:r w:rsidR="00C0763F" w:rsidRPr="498DFD66">
              <w:t>provided with relevant information</w:t>
            </w:r>
            <w:r w:rsidR="00E974D7">
              <w:t>,</w:t>
            </w:r>
            <w:r w:rsidR="00C0763F" w:rsidRPr="498DFD66">
              <w:t xml:space="preserve"> in a timely way</w:t>
            </w:r>
            <w:r w:rsidR="00C0763F">
              <w:t>, particularly information that might be necessary to protect victims</w:t>
            </w:r>
            <w:r w:rsidR="00E4065D">
              <w:t>’</w:t>
            </w:r>
            <w:r w:rsidR="00C0763F">
              <w:t xml:space="preserve"> dignity and </w:t>
            </w:r>
            <w:proofErr w:type="gramStart"/>
            <w:r w:rsidR="00C0763F">
              <w:t>safety</w:t>
            </w:r>
            <w:r w:rsidR="00C0763F" w:rsidRPr="498DFD66">
              <w:t>;</w:t>
            </w:r>
            <w:proofErr w:type="gramEnd"/>
            <w:r w:rsidR="00C0763F" w:rsidRPr="498DFD66">
              <w:t xml:space="preserve"> </w:t>
            </w:r>
          </w:p>
          <w:p w14:paraId="4E23CD00" w14:textId="19727DC7" w:rsidR="00D84FB5" w:rsidRDefault="007723D7" w:rsidP="00D84FB5">
            <w:pPr>
              <w:pStyle w:val="Bodybullet"/>
            </w:pPr>
            <w:r>
              <w:t xml:space="preserve">be </w:t>
            </w:r>
            <w:r w:rsidR="00D84FB5" w:rsidRPr="498DFD66">
              <w:t>treated with respect</w:t>
            </w:r>
            <w:r w:rsidR="00D84FB5">
              <w:t xml:space="preserve"> and without discrimination – including by provision of reasonable adjustments where necessary to allow them to participate in the Parole Board’s </w:t>
            </w:r>
            <w:proofErr w:type="gramStart"/>
            <w:r w:rsidR="00D84FB5">
              <w:t>process</w:t>
            </w:r>
            <w:r w:rsidR="00D84FB5" w:rsidRPr="498DFD66">
              <w:t>;</w:t>
            </w:r>
            <w:proofErr w:type="gramEnd"/>
          </w:p>
          <w:p w14:paraId="4E7C4C65" w14:textId="118696D1" w:rsidR="00D84FB5" w:rsidRDefault="00C0763F" w:rsidP="00C0763F">
            <w:pPr>
              <w:pStyle w:val="Bodybullet"/>
            </w:pPr>
            <w:r>
              <w:t xml:space="preserve">not </w:t>
            </w:r>
            <w:r w:rsidR="007723D7">
              <w:t xml:space="preserve">be </w:t>
            </w:r>
            <w:r>
              <w:t xml:space="preserve">exposed to practices and processes that are culturally </w:t>
            </w:r>
            <w:proofErr w:type="gramStart"/>
            <w:r>
              <w:t>unsafe;</w:t>
            </w:r>
            <w:proofErr w:type="gramEnd"/>
          </w:p>
          <w:p w14:paraId="48A970C3" w14:textId="498B3FD2" w:rsidR="005521B1" w:rsidRDefault="001433A5" w:rsidP="001B39B8">
            <w:pPr>
              <w:pStyle w:val="Bodybullet"/>
            </w:pPr>
            <w:proofErr w:type="gramStart"/>
            <w:r>
              <w:t>have the opportunity</w:t>
            </w:r>
            <w:r w:rsidR="00D84FB5" w:rsidRPr="498DFD66">
              <w:t xml:space="preserve"> to</w:t>
            </w:r>
            <w:proofErr w:type="gramEnd"/>
            <w:r w:rsidR="00D84FB5" w:rsidRPr="498DFD66">
              <w:t xml:space="preserve"> meaningfully put forward their views </w:t>
            </w:r>
            <w:r w:rsidR="00B642E1">
              <w:t>and concerns</w:t>
            </w:r>
            <w:r w:rsidR="00D84FB5" w:rsidRPr="498DFD66">
              <w:t xml:space="preserve"> as part of the </w:t>
            </w:r>
            <w:r w:rsidR="009E2724">
              <w:t xml:space="preserve">parole </w:t>
            </w:r>
            <w:r w:rsidR="00D84FB5" w:rsidRPr="498DFD66">
              <w:t>process</w:t>
            </w:r>
            <w:r w:rsidR="00310EA9">
              <w:t>, if desired</w:t>
            </w:r>
            <w:r w:rsidR="00BD6C08">
              <w:t>; and</w:t>
            </w:r>
          </w:p>
          <w:p w14:paraId="36841451" w14:textId="05C70E51" w:rsidR="005521B1" w:rsidRDefault="00BD6C08" w:rsidP="00B642E1">
            <w:pPr>
              <w:pStyle w:val="Bodybullet"/>
            </w:pPr>
            <w:r>
              <w:t xml:space="preserve">be informed in advance of the purposes for which such input </w:t>
            </w:r>
            <w:r w:rsidR="00F32863">
              <w:t>can be used by the Parole Board in their decision-making.</w:t>
            </w:r>
          </w:p>
        </w:tc>
      </w:tr>
    </w:tbl>
    <w:p w14:paraId="605CFD98" w14:textId="77777777" w:rsidR="00FC0E0C" w:rsidRDefault="00FC0E0C" w:rsidP="004F2648">
      <w:pPr>
        <w:pStyle w:val="Bodytextnumbered"/>
        <w:numPr>
          <w:ilvl w:val="0"/>
          <w:numId w:val="0"/>
        </w:numPr>
        <w:ind w:left="720"/>
      </w:pPr>
    </w:p>
    <w:p w14:paraId="1E6A63DD" w14:textId="33D0F48E" w:rsidR="00387133" w:rsidRPr="00BF7719" w:rsidRDefault="0054644E" w:rsidP="0054644E">
      <w:pPr>
        <w:pStyle w:val="Heading1"/>
      </w:pPr>
      <w:bookmarkStart w:id="8" w:name="_Toc204594207"/>
      <w:r>
        <w:lastRenderedPageBreak/>
        <w:t>R</w:t>
      </w:r>
      <w:r w:rsidR="009B79F5">
        <w:t>ole in upholding prisoners</w:t>
      </w:r>
      <w:r w:rsidR="00CA7999">
        <w:t>’ rights</w:t>
      </w:r>
      <w:bookmarkEnd w:id="8"/>
    </w:p>
    <w:p w14:paraId="6B554BF2" w14:textId="461AE2C8" w:rsidR="00680035" w:rsidRDefault="00A1438C" w:rsidP="004F2648">
      <w:pPr>
        <w:pStyle w:val="Bodytextnumbered"/>
      </w:pPr>
      <w:r>
        <w:t xml:space="preserve">The </w:t>
      </w:r>
      <w:r w:rsidR="00C209AF" w:rsidRPr="00004499">
        <w:t>Corrective Services Act</w:t>
      </w:r>
      <w:r w:rsidR="00C209AF">
        <w:t xml:space="preserve"> </w:t>
      </w:r>
      <w:r w:rsidR="006D4791">
        <w:t>recognises</w:t>
      </w:r>
      <w:r w:rsidR="00DE4536">
        <w:t>, consistently with common law, that a prisoner’s rights</w:t>
      </w:r>
      <w:r w:rsidR="00DE4536" w:rsidRPr="00DE4536">
        <w:t xml:space="preserve">, other than those that are necessarily diminished because of imprisonment or another court sentence, </w:t>
      </w:r>
      <w:r w:rsidR="002F6B55">
        <w:t>should be upheld.</w:t>
      </w:r>
      <w:r w:rsidR="002F6B55">
        <w:rPr>
          <w:rStyle w:val="FootnoteReference"/>
        </w:rPr>
        <w:footnoteReference w:id="31"/>
      </w:r>
      <w:r w:rsidR="006D4791">
        <w:t xml:space="preserve"> </w:t>
      </w:r>
    </w:p>
    <w:p w14:paraId="3A424B7F" w14:textId="0AA10756" w:rsidR="009D4EEA" w:rsidRDefault="009D4EEA" w:rsidP="004F2648">
      <w:pPr>
        <w:pStyle w:val="Bodytextnumbered"/>
      </w:pPr>
      <w:r>
        <w:t>Relevant</w:t>
      </w:r>
      <w:r w:rsidR="004321BF">
        <w:t xml:space="preserve"> human</w:t>
      </w:r>
      <w:r>
        <w:t xml:space="preserve"> rights</w:t>
      </w:r>
      <w:r w:rsidR="004321BF">
        <w:t xml:space="preserve"> protected under the Human Rights Act</w:t>
      </w:r>
      <w:r>
        <w:t xml:space="preserve"> include:</w:t>
      </w:r>
    </w:p>
    <w:p w14:paraId="388F8DFE" w14:textId="196143CD" w:rsidR="009D4EEA" w:rsidRDefault="003261B3" w:rsidP="003261B3">
      <w:pPr>
        <w:pStyle w:val="Bodybullet"/>
      </w:pPr>
      <w:r>
        <w:t>The right to liberty and freedom from arbitrary detention</w:t>
      </w:r>
      <w:r w:rsidR="000A3C82">
        <w:t xml:space="preserve"> (s 29)</w:t>
      </w:r>
    </w:p>
    <w:p w14:paraId="26F25BD4" w14:textId="52A13253" w:rsidR="00233C59" w:rsidRDefault="00233C59" w:rsidP="003261B3">
      <w:pPr>
        <w:pStyle w:val="Bodybullet"/>
      </w:pPr>
      <w:r>
        <w:t>Protection from torture and cruel, inhuman or degrading treatment (s 17)</w:t>
      </w:r>
    </w:p>
    <w:p w14:paraId="0BF3AFC0" w14:textId="4372D216" w:rsidR="003261B3" w:rsidRDefault="003261B3" w:rsidP="003261B3">
      <w:pPr>
        <w:pStyle w:val="Bodybullet"/>
      </w:pPr>
      <w:r>
        <w:t>Humane conditions of detention</w:t>
      </w:r>
      <w:r w:rsidR="000A3C82">
        <w:t xml:space="preserve"> (s 30)</w:t>
      </w:r>
    </w:p>
    <w:p w14:paraId="08DE5BCD" w14:textId="01140B38" w:rsidR="003261B3" w:rsidRDefault="003261B3" w:rsidP="003261B3">
      <w:pPr>
        <w:pStyle w:val="Bodybullet"/>
      </w:pPr>
      <w:r>
        <w:t>The right to equality and non-discrimination</w:t>
      </w:r>
      <w:r w:rsidR="000A3C82">
        <w:t xml:space="preserve"> (s 15)</w:t>
      </w:r>
    </w:p>
    <w:p w14:paraId="7A8B07EE" w14:textId="11A7D862" w:rsidR="003261B3" w:rsidRDefault="003261B3" w:rsidP="003261B3">
      <w:pPr>
        <w:pStyle w:val="Bodybullet"/>
      </w:pPr>
      <w:r>
        <w:t>The right to family</w:t>
      </w:r>
      <w:r w:rsidR="000A3C82">
        <w:t xml:space="preserve"> (s 26)</w:t>
      </w:r>
    </w:p>
    <w:p w14:paraId="02F02A68" w14:textId="1DDEDAD4" w:rsidR="001D768E" w:rsidRDefault="00A0693F" w:rsidP="003261B3">
      <w:pPr>
        <w:pStyle w:val="Bodybullet"/>
      </w:pPr>
      <w:r>
        <w:t>Cultural rights (ss 27 and 28)</w:t>
      </w:r>
    </w:p>
    <w:p w14:paraId="4E822B6B" w14:textId="2BB426B6" w:rsidR="00F270D4" w:rsidRDefault="003261B3" w:rsidP="00F270D4">
      <w:pPr>
        <w:pStyle w:val="Bodybullet"/>
      </w:pPr>
      <w:r>
        <w:t>The right to access health services without discrimination</w:t>
      </w:r>
      <w:r w:rsidR="00F270D4" w:rsidRPr="00F270D4">
        <w:t xml:space="preserve"> </w:t>
      </w:r>
      <w:r w:rsidR="000A3C82">
        <w:t>(s 3</w:t>
      </w:r>
      <w:r w:rsidR="00233C59">
        <w:t>7</w:t>
      </w:r>
      <w:r w:rsidR="000A3C82">
        <w:t>)</w:t>
      </w:r>
    </w:p>
    <w:p w14:paraId="4A0E2079" w14:textId="6EC714EA" w:rsidR="003261B3" w:rsidRDefault="00F270D4" w:rsidP="004321BF">
      <w:pPr>
        <w:pStyle w:val="Bodybullet"/>
      </w:pPr>
      <w:r>
        <w:t>The right to a fair hearing</w:t>
      </w:r>
      <w:r w:rsidR="00233C59">
        <w:t xml:space="preserve"> (s 31)</w:t>
      </w:r>
      <w:r w:rsidR="004321BF">
        <w:t>.</w:t>
      </w:r>
    </w:p>
    <w:p w14:paraId="4C740B97" w14:textId="28805442" w:rsidR="004321BF" w:rsidRDefault="004321BF" w:rsidP="004F2648">
      <w:pPr>
        <w:pStyle w:val="Bodytextnumbered"/>
      </w:pPr>
      <w:r>
        <w:t xml:space="preserve">Except for absolute rights such as the right to freedom from torture, these rights may be limited where there is a good reason to do so, </w:t>
      </w:r>
      <w:proofErr w:type="gramStart"/>
      <w:r>
        <w:t>as long as</w:t>
      </w:r>
      <w:proofErr w:type="gramEnd"/>
      <w:r>
        <w:t xml:space="preserve"> those limits are proportionate</w:t>
      </w:r>
      <w:r w:rsidR="00BE3EBB">
        <w:t xml:space="preserve"> to the end sought</w:t>
      </w:r>
      <w:r>
        <w:t>.</w:t>
      </w:r>
      <w:r w:rsidR="008F4F62">
        <w:rPr>
          <w:rStyle w:val="FootnoteReference"/>
        </w:rPr>
        <w:footnoteReference w:id="32"/>
      </w:r>
      <w:r>
        <w:t xml:space="preserve"> </w:t>
      </w:r>
    </w:p>
    <w:p w14:paraId="491DAA7D" w14:textId="12AC600F" w:rsidR="006431C1" w:rsidRDefault="005A6376" w:rsidP="0067174F">
      <w:pPr>
        <w:pStyle w:val="Bodytextnumbered"/>
      </w:pPr>
      <w:r>
        <w:t xml:space="preserve">In our </w:t>
      </w:r>
      <w:r w:rsidR="008C58AF">
        <w:t>criminal justice</w:t>
      </w:r>
      <w:r>
        <w:t xml:space="preserve"> system, th</w:t>
      </w:r>
      <w:r w:rsidR="001E144B">
        <w:t>rough its role in encouraging and supporting rehabilitation, the</w:t>
      </w:r>
      <w:r>
        <w:t xml:space="preserve"> Parole Board </w:t>
      </w:r>
      <w:r w:rsidRPr="0067174F">
        <w:t>plays</w:t>
      </w:r>
      <w:r>
        <w:t xml:space="preserve"> a c</w:t>
      </w:r>
      <w:r w:rsidR="00817D9C">
        <w:t>entra</w:t>
      </w:r>
      <w:r>
        <w:t>l role</w:t>
      </w:r>
      <w:r w:rsidR="004F1D4E">
        <w:t xml:space="preserve"> not only in promoting community safety, but also</w:t>
      </w:r>
      <w:r>
        <w:t xml:space="preserve"> in upholding the </w:t>
      </w:r>
      <w:r w:rsidR="00817D9C">
        <w:t xml:space="preserve">human </w:t>
      </w:r>
      <w:r>
        <w:t>rights of prisoners</w:t>
      </w:r>
      <w:r w:rsidR="00371223">
        <w:t>.</w:t>
      </w:r>
      <w:r w:rsidR="00542CA4">
        <w:t xml:space="preserve"> This is particularly</w:t>
      </w:r>
      <w:r w:rsidR="007835BB">
        <w:t xml:space="preserve"> </w:t>
      </w:r>
      <w:r w:rsidR="00371223">
        <w:t xml:space="preserve">the case for life sentence prisoners </w:t>
      </w:r>
      <w:r w:rsidR="00E21F5B">
        <w:t>in relation</w:t>
      </w:r>
      <w:r w:rsidR="00371223">
        <w:t xml:space="preserve"> to freedom from arbitrary detention and </w:t>
      </w:r>
      <w:r w:rsidR="00E21F5B">
        <w:t>protection from inhuman treatment.</w:t>
      </w:r>
    </w:p>
    <w:p w14:paraId="3B8DC2F4" w14:textId="02BD399E" w:rsidR="00E30A82" w:rsidRPr="00E3581D" w:rsidRDefault="00E3581D" w:rsidP="00640764">
      <w:pPr>
        <w:pStyle w:val="Bodytextnumbered"/>
      </w:pPr>
      <w:r>
        <w:t xml:space="preserve">In Queensland, </w:t>
      </w:r>
      <w:r w:rsidR="007835BB">
        <w:t xml:space="preserve">life sentence </w:t>
      </w:r>
      <w:r>
        <w:t>p</w:t>
      </w:r>
      <w:r w:rsidR="001545D4" w:rsidRPr="00E3581D">
        <w:t xml:space="preserve">risoners </w:t>
      </w:r>
      <w:r w:rsidR="007129E5" w:rsidRPr="00E3581D">
        <w:t>who have reached their parole eligibility date</w:t>
      </w:r>
      <w:r w:rsidR="001545D4" w:rsidRPr="00E3581D">
        <w:t xml:space="preserve"> have no entitlement at law to liberty </w:t>
      </w:r>
      <w:r w:rsidR="00281C1E">
        <w:t xml:space="preserve">through </w:t>
      </w:r>
      <w:r w:rsidR="001545D4" w:rsidRPr="00E3581D">
        <w:t xml:space="preserve">release on parole. </w:t>
      </w:r>
      <w:r w:rsidR="00640764" w:rsidRPr="00E3581D">
        <w:t xml:space="preserve">However, </w:t>
      </w:r>
      <w:r w:rsidR="00E30A82" w:rsidRPr="00E3581D">
        <w:t>the right to liberty protected in s</w:t>
      </w:r>
      <w:r w:rsidR="00242591">
        <w:t>ection</w:t>
      </w:r>
      <w:r w:rsidR="00E30A82" w:rsidRPr="00E3581D">
        <w:t xml:space="preserve"> 29 </w:t>
      </w:r>
      <w:r w:rsidR="0036077B">
        <w:t xml:space="preserve">of the Human Rights Act </w:t>
      </w:r>
      <w:r w:rsidR="00E30A82" w:rsidRPr="00E3581D">
        <w:t xml:space="preserve">encompasses protection from </w:t>
      </w:r>
      <w:r w:rsidR="00F83F7B">
        <w:t>‘</w:t>
      </w:r>
      <w:r w:rsidR="00E30A82" w:rsidRPr="00E3581D">
        <w:t>arbitrary</w:t>
      </w:r>
      <w:r w:rsidR="00F83F7B">
        <w:t>’</w:t>
      </w:r>
      <w:r w:rsidR="00E30A82" w:rsidRPr="00E3581D">
        <w:t xml:space="preserve"> detention, recognising that detention permitted under law may nevertheless be arbitrary.</w:t>
      </w:r>
      <w:r w:rsidR="00E30A82" w:rsidRPr="00E3581D">
        <w:rPr>
          <w:rStyle w:val="FootnoteReference"/>
          <w:rFonts w:cs="Arial"/>
        </w:rPr>
        <w:footnoteReference w:id="33"/>
      </w:r>
      <w:r w:rsidR="00E30A82" w:rsidRPr="00E3581D">
        <w:t xml:space="preserve"> Arbitrariness in this context means </w:t>
      </w:r>
      <w:r w:rsidR="00F83F7B">
        <w:t>‘</w:t>
      </w:r>
      <w:r w:rsidR="00E30A82" w:rsidRPr="00E3581D">
        <w:t>c</w:t>
      </w:r>
      <w:r w:rsidR="00E30A82" w:rsidRPr="00E3581D">
        <w:rPr>
          <w:color w:val="000000"/>
          <w:shd w:val="clear" w:color="auto" w:fill="FFFFFF"/>
        </w:rPr>
        <w:t xml:space="preserve">apricious, or has resulted from </w:t>
      </w:r>
      <w:proofErr w:type="gramStart"/>
      <w:r w:rsidR="00E30A82" w:rsidRPr="00E3581D">
        <w:rPr>
          <w:color w:val="000000"/>
          <w:shd w:val="clear" w:color="auto" w:fill="FFFFFF"/>
        </w:rPr>
        <w:t>conduct</w:t>
      </w:r>
      <w:proofErr w:type="gramEnd"/>
      <w:r w:rsidR="00E30A82" w:rsidRPr="00E3581D">
        <w:rPr>
          <w:color w:val="000000"/>
          <w:shd w:val="clear" w:color="auto" w:fill="FFFFFF"/>
        </w:rPr>
        <w:t xml:space="preserve"> which is unpredictable, unjust or unreasonable in the sense of not being proportionate to the legitimate aim sought</w:t>
      </w:r>
      <w:r w:rsidR="00F83F7B">
        <w:rPr>
          <w:color w:val="000000"/>
          <w:shd w:val="clear" w:color="auto" w:fill="FFFFFF"/>
        </w:rPr>
        <w:t>’</w:t>
      </w:r>
      <w:r w:rsidR="00E30A82" w:rsidRPr="00E3581D">
        <w:t>.</w:t>
      </w:r>
      <w:r w:rsidR="00E30A82" w:rsidRPr="00E3581D">
        <w:rPr>
          <w:rStyle w:val="FootnoteReference"/>
          <w:rFonts w:cs="Arial"/>
        </w:rPr>
        <w:footnoteReference w:id="34"/>
      </w:r>
    </w:p>
    <w:p w14:paraId="487CDF16" w14:textId="3F2F78C1" w:rsidR="00E30A82" w:rsidRPr="009F063C" w:rsidRDefault="00241934" w:rsidP="00E30A82">
      <w:pPr>
        <w:pStyle w:val="Bodytextnumbered"/>
        <w:rPr>
          <w:color w:val="000000" w:themeColor="text1"/>
        </w:rPr>
      </w:pPr>
      <w:r>
        <w:lastRenderedPageBreak/>
        <w:t>P</w:t>
      </w:r>
      <w:r w:rsidR="00E30A82" w:rsidRPr="00E3581D">
        <w:t>rocedural safeguards, including regular reviews to consider release following the completion of the punitive component of the sentence,</w:t>
      </w:r>
      <w:r w:rsidR="00E30A82">
        <w:t xml:space="preserve"> </w:t>
      </w:r>
      <w:r>
        <w:t>are recognised both domestically and internationally as</w:t>
      </w:r>
      <w:r w:rsidR="00E30A82" w:rsidRPr="00E3581D">
        <w:t xml:space="preserve"> an important protection against an initially lawful and reasonable period of detention becoming arbitrary.</w:t>
      </w:r>
      <w:r w:rsidR="00E30A82" w:rsidRPr="00E3581D">
        <w:rPr>
          <w:rStyle w:val="FootnoteReference"/>
          <w:rFonts w:cs="Arial"/>
        </w:rPr>
        <w:footnoteReference w:id="35"/>
      </w:r>
      <w:r w:rsidR="00E30A82" w:rsidRPr="00E3581D">
        <w:t xml:space="preserve"> </w:t>
      </w:r>
      <w:r w:rsidR="00F83F7B">
        <w:t xml:space="preserve"> </w:t>
      </w:r>
    </w:p>
    <w:p w14:paraId="7FEAE887" w14:textId="65E79306" w:rsidR="009F063C" w:rsidRPr="007A0D21" w:rsidRDefault="009F063C" w:rsidP="001A4648">
      <w:pPr>
        <w:pStyle w:val="Bodytextnumbered"/>
        <w:rPr>
          <w:color w:val="000000" w:themeColor="text1"/>
        </w:rPr>
      </w:pPr>
      <w:r>
        <w:t xml:space="preserve">The </w:t>
      </w:r>
      <w:r w:rsidR="00242591">
        <w:t xml:space="preserve">Board’s processes </w:t>
      </w:r>
      <w:r>
        <w:t xml:space="preserve">are also central to </w:t>
      </w:r>
      <w:r w:rsidR="007A0D21">
        <w:t>upholding the</w:t>
      </w:r>
      <w:r>
        <w:t xml:space="preserve"> prohibition of inhuman treatment (s</w:t>
      </w:r>
      <w:r w:rsidR="00AB3166">
        <w:t> </w:t>
      </w:r>
      <w:r>
        <w:t>17(b)</w:t>
      </w:r>
      <w:r w:rsidR="00A70EEE">
        <w:t xml:space="preserve"> of the Human Rights Act</w:t>
      </w:r>
      <w:r>
        <w:t>).</w:t>
      </w:r>
      <w:r w:rsidR="00242591">
        <w:t xml:space="preserve"> </w:t>
      </w:r>
      <w:r w:rsidR="00FA4D73">
        <w:t>As the European Court of Human Rights has recognised:</w:t>
      </w:r>
    </w:p>
    <w:p w14:paraId="3E652B7A" w14:textId="5BAD6397" w:rsidR="007A0D21" w:rsidRPr="00FA4D73" w:rsidRDefault="007A0D21" w:rsidP="00FA4D73">
      <w:pPr>
        <w:pStyle w:val="Quote"/>
        <w:rPr>
          <w:i w:val="0"/>
          <w:iCs w:val="0"/>
          <w:sz w:val="20"/>
          <w:szCs w:val="20"/>
        </w:rPr>
      </w:pPr>
      <w:r w:rsidRPr="00FA4D73">
        <w:rPr>
          <w:i w:val="0"/>
          <w:iCs w:val="0"/>
          <w:sz w:val="20"/>
          <w:szCs w:val="20"/>
        </w:rPr>
        <w:t xml:space="preserve">it would be incompatible with human dignity </w:t>
      </w:r>
      <w:r w:rsidR="00FA4D73" w:rsidRPr="00FA4D73">
        <w:rPr>
          <w:i w:val="0"/>
          <w:iCs w:val="0"/>
          <w:sz w:val="20"/>
          <w:szCs w:val="20"/>
        </w:rPr>
        <w:t>…</w:t>
      </w:r>
      <w:r w:rsidRPr="00FA4D73">
        <w:rPr>
          <w:i w:val="0"/>
          <w:iCs w:val="0"/>
          <w:sz w:val="20"/>
          <w:szCs w:val="20"/>
        </w:rPr>
        <w:t xml:space="preserve"> forcefully to deprive a person of his freedom without striving towards his rehabilitation and providing him with the chance to regain that freedom at some future date</w:t>
      </w:r>
      <w:r w:rsidR="00276BA9">
        <w:rPr>
          <w:i w:val="0"/>
          <w:iCs w:val="0"/>
          <w:sz w:val="20"/>
          <w:szCs w:val="20"/>
        </w:rPr>
        <w:t>.</w:t>
      </w:r>
      <w:r w:rsidR="00587D3D">
        <w:rPr>
          <w:rStyle w:val="FootnoteReference"/>
          <w:i w:val="0"/>
          <w:iCs w:val="0"/>
          <w:sz w:val="20"/>
          <w:szCs w:val="20"/>
        </w:rPr>
        <w:footnoteReference w:id="36"/>
      </w:r>
    </w:p>
    <w:p w14:paraId="6C393B2B" w14:textId="77777777" w:rsidR="00F66405" w:rsidRDefault="00C504B8" w:rsidP="00F66405">
      <w:pPr>
        <w:pStyle w:val="Bodytextnumbered"/>
        <w:rPr>
          <w:rFonts w:cs="Arial"/>
          <w:color w:val="000000"/>
        </w:rPr>
      </w:pPr>
      <w:r>
        <w:t>For this reason it</w:t>
      </w:r>
      <w:r w:rsidR="007835BB">
        <w:t xml:space="preserve"> has been </w:t>
      </w:r>
      <w:r w:rsidR="007835BB" w:rsidRPr="009A280E">
        <w:t>recognised</w:t>
      </w:r>
      <w:r w:rsidR="007835BB">
        <w:t xml:space="preserve"> both internationally and domestically that serving a life sentence with no prospect of rehabilitation and release amounts to inhuman treatment.</w:t>
      </w:r>
      <w:r w:rsidR="007835BB">
        <w:rPr>
          <w:rStyle w:val="FootnoteReference"/>
        </w:rPr>
        <w:footnoteReference w:id="37"/>
      </w:r>
      <w:r w:rsidR="003829D2">
        <w:t xml:space="preserve"> </w:t>
      </w:r>
      <w:r w:rsidR="00F66405">
        <w:t>For this reason the European Court of Human Rights has stressed that ‘a</w:t>
      </w:r>
      <w:r w:rsidR="00F66405">
        <w:rPr>
          <w:rStyle w:val="sbb9ee52a"/>
          <w:rFonts w:cs="Arial"/>
          <w:color w:val="000000"/>
        </w:rPr>
        <w:t xml:space="preserve"> whole life prisoner is entitled to know ... what he must do to be considered for release and under what conditions”.</w:t>
      </w:r>
      <w:r w:rsidR="00F66405">
        <w:rPr>
          <w:rStyle w:val="FootnoteReference"/>
          <w:rFonts w:cs="Arial"/>
          <w:color w:val="000000"/>
        </w:rPr>
        <w:footnoteReference w:id="38"/>
      </w:r>
      <w:r w:rsidR="00F66405">
        <w:rPr>
          <w:rStyle w:val="sbb9ee52a"/>
          <w:rFonts w:cs="Arial"/>
          <w:color w:val="000000"/>
        </w:rPr>
        <w:t xml:space="preserve"> </w:t>
      </w:r>
      <w:r w:rsidR="00F66405" w:rsidRPr="00F66405">
        <w:rPr>
          <w:rFonts w:cs="Arial"/>
          <w:color w:val="000000"/>
        </w:rPr>
        <w:t>The obligation to offer a possibility of rehabilitation</w:t>
      </w:r>
      <w:r w:rsidR="00F66405">
        <w:rPr>
          <w:rFonts w:cs="Arial"/>
          <w:color w:val="000000"/>
        </w:rPr>
        <w:t>:</w:t>
      </w:r>
    </w:p>
    <w:p w14:paraId="5F89EB7B" w14:textId="2A95293E" w:rsidR="00804EC9" w:rsidRPr="00F66405" w:rsidRDefault="00F66405" w:rsidP="00F66405">
      <w:pPr>
        <w:pStyle w:val="Quote"/>
        <w:rPr>
          <w:i w:val="0"/>
          <w:iCs w:val="0"/>
          <w:sz w:val="20"/>
          <w:szCs w:val="20"/>
        </w:rPr>
      </w:pPr>
      <w:r w:rsidRPr="00F66405">
        <w:rPr>
          <w:i w:val="0"/>
          <w:iCs w:val="0"/>
          <w:sz w:val="20"/>
          <w:szCs w:val="20"/>
        </w:rPr>
        <w:t>is to be seen as an obligation of means, not one of result. However, it entails a positive obligation to secure prison regimes to life prisoners which are compatible with the aim of rehabilitation and enable such prisoners to make progress towards their rehabilitation. … [S]</w:t>
      </w:r>
      <w:proofErr w:type="spellStart"/>
      <w:r w:rsidRPr="00F66405">
        <w:rPr>
          <w:i w:val="0"/>
          <w:iCs w:val="0"/>
          <w:sz w:val="20"/>
          <w:szCs w:val="20"/>
        </w:rPr>
        <w:t>uch</w:t>
      </w:r>
      <w:proofErr w:type="spellEnd"/>
      <w:r w:rsidRPr="00F66405">
        <w:rPr>
          <w:i w:val="0"/>
          <w:iCs w:val="0"/>
          <w:sz w:val="20"/>
          <w:szCs w:val="20"/>
        </w:rPr>
        <w:t xml:space="preserve"> an obligation exists in situations where it is the prison regime or the conditions of detention which obstruct rehabilitation.</w:t>
      </w:r>
      <w:r>
        <w:rPr>
          <w:rStyle w:val="FootnoteReference"/>
          <w:i w:val="0"/>
          <w:iCs w:val="0"/>
          <w:sz w:val="20"/>
          <w:szCs w:val="20"/>
        </w:rPr>
        <w:footnoteReference w:id="39"/>
      </w:r>
    </w:p>
    <w:p w14:paraId="79871DAA" w14:textId="5EE0FBAE" w:rsidR="00E30A82" w:rsidRPr="00E3581D" w:rsidRDefault="00E30A82" w:rsidP="00E30A82">
      <w:pPr>
        <w:pStyle w:val="Bodytextnumbered"/>
        <w:rPr>
          <w:color w:val="000000" w:themeColor="text1"/>
        </w:rPr>
      </w:pPr>
      <w:r w:rsidRPr="00E3581D">
        <w:t>In a series of decisions</w:t>
      </w:r>
      <w:r w:rsidRPr="00E3581D">
        <w:rPr>
          <w:i/>
          <w:iCs/>
        </w:rPr>
        <w:t>,</w:t>
      </w:r>
      <w:r w:rsidRPr="00E3581D">
        <w:rPr>
          <w:rStyle w:val="FootnoteReference"/>
          <w:rFonts w:cs="Arial"/>
        </w:rPr>
        <w:footnoteReference w:id="40"/>
      </w:r>
      <w:r w:rsidRPr="00E3581D">
        <w:rPr>
          <w:i/>
          <w:iCs/>
        </w:rPr>
        <w:t xml:space="preserve"> </w:t>
      </w:r>
      <w:r w:rsidRPr="00E3581D">
        <w:t xml:space="preserve">the European Court of Human Rights has concluded that to ensure </w:t>
      </w:r>
      <w:r w:rsidR="00021B13">
        <w:t>life sentences do</w:t>
      </w:r>
      <w:r w:rsidRPr="00E3581D">
        <w:t xml:space="preserve"> not become arbitrary</w:t>
      </w:r>
      <w:r w:rsidR="00021B13">
        <w:t xml:space="preserve"> or give rise to inhuman treatment</w:t>
      </w:r>
      <w:r w:rsidRPr="00E3581D">
        <w:t>:</w:t>
      </w:r>
    </w:p>
    <w:p w14:paraId="4F89F852" w14:textId="0E8B11B0" w:rsidR="00E30A82" w:rsidRPr="00E3581D" w:rsidRDefault="00E30A82" w:rsidP="00F4701E">
      <w:pPr>
        <w:pStyle w:val="Bodybullet"/>
        <w:rPr>
          <w:color w:val="000000" w:themeColor="text1"/>
        </w:rPr>
      </w:pPr>
      <w:r w:rsidRPr="00E3581D">
        <w:t xml:space="preserve">there must be continuing regular public safety assessments </w:t>
      </w:r>
      <w:r w:rsidR="00363A4A">
        <w:t>(for example, by</w:t>
      </w:r>
      <w:r w:rsidRPr="00E3581D">
        <w:t xml:space="preserve"> the parole board), because factors such as risk of re-offence, dangerousness and mental instability change over time</w:t>
      </w:r>
    </w:p>
    <w:p w14:paraId="7B083B7A" w14:textId="7DC72C38" w:rsidR="00E30A82" w:rsidRPr="00E3581D" w:rsidRDefault="00E30A82" w:rsidP="00F4701E">
      <w:pPr>
        <w:pStyle w:val="Bodybullet"/>
        <w:rPr>
          <w:color w:val="000000" w:themeColor="text1"/>
        </w:rPr>
      </w:pPr>
      <w:r w:rsidRPr="00E3581D">
        <w:rPr>
          <w:color w:val="000000" w:themeColor="text1"/>
        </w:rPr>
        <w:t xml:space="preserve">the timeframe for such reviews should </w:t>
      </w:r>
      <w:r w:rsidRPr="00E3581D">
        <w:t xml:space="preserve">incorporate a sufficient measure of flexibility reflecting the realities of prisoners’ circumstances, and a guiding principle would be </w:t>
      </w:r>
      <w:r w:rsidRPr="00EA14B3">
        <w:t xml:space="preserve">significantly less than </w:t>
      </w:r>
      <w:proofErr w:type="gramStart"/>
      <w:r w:rsidRPr="00EA14B3">
        <w:t>2 year</w:t>
      </w:r>
      <w:proofErr w:type="gramEnd"/>
      <w:r w:rsidRPr="00EA14B3">
        <w:t xml:space="preserve"> intervals</w:t>
      </w:r>
    </w:p>
    <w:p w14:paraId="05DEA16C" w14:textId="2F65783D" w:rsidR="00E30A82" w:rsidRPr="00E3581D" w:rsidRDefault="00E30A82" w:rsidP="00F4701E">
      <w:pPr>
        <w:pStyle w:val="Bodybullet"/>
        <w:rPr>
          <w:rFonts w:cs="Arial"/>
          <w:color w:val="000000" w:themeColor="text1"/>
        </w:rPr>
      </w:pPr>
      <w:r w:rsidRPr="00E3581D">
        <w:lastRenderedPageBreak/>
        <w:t xml:space="preserve">guidance ought to be provided by parole authorities on further steps urged to demonstrate rehabilitation and enhance </w:t>
      </w:r>
      <w:proofErr w:type="gramStart"/>
      <w:r w:rsidRPr="00E3581D">
        <w:t>future prospects</w:t>
      </w:r>
      <w:proofErr w:type="gramEnd"/>
      <w:r w:rsidRPr="00E3581D">
        <w:t xml:space="preserve"> of release</w:t>
      </w:r>
      <w:r w:rsidR="00D55484">
        <w:t>,</w:t>
      </w:r>
      <w:r w:rsidRPr="00E3581D">
        <w:t xml:space="preserve"> and</w:t>
      </w:r>
    </w:p>
    <w:p w14:paraId="48E36781" w14:textId="77777777" w:rsidR="00E30A82" w:rsidRPr="00E3581D" w:rsidRDefault="00E30A82" w:rsidP="00F4701E">
      <w:pPr>
        <w:pStyle w:val="Bodybullet"/>
        <w:rPr>
          <w:rFonts w:cs="Arial"/>
        </w:rPr>
      </w:pPr>
      <w:r w:rsidRPr="00E3581D">
        <w:t>the State must offer programs of treatment and rehabilitation. The failure to do so or a delay in doing so may itself make continued detention arbitrary.</w:t>
      </w:r>
    </w:p>
    <w:p w14:paraId="353A2958" w14:textId="2719E1A2" w:rsidR="002D427F" w:rsidRDefault="00203883" w:rsidP="004F2648">
      <w:pPr>
        <w:pStyle w:val="Bodytextnumbered"/>
      </w:pPr>
      <w:r>
        <w:t>The</w:t>
      </w:r>
      <w:r w:rsidR="00D970BC" w:rsidRPr="006346CE">
        <w:t xml:space="preserve"> Parole Board </w:t>
      </w:r>
      <w:r w:rsidR="009A280E">
        <w:t>also</w:t>
      </w:r>
      <w:r w:rsidR="00D970BC" w:rsidRPr="006346CE">
        <w:t xml:space="preserve"> play</w:t>
      </w:r>
      <w:r w:rsidR="009A280E">
        <w:t>s</w:t>
      </w:r>
      <w:r w:rsidR="00D970BC" w:rsidRPr="006346CE">
        <w:t xml:space="preserve"> an important role in </w:t>
      </w:r>
      <w:r w:rsidR="001D768E">
        <w:t>promoting</w:t>
      </w:r>
      <w:r w:rsidR="006346CE" w:rsidRPr="006346CE">
        <w:t xml:space="preserve"> </w:t>
      </w:r>
      <w:r w:rsidR="006346CE">
        <w:t xml:space="preserve">other rights of prisoners that </w:t>
      </w:r>
      <w:r w:rsidR="00632149">
        <w:t>may</w:t>
      </w:r>
      <w:r w:rsidR="006346CE">
        <w:t xml:space="preserve"> not be adequately upheld in a custodial context – such as the right of access to health services, the right to equality, </w:t>
      </w:r>
      <w:r w:rsidR="00B70BE0">
        <w:t xml:space="preserve">cultural rights, and </w:t>
      </w:r>
      <w:r w:rsidR="006346CE">
        <w:t>the right to family</w:t>
      </w:r>
      <w:r>
        <w:t>.</w:t>
      </w:r>
      <w:r w:rsidR="00B70BE0">
        <w:t xml:space="preserve"> </w:t>
      </w:r>
    </w:p>
    <w:p w14:paraId="006D3634" w14:textId="33D9456A" w:rsidR="00E30A82" w:rsidRDefault="00C95DFB" w:rsidP="004F2648">
      <w:pPr>
        <w:pStyle w:val="Bodytextnumbered"/>
      </w:pPr>
      <w:r>
        <w:t>T</w:t>
      </w:r>
      <w:r w:rsidR="00FA260F">
        <w:t xml:space="preserve">he Human Rights Act provides a useful guide for decision-making that will best uphold </w:t>
      </w:r>
      <w:r w:rsidR="00501E77">
        <w:t xml:space="preserve">the purposes of the </w:t>
      </w:r>
      <w:r w:rsidR="00501E77" w:rsidRPr="00004499">
        <w:t>Corrective Services Act</w:t>
      </w:r>
      <w:r w:rsidR="00501E77">
        <w:rPr>
          <w:i/>
          <w:iCs/>
        </w:rPr>
        <w:t xml:space="preserve"> </w:t>
      </w:r>
      <w:r w:rsidR="00501E77">
        <w:t xml:space="preserve">and </w:t>
      </w:r>
      <w:r w:rsidR="00FA260F">
        <w:t>community safety in the long term.</w:t>
      </w:r>
      <w:r w:rsidR="00D970BC" w:rsidRPr="006346CE">
        <w:t xml:space="preserve"> </w:t>
      </w:r>
      <w:r>
        <w:t>This is because it requires genuine consideration of all relevant rights</w:t>
      </w:r>
      <w:r w:rsidR="00DE4854">
        <w:t xml:space="preserve"> </w:t>
      </w:r>
      <w:r>
        <w:t xml:space="preserve">– those of the victim, the prisoner, and the broader community – and consideration of the ways in which those rights can be accommodated </w:t>
      </w:r>
      <w:r w:rsidR="00F41B8E">
        <w:t>and promoted</w:t>
      </w:r>
      <w:r>
        <w:t xml:space="preserve"> to the greatest extent possible in an individual case</w:t>
      </w:r>
    </w:p>
    <w:p w14:paraId="6103A1C8" w14:textId="305FF343" w:rsidR="008F1265" w:rsidRPr="00993D43" w:rsidRDefault="001546F5" w:rsidP="00993D43">
      <w:pPr>
        <w:pStyle w:val="Heading3"/>
      </w:pPr>
      <w:bookmarkStart w:id="9" w:name="_Toc204594208"/>
      <w:r>
        <w:t>Recommendations</w:t>
      </w:r>
      <w:bookmarkEnd w:id="9"/>
    </w:p>
    <w:tbl>
      <w:tblPr>
        <w:tblStyle w:val="TableGrid"/>
        <w:tblW w:w="8647" w:type="dxa"/>
        <w:tblInd w:w="846" w:type="dxa"/>
        <w:tblLook w:val="04A0" w:firstRow="1" w:lastRow="0" w:firstColumn="1" w:lastColumn="0" w:noHBand="0" w:noVBand="1"/>
      </w:tblPr>
      <w:tblGrid>
        <w:gridCol w:w="8647"/>
      </w:tblGrid>
      <w:tr w:rsidR="008F1265" w14:paraId="1023C2BC" w14:textId="77777777" w:rsidTr="00C858EC">
        <w:tc>
          <w:tcPr>
            <w:tcW w:w="8647" w:type="dxa"/>
          </w:tcPr>
          <w:p w14:paraId="2622822C" w14:textId="360AACE6" w:rsidR="006E4F0B" w:rsidRPr="00CB2B63" w:rsidRDefault="00001D58" w:rsidP="00C31013">
            <w:pPr>
              <w:pStyle w:val="Bodytextnumbered"/>
              <w:numPr>
                <w:ilvl w:val="0"/>
                <w:numId w:val="0"/>
              </w:numPr>
              <w:ind w:left="294"/>
              <w:rPr>
                <w:b/>
                <w:bCs/>
              </w:rPr>
            </w:pPr>
            <w:r>
              <w:rPr>
                <w:b/>
                <w:bCs/>
              </w:rPr>
              <w:t xml:space="preserve">Recommendation 2: </w:t>
            </w:r>
            <w:r w:rsidR="00F165BD">
              <w:rPr>
                <w:b/>
                <w:bCs/>
              </w:rPr>
              <w:t xml:space="preserve">Recognise </w:t>
            </w:r>
            <w:r w:rsidR="00593292">
              <w:rPr>
                <w:b/>
                <w:bCs/>
              </w:rPr>
              <w:t>the</w:t>
            </w:r>
            <w:r w:rsidR="006E4F0B" w:rsidRPr="00CB2B63">
              <w:rPr>
                <w:b/>
                <w:bCs/>
              </w:rPr>
              <w:t xml:space="preserve"> Parole </w:t>
            </w:r>
            <w:r w:rsidR="00FF768B">
              <w:rPr>
                <w:b/>
                <w:bCs/>
              </w:rPr>
              <w:t xml:space="preserve">Board’s </w:t>
            </w:r>
            <w:r w:rsidR="002F4204">
              <w:rPr>
                <w:b/>
                <w:bCs/>
              </w:rPr>
              <w:t xml:space="preserve">role </w:t>
            </w:r>
            <w:r w:rsidR="00FF768B">
              <w:rPr>
                <w:b/>
                <w:bCs/>
              </w:rPr>
              <w:t>in pr</w:t>
            </w:r>
            <w:r w:rsidR="0046612E">
              <w:rPr>
                <w:b/>
                <w:bCs/>
              </w:rPr>
              <w:t>eventing arbitrary detention</w:t>
            </w:r>
            <w:r w:rsidR="00341B83">
              <w:rPr>
                <w:b/>
                <w:bCs/>
              </w:rPr>
              <w:t xml:space="preserve"> and</w:t>
            </w:r>
            <w:r w:rsidR="00296860">
              <w:rPr>
                <w:b/>
                <w:bCs/>
              </w:rPr>
              <w:t xml:space="preserve"> inhuman treatment</w:t>
            </w:r>
            <w:r w:rsidR="00C31013">
              <w:rPr>
                <w:b/>
                <w:bCs/>
              </w:rPr>
              <w:t xml:space="preserve"> </w:t>
            </w:r>
            <w:r w:rsidR="00E74A89">
              <w:rPr>
                <w:b/>
                <w:bCs/>
              </w:rPr>
              <w:t>through the prospect of rehabilitation</w:t>
            </w:r>
          </w:p>
          <w:p w14:paraId="4DC16A9C" w14:textId="0064E86F" w:rsidR="008F1265" w:rsidRPr="00417240" w:rsidRDefault="00852DFF" w:rsidP="00EC033A">
            <w:pPr>
              <w:pStyle w:val="Bodybullet"/>
              <w:numPr>
                <w:ilvl w:val="0"/>
                <w:numId w:val="45"/>
              </w:numPr>
            </w:pPr>
            <w:r>
              <w:t>E</w:t>
            </w:r>
            <w:r w:rsidR="00F86D33">
              <w:t>nsure that</w:t>
            </w:r>
            <w:r w:rsidR="003108B9">
              <w:t xml:space="preserve"> </w:t>
            </w:r>
            <w:r w:rsidR="00064E7C">
              <w:t>r</w:t>
            </w:r>
            <w:r w:rsidR="00417240">
              <w:t xml:space="preserve">ealistic </w:t>
            </w:r>
            <w:r w:rsidR="006402FA">
              <w:t xml:space="preserve">and individualised </w:t>
            </w:r>
            <w:r w:rsidR="00417240">
              <w:t>g</w:t>
            </w:r>
            <w:r w:rsidR="002B1D81" w:rsidRPr="002B1D81">
              <w:t xml:space="preserve">uidance is provided on </w:t>
            </w:r>
            <w:r w:rsidR="00417240">
              <w:t>the steps</w:t>
            </w:r>
            <w:r w:rsidR="002B1D81" w:rsidRPr="002B1D81">
              <w:t xml:space="preserve"> </w:t>
            </w:r>
            <w:r w:rsidR="00606778">
              <w:t>a</w:t>
            </w:r>
            <w:r w:rsidR="002B1D81" w:rsidRPr="002B1D81">
              <w:t xml:space="preserve"> prisoner can take</w:t>
            </w:r>
            <w:r w:rsidR="00417240">
              <w:t xml:space="preserve"> or treatment they should be provided</w:t>
            </w:r>
            <w:r w:rsidR="002B1D81" w:rsidRPr="002B1D81">
              <w:t xml:space="preserve"> </w:t>
            </w:r>
            <w:r w:rsidR="00B65D61">
              <w:t>with</w:t>
            </w:r>
            <w:r w:rsidR="002B1D81" w:rsidRPr="002B1D81">
              <w:t xml:space="preserve"> to </w:t>
            </w:r>
            <w:r w:rsidR="00F435A1">
              <w:t>support</w:t>
            </w:r>
            <w:r w:rsidR="002B1D81" w:rsidRPr="002B1D81">
              <w:t xml:space="preserve"> rehabilitation</w:t>
            </w:r>
            <w:r w:rsidR="00417240">
              <w:t xml:space="preserve"> and/or reduce risk on release</w:t>
            </w:r>
            <w:r w:rsidR="002B1D81" w:rsidRPr="002B1D81">
              <w:t>.</w:t>
            </w:r>
          </w:p>
        </w:tc>
      </w:tr>
    </w:tbl>
    <w:p w14:paraId="0BD3280F" w14:textId="77777777" w:rsidR="00CB2B63" w:rsidRPr="00CB2B63" w:rsidRDefault="00CB2B63" w:rsidP="00CB2B63"/>
    <w:p w14:paraId="13DDB6B6" w14:textId="6B7C8CEC" w:rsidR="00387133" w:rsidRPr="00BF7719" w:rsidRDefault="00DD6167" w:rsidP="00F05DBA">
      <w:pPr>
        <w:pStyle w:val="Heading1"/>
      </w:pPr>
      <w:bookmarkStart w:id="10" w:name="_Toc204594209"/>
      <w:r>
        <w:t xml:space="preserve">Alignment </w:t>
      </w:r>
      <w:r w:rsidR="00C25A20">
        <w:t xml:space="preserve">of practice </w:t>
      </w:r>
      <w:r w:rsidR="00F05DBA">
        <w:t xml:space="preserve">with </w:t>
      </w:r>
      <w:r w:rsidR="00ED50A8">
        <w:t>legislation</w:t>
      </w:r>
      <w:bookmarkEnd w:id="10"/>
    </w:p>
    <w:p w14:paraId="3F7C4948" w14:textId="1B455037" w:rsidR="002B224B" w:rsidRPr="00051350" w:rsidRDefault="00051350" w:rsidP="00633BB8">
      <w:pPr>
        <w:pStyle w:val="Heading2"/>
      </w:pPr>
      <w:bookmarkStart w:id="11" w:name="_Toc204594210"/>
      <w:r>
        <w:t>Human Rights Act</w:t>
      </w:r>
      <w:r w:rsidR="00030142">
        <w:t xml:space="preserve">: </w:t>
      </w:r>
      <w:r w:rsidR="00FC6CD2">
        <w:t xml:space="preserve">The Board’s </w:t>
      </w:r>
      <w:r w:rsidR="00030142">
        <w:t>past practice</w:t>
      </w:r>
      <w:bookmarkEnd w:id="11"/>
    </w:p>
    <w:p w14:paraId="7C797999" w14:textId="036DA0EA" w:rsidR="000F15DC" w:rsidRPr="002E1A55" w:rsidRDefault="00A76A46" w:rsidP="004F2648">
      <w:pPr>
        <w:pStyle w:val="Bodytextnumbered"/>
      </w:pPr>
      <w:r>
        <w:t xml:space="preserve">The Human Rights Act provides the </w:t>
      </w:r>
      <w:r w:rsidR="00037028">
        <w:t>framework</w:t>
      </w:r>
      <w:r w:rsidR="00866CE6">
        <w:t xml:space="preserve"> to improve decision-making</w:t>
      </w:r>
      <w:r w:rsidR="0031618D">
        <w:t xml:space="preserve"> within the Parole Board’s </w:t>
      </w:r>
      <w:r w:rsidR="00A56D11">
        <w:t>practices</w:t>
      </w:r>
      <w:r w:rsidR="00037028">
        <w:t xml:space="preserve"> by </w:t>
      </w:r>
      <w:proofErr w:type="gramStart"/>
      <w:r w:rsidR="00037028">
        <w:t>giving</w:t>
      </w:r>
      <w:r w:rsidR="00866CE6">
        <w:t xml:space="preserve"> proper consideration to</w:t>
      </w:r>
      <w:proofErr w:type="gramEnd"/>
      <w:r w:rsidR="00866CE6">
        <w:t xml:space="preserve"> human rights and </w:t>
      </w:r>
      <w:r w:rsidR="00037028">
        <w:t>making</w:t>
      </w:r>
      <w:r w:rsidR="00866CE6">
        <w:t xml:space="preserve"> decisions compatibly with human rights. </w:t>
      </w:r>
      <w:r w:rsidR="000F15DC">
        <w:t xml:space="preserve">Two Supreme Court decisions </w:t>
      </w:r>
      <w:r w:rsidR="00B253F0" w:rsidDel="000F15DC">
        <w:t>indicate that</w:t>
      </w:r>
      <w:r w:rsidR="00704CB1" w:rsidDel="000F15DC">
        <w:t xml:space="preserve"> </w:t>
      </w:r>
      <w:r w:rsidR="00B253F0" w:rsidDel="000F15DC">
        <w:t xml:space="preserve">the Board may not have </w:t>
      </w:r>
      <w:r w:rsidR="00871749" w:rsidDel="000F15DC">
        <w:t>been</w:t>
      </w:r>
      <w:r w:rsidR="00B253F0" w:rsidDel="000F15DC">
        <w:t xml:space="preserve"> consistently comp</w:t>
      </w:r>
      <w:r w:rsidR="00871749" w:rsidDel="000F15DC">
        <w:t>lying</w:t>
      </w:r>
      <w:r w:rsidR="00B253F0" w:rsidDel="000F15DC">
        <w:t xml:space="preserve"> with </w:t>
      </w:r>
      <w:r w:rsidR="000D271F">
        <w:t>these</w:t>
      </w:r>
      <w:r w:rsidR="00B253F0" w:rsidDel="000F15DC">
        <w:t xml:space="preserve"> obligations</w:t>
      </w:r>
      <w:r w:rsidR="00C0159A" w:rsidDel="000F15DC">
        <w:t xml:space="preserve"> </w:t>
      </w:r>
      <w:r w:rsidR="000D271F">
        <w:t>in the past</w:t>
      </w:r>
      <w:r w:rsidR="006C623F">
        <w:t>.</w:t>
      </w:r>
    </w:p>
    <w:p w14:paraId="3AFAE3E4" w14:textId="3B994B53" w:rsidR="0008395A" w:rsidRPr="0008395A" w:rsidRDefault="0055252A" w:rsidP="004F2648">
      <w:pPr>
        <w:pStyle w:val="Bodytextnumbered"/>
        <w:rPr>
          <w:rFonts w:ascii="Times New Roman" w:hAnsi="Times New Roman"/>
          <w:sz w:val="24"/>
        </w:rPr>
      </w:pPr>
      <w:r w:rsidRPr="00B847F6" w:rsidDel="000F15DC">
        <w:rPr>
          <w:i/>
        </w:rPr>
        <w:t xml:space="preserve">Anderson </w:t>
      </w:r>
      <w:r>
        <w:rPr>
          <w:rStyle w:val="Emphasis"/>
        </w:rPr>
        <w:t>v President, Parole Board Queensland</w:t>
      </w:r>
      <w:r>
        <w:t xml:space="preserve"> </w:t>
      </w:r>
      <w:r w:rsidR="001C5866">
        <w:t xml:space="preserve">concerned a </w:t>
      </w:r>
      <w:r w:rsidRPr="008E3EB5">
        <w:t xml:space="preserve">70-year-old prisoner with serious health issues, </w:t>
      </w:r>
      <w:r w:rsidR="001C5866">
        <w:t xml:space="preserve">who </w:t>
      </w:r>
      <w:r w:rsidRPr="008E3EB5">
        <w:t>challenged</w:t>
      </w:r>
      <w:r w:rsidR="001C5866">
        <w:t xml:space="preserve"> the </w:t>
      </w:r>
      <w:r w:rsidR="00B15BCA">
        <w:t>length</w:t>
      </w:r>
      <w:r w:rsidR="001C5866">
        <w:t xml:space="preserve"> of</w:t>
      </w:r>
      <w:r w:rsidRPr="008E3EB5">
        <w:t xml:space="preserve"> a Restricted Prisoner Declaration that blocked his ability to apply for parole for 8.5 years.</w:t>
      </w:r>
      <w:r w:rsidR="001D76EE">
        <w:rPr>
          <w:rStyle w:val="FootnoteReference"/>
        </w:rPr>
        <w:footnoteReference w:id="41"/>
      </w:r>
      <w:r w:rsidRPr="008E3EB5">
        <w:t xml:space="preserve"> </w:t>
      </w:r>
      <w:r w:rsidR="00770C0D">
        <w:t xml:space="preserve"> There was evidence that, during the period of the declaration, his health needs may </w:t>
      </w:r>
      <w:r w:rsidR="00646424">
        <w:t xml:space="preserve">deteriorate to such an extent that they would </w:t>
      </w:r>
      <w:r w:rsidR="00770C0D">
        <w:t xml:space="preserve">not be able to be met in custody. </w:t>
      </w:r>
    </w:p>
    <w:p w14:paraId="5411517D" w14:textId="45D7C799" w:rsidR="00DC7121" w:rsidRPr="00125D40" w:rsidRDefault="00D9570F" w:rsidP="004F2648">
      <w:pPr>
        <w:pStyle w:val="Bodytextnumbered"/>
        <w:rPr>
          <w:rFonts w:ascii="Times New Roman" w:hAnsi="Times New Roman"/>
          <w:sz w:val="24"/>
        </w:rPr>
      </w:pPr>
      <w:r>
        <w:lastRenderedPageBreak/>
        <w:t>The Court observed that there was a brief reference to human rights in the Notice of Preliminary view</w:t>
      </w:r>
      <w:r w:rsidR="00AC259F">
        <w:t xml:space="preserve">, but </w:t>
      </w:r>
      <w:r w:rsidR="006F4DFE">
        <w:t>no</w:t>
      </w:r>
      <w:r w:rsidR="00AC259F">
        <w:t xml:space="preserve"> proper consideration </w:t>
      </w:r>
      <w:r w:rsidR="003E3F40">
        <w:t>of human rights as required by</w:t>
      </w:r>
      <w:r w:rsidR="00AC259F">
        <w:t xml:space="preserve"> s 58(1)(b) of the HR Act.</w:t>
      </w:r>
      <w:r w:rsidR="00AC259F">
        <w:rPr>
          <w:rStyle w:val="FootnoteReference"/>
        </w:rPr>
        <w:footnoteReference w:id="42"/>
      </w:r>
      <w:r w:rsidR="00AC259F">
        <w:t xml:space="preserve"> The</w:t>
      </w:r>
      <w:r w:rsidR="00871749">
        <w:t xml:space="preserve"> </w:t>
      </w:r>
      <w:r w:rsidR="00DC7121">
        <w:t xml:space="preserve">decision did not adequately </w:t>
      </w:r>
      <w:r w:rsidR="00EC3857">
        <w:t>identify the rights engaged by the decision, how the decision limited them, and whether those limits were justified</w:t>
      </w:r>
      <w:r w:rsidR="00DC7121">
        <w:t xml:space="preserve"> in light of </w:t>
      </w:r>
      <w:r w:rsidR="00EC3857">
        <w:t xml:space="preserve">the aims of the declaration, which included protecting the </w:t>
      </w:r>
      <w:r w:rsidR="00DC7121">
        <w:t xml:space="preserve">rights of victims and safety of the community. </w:t>
      </w:r>
      <w:r w:rsidR="00770C0D">
        <w:t xml:space="preserve">The </w:t>
      </w:r>
      <w:r w:rsidR="00125D40">
        <w:t>term of the declaration</w:t>
      </w:r>
      <w:r w:rsidR="003E3F40">
        <w:t>, which had been found to be unlawful</w:t>
      </w:r>
      <w:r w:rsidR="006F4DFE">
        <w:t xml:space="preserve"> on administrative law grounds</w:t>
      </w:r>
      <w:r w:rsidR="003E3F40">
        <w:t xml:space="preserve"> for failure to take account of a relevant consideration, was also </w:t>
      </w:r>
      <w:r w:rsidR="00FF04FD">
        <w:t>unlawful for failing to satisfy s 58(1)(b</w:t>
      </w:r>
      <w:r w:rsidR="00770C0D">
        <w:t>)</w:t>
      </w:r>
      <w:r w:rsidR="00FF04FD">
        <w:t>.</w:t>
      </w:r>
      <w:r w:rsidR="00FF04FD">
        <w:rPr>
          <w:rStyle w:val="FootnoteReference"/>
        </w:rPr>
        <w:footnoteReference w:id="43"/>
      </w:r>
    </w:p>
    <w:p w14:paraId="12862B13" w14:textId="0211205D" w:rsidR="00403324" w:rsidRDefault="002B224B" w:rsidP="004F2648">
      <w:pPr>
        <w:pStyle w:val="Bodytextnumbered"/>
      </w:pPr>
      <w:r>
        <w:t xml:space="preserve">In </w:t>
      </w:r>
      <w:r w:rsidR="007470D5">
        <w:rPr>
          <w:rStyle w:val="Emphasis"/>
        </w:rPr>
        <w:t>Morgan v Parole Board Queensland</w:t>
      </w:r>
      <w:r>
        <w:t xml:space="preserve">, </w:t>
      </w:r>
      <w:r w:rsidR="00C562FB">
        <w:t xml:space="preserve">the applicant </w:t>
      </w:r>
      <w:r w:rsidR="00965004">
        <w:t xml:space="preserve">was a prisoner </w:t>
      </w:r>
      <w:r w:rsidR="00FE7291">
        <w:t>serving a life sentence who</w:t>
      </w:r>
      <w:r w:rsidR="00965004" w:rsidRPr="00965004">
        <w:t xml:space="preserve"> applied for judicial review of the Parole Board Queensland’s decision to refuse him parole</w:t>
      </w:r>
      <w:r w:rsidR="003F3E81">
        <w:t>.</w:t>
      </w:r>
      <w:r w:rsidR="00F10140">
        <w:rPr>
          <w:rStyle w:val="FootnoteReference"/>
        </w:rPr>
        <w:footnoteReference w:id="44"/>
      </w:r>
      <w:r w:rsidR="003F3E81">
        <w:t xml:space="preserve"> The applicant contended that</w:t>
      </w:r>
      <w:r w:rsidR="00965004" w:rsidRPr="00965004">
        <w:t xml:space="preserve"> the Board failed to properly consider relevant factors, including his rehabilitation and participation in a substance abuse program, and had earlier acted beyond power by purporting to grant parole subject to conditions not permitted under the statutory framework.</w:t>
      </w:r>
      <w:r w:rsidR="00FE7291">
        <w:t xml:space="preserve"> </w:t>
      </w:r>
    </w:p>
    <w:p w14:paraId="611BFC93" w14:textId="50AEDB5A" w:rsidR="002B224B" w:rsidRDefault="00FE7291" w:rsidP="004F2648">
      <w:pPr>
        <w:pStyle w:val="Bodytextnumbered"/>
      </w:pPr>
      <w:r>
        <w:t>T</w:t>
      </w:r>
      <w:r w:rsidR="002B224B">
        <w:t xml:space="preserve">he case primarily turned on administrative law principles, although the applicant also submitted that the Board’s ultimate refusal decision failed to adequately consider his rehabilitation efforts, residential stability in custody, and human rights, including those related to liberty and fair treatment. While the Court ultimately granted relief on administrative </w:t>
      </w:r>
      <w:r w:rsidR="0063727D">
        <w:t xml:space="preserve">law </w:t>
      </w:r>
      <w:r w:rsidR="002B224B">
        <w:t>grounds, the human rights arguments underscore the Board’s insufficient attention to the statutory requirement to identify and engage with human rights relevant to parole determinations.</w:t>
      </w:r>
      <w:r w:rsidR="002B224B">
        <w:rPr>
          <w:rStyle w:val="FootnoteReference"/>
        </w:rPr>
        <w:footnoteReference w:id="45"/>
      </w:r>
      <w:r w:rsidR="0063727D">
        <w:t xml:space="preserve"> Had it done so, </w:t>
      </w:r>
      <w:r w:rsidR="00633BB8">
        <w:t xml:space="preserve">by genuinely considering the individual circumstances of the case, </w:t>
      </w:r>
      <w:r w:rsidR="0063727D">
        <w:t>it is</w:t>
      </w:r>
      <w:r w:rsidR="008767C9">
        <w:t xml:space="preserve"> also</w:t>
      </w:r>
      <w:r w:rsidR="0063727D">
        <w:t xml:space="preserve"> less likely to have fallen into error on the administrative law grounds.</w:t>
      </w:r>
    </w:p>
    <w:p w14:paraId="60FAF7E1" w14:textId="0B349703" w:rsidR="0070042F" w:rsidRPr="0070042F" w:rsidRDefault="00633BB8" w:rsidP="00405EE9">
      <w:pPr>
        <w:pStyle w:val="Heading2"/>
      </w:pPr>
      <w:bookmarkStart w:id="12" w:name="_Toc204594211"/>
      <w:r>
        <w:t xml:space="preserve">Putting </w:t>
      </w:r>
      <w:r w:rsidR="000F077A">
        <w:t>h</w:t>
      </w:r>
      <w:r>
        <w:t xml:space="preserve">uman </w:t>
      </w:r>
      <w:r w:rsidR="000F077A">
        <w:t>r</w:t>
      </w:r>
      <w:r>
        <w:t>ights at the centre</w:t>
      </w:r>
      <w:bookmarkEnd w:id="12"/>
      <w:r>
        <w:t xml:space="preserve"> </w:t>
      </w:r>
    </w:p>
    <w:p w14:paraId="58135C1F" w14:textId="001BC450" w:rsidR="00E955B4" w:rsidRDefault="005D0769" w:rsidP="005D0769">
      <w:pPr>
        <w:pStyle w:val="Bodytextnumbered"/>
      </w:pPr>
      <w:r>
        <w:t>The Parole Board has a legal obligation to comply with the Human Rights Act and must ensure that its members and officers are appropriately supported to do so.</w:t>
      </w:r>
      <w:r w:rsidR="00CD6D04">
        <w:t xml:space="preserve"> </w:t>
      </w:r>
    </w:p>
    <w:p w14:paraId="47E003E3" w14:textId="269F9796" w:rsidR="00E955B4" w:rsidRDefault="00CE3D08" w:rsidP="00CE4828">
      <w:pPr>
        <w:pStyle w:val="Bodytextnumbered"/>
      </w:pPr>
      <w:r>
        <w:t>The</w:t>
      </w:r>
      <w:r w:rsidR="00CD6D04">
        <w:t xml:space="preserve"> Courts</w:t>
      </w:r>
      <w:r>
        <w:t xml:space="preserve"> have provided useful guidance</w:t>
      </w:r>
      <w:r w:rsidR="00CD6D04">
        <w:t xml:space="preserve"> as to what is required</w:t>
      </w:r>
      <w:r w:rsidR="00CE4828">
        <w:t xml:space="preserve"> to </w:t>
      </w:r>
      <w:proofErr w:type="gramStart"/>
      <w:r w:rsidR="00CE4828">
        <w:t xml:space="preserve">give </w:t>
      </w:r>
      <w:r w:rsidR="0008395A">
        <w:t>proper consideration</w:t>
      </w:r>
      <w:r w:rsidR="00CE4828">
        <w:t xml:space="preserve"> to</w:t>
      </w:r>
      <w:proofErr w:type="gramEnd"/>
      <w:r w:rsidR="00CE4828">
        <w:t xml:space="preserve"> human rights. </w:t>
      </w:r>
      <w:r w:rsidR="00E955B4">
        <w:t>The identification of relevant human rights must be approached in a ‘common sense and practical manner’, and decision makers ‘are not expected to achieve the level of consideration that might be hoped for in a decision given by a judge’.</w:t>
      </w:r>
      <w:r w:rsidR="00E955B4">
        <w:rPr>
          <w:rStyle w:val="FootnoteReference"/>
          <w:color w:val="000000" w:themeColor="text1"/>
        </w:rPr>
        <w:footnoteReference w:id="46"/>
      </w:r>
      <w:r w:rsidR="00E955B4">
        <w:t xml:space="preserve"> Proper consideration requires that the decision-maker:</w:t>
      </w:r>
    </w:p>
    <w:p w14:paraId="7801F081" w14:textId="77777777" w:rsidR="00E955B4" w:rsidRPr="00E168ED" w:rsidRDefault="00E955B4" w:rsidP="00E955B4">
      <w:pPr>
        <w:pStyle w:val="Quote"/>
        <w:rPr>
          <w:i w:val="0"/>
          <w:iCs w:val="0"/>
          <w:sz w:val="20"/>
          <w:szCs w:val="20"/>
        </w:rPr>
      </w:pPr>
      <w:r w:rsidRPr="00E168ED">
        <w:rPr>
          <w:i w:val="0"/>
          <w:iCs w:val="0"/>
          <w:sz w:val="20"/>
          <w:szCs w:val="20"/>
        </w:rPr>
        <w:lastRenderedPageBreak/>
        <w:t>(1)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r w:rsidRPr="00E168ED">
        <w:rPr>
          <w:rStyle w:val="FootnoteReference"/>
          <w:i w:val="0"/>
          <w:iCs w:val="0"/>
          <w:sz w:val="20"/>
          <w:szCs w:val="20"/>
        </w:rPr>
        <w:footnoteReference w:id="47"/>
      </w:r>
    </w:p>
    <w:p w14:paraId="268BE982" w14:textId="77777777" w:rsidR="00E168ED" w:rsidRDefault="00E955B4" w:rsidP="00E168ED">
      <w:pPr>
        <w:pStyle w:val="Bodytextnumbered"/>
        <w:spacing w:line="240" w:lineRule="auto"/>
      </w:pPr>
      <w:r>
        <w:t xml:space="preserve">Decision-makers are entitled to refer to human rights assessments prepared by their </w:t>
      </w:r>
      <w:proofErr w:type="gramStart"/>
      <w:r>
        <w:t>staff,</w:t>
      </w:r>
      <w:proofErr w:type="gramEnd"/>
      <w:r>
        <w:t xml:space="preserve"> however, proper consideration requires more than just the acceptance of advice.</w:t>
      </w:r>
      <w:r>
        <w:rPr>
          <w:rStyle w:val="FootnoteReference"/>
          <w:color w:val="000000" w:themeColor="text1"/>
        </w:rPr>
        <w:footnoteReference w:id="48"/>
      </w:r>
      <w:r>
        <w:t xml:space="preserve"> </w:t>
      </w:r>
    </w:p>
    <w:p w14:paraId="5BF900CA" w14:textId="2661D5D8" w:rsidR="007807C9" w:rsidRPr="00994AAA" w:rsidRDefault="00E168ED" w:rsidP="00E168ED">
      <w:pPr>
        <w:pStyle w:val="Bodytextnumbered"/>
        <w:spacing w:line="240" w:lineRule="auto"/>
      </w:pPr>
      <w:r>
        <w:t>It is also important to emphasise</w:t>
      </w:r>
      <w:r w:rsidR="00114273">
        <w:t xml:space="preserve"> </w:t>
      </w:r>
      <w:r>
        <w:t>that t</w:t>
      </w:r>
      <w:r w:rsidR="007807C9">
        <w:t>he Parole Board’s functions do not</w:t>
      </w:r>
      <w:r w:rsidR="007807C9" w:rsidRPr="00994AAA">
        <w:t xml:space="preserve"> operate in isolation.</w:t>
      </w:r>
      <w:r w:rsidR="00FF4B41">
        <w:rPr>
          <w:rStyle w:val="FootnoteReference"/>
        </w:rPr>
        <w:footnoteReference w:id="49"/>
      </w:r>
      <w:r w:rsidR="007807C9" w:rsidRPr="00994AAA">
        <w:t xml:space="preserve"> </w:t>
      </w:r>
      <w:r>
        <w:t>Its work is</w:t>
      </w:r>
      <w:r w:rsidR="007807C9" w:rsidRPr="00994AAA">
        <w:t xml:space="preserve"> deeply interconnected with</w:t>
      </w:r>
      <w:r>
        <w:t xml:space="preserve"> and dependent on</w:t>
      </w:r>
      <w:r w:rsidR="007807C9" w:rsidRPr="00994AAA">
        <w:t xml:space="preserve"> other parts of the justice system, including </w:t>
      </w:r>
      <w:r w:rsidR="007807C9">
        <w:t xml:space="preserve">victim engagement frameworks, sentencing, prison conditions, the screening and treatment of prisoners’ mental and physical health needs, provision of education, employment and rehabilitation within prison, and support provided upon release. Adequate resourcing and respect for human rights in each of these areas is crucial to the success of the parole system, while a successful parole system is crucial to the functioning of the </w:t>
      </w:r>
      <w:proofErr w:type="gramStart"/>
      <w:r w:rsidR="00BC5FFD">
        <w:t>system as a whole</w:t>
      </w:r>
      <w:proofErr w:type="gramEnd"/>
      <w:r w:rsidR="00BC5FFD">
        <w:t>.</w:t>
      </w:r>
    </w:p>
    <w:p w14:paraId="4C49FDAA" w14:textId="479FC11C" w:rsidR="00C858EC" w:rsidRPr="00C858EC" w:rsidRDefault="00D45C7A" w:rsidP="00C858EC">
      <w:pPr>
        <w:pStyle w:val="Heading3"/>
      </w:pPr>
      <w:bookmarkStart w:id="13" w:name="_Toc204594212"/>
      <w:r>
        <w:t>Recommendations</w:t>
      </w:r>
      <w:bookmarkEnd w:id="13"/>
    </w:p>
    <w:tbl>
      <w:tblPr>
        <w:tblStyle w:val="TableGrid"/>
        <w:tblW w:w="9322" w:type="dxa"/>
        <w:tblInd w:w="562" w:type="dxa"/>
        <w:tblLook w:val="04A0" w:firstRow="1" w:lastRow="0" w:firstColumn="1" w:lastColumn="0" w:noHBand="0" w:noVBand="1"/>
      </w:tblPr>
      <w:tblGrid>
        <w:gridCol w:w="9322"/>
      </w:tblGrid>
      <w:tr w:rsidR="00C858EC" w14:paraId="08DB422C" w14:textId="77777777" w:rsidTr="001E4EEB">
        <w:tc>
          <w:tcPr>
            <w:tcW w:w="9322" w:type="dxa"/>
          </w:tcPr>
          <w:p w14:paraId="6AF3FAD9" w14:textId="21A7C53C" w:rsidR="00C858EC" w:rsidRPr="00F244D7" w:rsidRDefault="001A7C2A" w:rsidP="00A24029">
            <w:pPr>
              <w:pStyle w:val="Bodytextnumbered"/>
              <w:numPr>
                <w:ilvl w:val="0"/>
                <w:numId w:val="0"/>
              </w:numPr>
              <w:ind w:left="294"/>
              <w:rPr>
                <w:b/>
                <w:bCs/>
              </w:rPr>
            </w:pPr>
            <w:r>
              <w:rPr>
                <w:b/>
                <w:bCs/>
              </w:rPr>
              <w:t xml:space="preserve">Recommendation 3: </w:t>
            </w:r>
            <w:r w:rsidR="00F72B70">
              <w:rPr>
                <w:b/>
                <w:bCs/>
              </w:rPr>
              <w:t>A</w:t>
            </w:r>
            <w:r w:rsidR="001E4EEB">
              <w:rPr>
                <w:b/>
                <w:bCs/>
              </w:rPr>
              <w:t>udit compliance with the Human Rights Act</w:t>
            </w:r>
          </w:p>
          <w:p w14:paraId="114613E5" w14:textId="0DC3F575" w:rsidR="00BA65BF" w:rsidRDefault="005C0451" w:rsidP="00BA65BF">
            <w:pPr>
              <w:pStyle w:val="Bodybullet"/>
            </w:pPr>
            <w:r>
              <w:t>Review the extent to which a sample of recent decisions demonstrate compliance with its obligations under s 58 of the Human Rights Act</w:t>
            </w:r>
            <w:r w:rsidR="004A2C83">
              <w:t xml:space="preserve"> to </w:t>
            </w:r>
            <w:proofErr w:type="gramStart"/>
            <w:r w:rsidR="004A2C83">
              <w:t>give proper consideration to</w:t>
            </w:r>
            <w:proofErr w:type="gramEnd"/>
            <w:r w:rsidR="004A2C83">
              <w:t xml:space="preserve"> human rights and to make decisions compatible with human rights</w:t>
            </w:r>
            <w:r w:rsidR="00BA65BF">
              <w:t xml:space="preserve"> and identify areas for improvement</w:t>
            </w:r>
          </w:p>
          <w:p w14:paraId="4DEB0429" w14:textId="5C55170E" w:rsidR="005F1ECC" w:rsidRDefault="005F1ECC" w:rsidP="005F1ECC">
            <w:pPr>
              <w:pStyle w:val="Bodybullet"/>
            </w:pPr>
            <w:r>
              <w:t>Identify whether</w:t>
            </w:r>
            <w:r w:rsidR="007F6A39">
              <w:t>, and if so where,</w:t>
            </w:r>
            <w:r>
              <w:t xml:space="preserve"> </w:t>
            </w:r>
            <w:r w:rsidR="007F6A39">
              <w:t>human rights analysis is limited to brief references and/or boilerplate statements</w:t>
            </w:r>
          </w:p>
          <w:p w14:paraId="13392265" w14:textId="77777777" w:rsidR="00BB3BF4" w:rsidRDefault="00BB3BF4" w:rsidP="004A5A35">
            <w:pPr>
              <w:pStyle w:val="Bodybullet"/>
              <w:numPr>
                <w:ilvl w:val="0"/>
                <w:numId w:val="0"/>
              </w:numPr>
            </w:pPr>
          </w:p>
          <w:p w14:paraId="3A7C4CB3" w14:textId="26E8CEA0" w:rsidR="00BB3BF4" w:rsidRPr="00FA197D" w:rsidRDefault="001A7C2A" w:rsidP="00A24029">
            <w:pPr>
              <w:pStyle w:val="Bodytextnumbered"/>
              <w:numPr>
                <w:ilvl w:val="0"/>
                <w:numId w:val="0"/>
              </w:numPr>
              <w:ind w:left="294"/>
              <w:rPr>
                <w:b/>
                <w:bCs/>
              </w:rPr>
            </w:pPr>
            <w:r>
              <w:rPr>
                <w:b/>
                <w:bCs/>
              </w:rPr>
              <w:t>Recommendation 4</w:t>
            </w:r>
            <w:r w:rsidR="00A24029">
              <w:rPr>
                <w:b/>
                <w:bCs/>
              </w:rPr>
              <w:t>:</w:t>
            </w:r>
            <w:r>
              <w:rPr>
                <w:b/>
                <w:bCs/>
              </w:rPr>
              <w:t xml:space="preserve"> </w:t>
            </w:r>
            <w:r w:rsidR="00BB3BF4" w:rsidRPr="00FA197D">
              <w:rPr>
                <w:b/>
                <w:bCs/>
              </w:rPr>
              <w:t>Strengthen</w:t>
            </w:r>
            <w:r w:rsidR="00896C20">
              <w:rPr>
                <w:b/>
                <w:bCs/>
              </w:rPr>
              <w:t xml:space="preserve"> human rights in </w:t>
            </w:r>
            <w:r w:rsidR="00BB3BF4" w:rsidRPr="00FA197D">
              <w:rPr>
                <w:b/>
                <w:bCs/>
              </w:rPr>
              <w:t>decision-making processes</w:t>
            </w:r>
          </w:p>
          <w:p w14:paraId="5EB08515" w14:textId="3226BD4E" w:rsidR="00AA59D6" w:rsidRDefault="00BA65BF" w:rsidP="005F1ECC">
            <w:pPr>
              <w:pStyle w:val="Bodybullet"/>
            </w:pPr>
            <w:r>
              <w:t>Review</w:t>
            </w:r>
            <w:r w:rsidR="000B4E8E">
              <w:t xml:space="preserve"> and update decision-making</w:t>
            </w:r>
            <w:r>
              <w:t xml:space="preserve"> procedures</w:t>
            </w:r>
            <w:r w:rsidR="000B4E8E">
              <w:t xml:space="preserve"> and guidance as required to incorporate obligations under the Human Rights Act</w:t>
            </w:r>
          </w:p>
          <w:p w14:paraId="481B3BE1" w14:textId="209119D0" w:rsidR="00C41B29" w:rsidRDefault="00C41B29" w:rsidP="005F1ECC">
            <w:pPr>
              <w:pStyle w:val="Bodybullet"/>
            </w:pPr>
            <w:r>
              <w:t>Ensure access to ongoing human rights expe</w:t>
            </w:r>
            <w:r w:rsidR="00EB04EF">
              <w:t>rtise to support decision-making</w:t>
            </w:r>
          </w:p>
          <w:p w14:paraId="2049D61B" w14:textId="725A161F" w:rsidR="00FA197D" w:rsidRDefault="00C41B29" w:rsidP="005F1ECC">
            <w:pPr>
              <w:pStyle w:val="Bodybullet"/>
            </w:pPr>
            <w:r>
              <w:t xml:space="preserve">Embed audit processes </w:t>
            </w:r>
            <w:r w:rsidR="00F44278">
              <w:t xml:space="preserve">to review a sample of decisions for compliance with obligations to </w:t>
            </w:r>
            <w:proofErr w:type="gramStart"/>
            <w:r w:rsidR="00F44278">
              <w:t>give proper consideration to</w:t>
            </w:r>
            <w:proofErr w:type="gramEnd"/>
            <w:r w:rsidR="00F44278">
              <w:t xml:space="preserve"> human rights and make decisions that are compatible with human rights</w:t>
            </w:r>
          </w:p>
          <w:p w14:paraId="32371A95" w14:textId="57B070EB" w:rsidR="00474D8A" w:rsidRDefault="00A24029" w:rsidP="00BE5B8D">
            <w:pPr>
              <w:pStyle w:val="Bodytextnumbered"/>
              <w:keepNext/>
              <w:numPr>
                <w:ilvl w:val="0"/>
                <w:numId w:val="0"/>
              </w:numPr>
              <w:ind w:left="295"/>
              <w:rPr>
                <w:b/>
                <w:bCs/>
              </w:rPr>
            </w:pPr>
            <w:r>
              <w:rPr>
                <w:b/>
                <w:bCs/>
              </w:rPr>
              <w:lastRenderedPageBreak/>
              <w:t xml:space="preserve">Recommendation 5: </w:t>
            </w:r>
            <w:r w:rsidR="004512CD">
              <w:rPr>
                <w:b/>
                <w:bCs/>
              </w:rPr>
              <w:t xml:space="preserve">Deliver </w:t>
            </w:r>
            <w:r w:rsidR="00BB3BF4">
              <w:rPr>
                <w:b/>
                <w:bCs/>
              </w:rPr>
              <w:t xml:space="preserve">targeted, </w:t>
            </w:r>
            <w:r w:rsidR="004512CD">
              <w:rPr>
                <w:b/>
                <w:bCs/>
              </w:rPr>
              <w:t xml:space="preserve">in-depth </w:t>
            </w:r>
            <w:r w:rsidR="00AD1778">
              <w:rPr>
                <w:b/>
                <w:bCs/>
              </w:rPr>
              <w:t xml:space="preserve">training to members and staff as required on application of the </w:t>
            </w:r>
            <w:r w:rsidR="00F72B70">
              <w:rPr>
                <w:b/>
                <w:bCs/>
              </w:rPr>
              <w:t>Human Rights Act</w:t>
            </w:r>
            <w:r w:rsidR="00960BD6">
              <w:rPr>
                <w:b/>
                <w:bCs/>
              </w:rPr>
              <w:t xml:space="preserve"> in relevant scenarios</w:t>
            </w:r>
          </w:p>
          <w:p w14:paraId="4A677E35" w14:textId="5AE5B298" w:rsidR="00C858EC" w:rsidRDefault="00D85F41" w:rsidP="00474D8A">
            <w:pPr>
              <w:pStyle w:val="Bodybullet"/>
            </w:pPr>
            <w:r>
              <w:t>I</w:t>
            </w:r>
            <w:r w:rsidR="007F6A39">
              <w:t>ncluding</w:t>
            </w:r>
            <w:r w:rsidR="00474D8A">
              <w:t xml:space="preserve"> detailed training on</w:t>
            </w:r>
            <w:r w:rsidR="00B94567">
              <w:t xml:space="preserve"> how to </w:t>
            </w:r>
            <w:proofErr w:type="gramStart"/>
            <w:r w:rsidR="00B94567">
              <w:t>give proper consideration to</w:t>
            </w:r>
            <w:proofErr w:type="gramEnd"/>
            <w:r w:rsidR="00B94567">
              <w:t xml:space="preserve"> human rights, including by</w:t>
            </w:r>
            <w:r w:rsidR="00474D8A">
              <w:t xml:space="preserve"> </w:t>
            </w:r>
            <w:r w:rsidR="004A2F2A">
              <w:t xml:space="preserve">identifying </w:t>
            </w:r>
            <w:r w:rsidR="005A0A22">
              <w:t>whose rights are engaged, which rights</w:t>
            </w:r>
            <w:r w:rsidR="004A2F2A">
              <w:t xml:space="preserve"> are engaged and/or limited</w:t>
            </w:r>
            <w:r w:rsidR="00B94567">
              <w:t>,</w:t>
            </w:r>
            <w:r w:rsidR="004A2F2A">
              <w:t xml:space="preserve"> and whether limits are justified</w:t>
            </w:r>
          </w:p>
          <w:p w14:paraId="1ABF0D43" w14:textId="6D513E2B" w:rsidR="005F1ECC" w:rsidRDefault="00D85F41" w:rsidP="005F1ECC">
            <w:pPr>
              <w:pStyle w:val="Bodybullet"/>
            </w:pPr>
            <w:r>
              <w:t>I</w:t>
            </w:r>
            <w:r w:rsidR="007F6A39">
              <w:t>ncluding</w:t>
            </w:r>
            <w:r w:rsidR="00AA59D6">
              <w:t xml:space="preserve"> consideration of complex scenarios directly relevant to the Board’s work</w:t>
            </w:r>
          </w:p>
          <w:p w14:paraId="464F9E03" w14:textId="3BE023AC" w:rsidR="002F4204" w:rsidRPr="00BB3F6C" w:rsidRDefault="00BB3F6C" w:rsidP="00BB3F6C">
            <w:pPr>
              <w:pStyle w:val="Bodytextnumbered"/>
              <w:keepNext/>
              <w:numPr>
                <w:ilvl w:val="0"/>
                <w:numId w:val="0"/>
              </w:numPr>
              <w:ind w:left="295"/>
              <w:rPr>
                <w:b/>
              </w:rPr>
            </w:pPr>
            <w:r w:rsidRPr="00BB3F6C">
              <w:rPr>
                <w:b/>
                <w:bCs/>
              </w:rPr>
              <w:t xml:space="preserve">Recommendation 6: Put human rights at the centre of the </w:t>
            </w:r>
            <w:r w:rsidR="000B0EA3">
              <w:rPr>
                <w:b/>
                <w:bCs/>
              </w:rPr>
              <w:t xml:space="preserve">Parole </w:t>
            </w:r>
            <w:r w:rsidRPr="00BB3F6C">
              <w:rPr>
                <w:b/>
                <w:bCs/>
              </w:rPr>
              <w:t>Board’s work</w:t>
            </w:r>
          </w:p>
          <w:p w14:paraId="45FA8BB2" w14:textId="39C0A154" w:rsidR="002F4204" w:rsidRPr="00F32471" w:rsidRDefault="002F4204" w:rsidP="00196C81">
            <w:pPr>
              <w:pStyle w:val="Bodybullet"/>
              <w:numPr>
                <w:ilvl w:val="0"/>
                <w:numId w:val="45"/>
              </w:numPr>
              <w:ind w:left="884" w:hanging="284"/>
            </w:pPr>
            <w:r w:rsidRPr="00BE03D7">
              <w:t>Promote a culture of rights-respecting practice within the Parole Board by integrating human rights into</w:t>
            </w:r>
            <w:r>
              <w:t xml:space="preserve"> induction processes, staff performance expectations</w:t>
            </w:r>
            <w:r w:rsidR="00F1642E">
              <w:t>,</w:t>
            </w:r>
            <w:r>
              <w:t xml:space="preserve"> and public accountability and transparency measures.</w:t>
            </w:r>
          </w:p>
          <w:p w14:paraId="390F23D1" w14:textId="3E0B9571" w:rsidR="002F4204" w:rsidRDefault="002F4204" w:rsidP="002F4204">
            <w:pPr>
              <w:pStyle w:val="Bodybullet"/>
              <w:numPr>
                <w:ilvl w:val="0"/>
                <w:numId w:val="0"/>
              </w:numPr>
              <w:ind w:left="924" w:hanging="357"/>
            </w:pPr>
          </w:p>
        </w:tc>
      </w:tr>
    </w:tbl>
    <w:p w14:paraId="0711E559" w14:textId="6D11507F" w:rsidR="00BC2152" w:rsidRDefault="00BC2152">
      <w:pPr>
        <w:rPr>
          <w:sz w:val="22"/>
        </w:rPr>
      </w:pPr>
    </w:p>
    <w:p w14:paraId="62CAE5F0" w14:textId="77777777" w:rsidR="00BF7719" w:rsidRPr="00BF7719" w:rsidRDefault="00BF7719" w:rsidP="00BF7719">
      <w:pPr>
        <w:spacing w:after="120" w:line="240" w:lineRule="auto"/>
        <w:rPr>
          <w:sz w:val="22"/>
        </w:rPr>
      </w:pPr>
    </w:p>
    <w:sectPr w:rsidR="00BF7719" w:rsidRPr="00BF7719" w:rsidSect="000C13C7">
      <w:headerReference w:type="default" r:id="rId12"/>
      <w:footerReference w:type="default" r:id="rId13"/>
      <w:headerReference w:type="first" r:id="rId14"/>
      <w:footerReference w:type="first" r:id="rId15"/>
      <w:pgSz w:w="11906" w:h="16838"/>
      <w:pgMar w:top="2127"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2637" w14:textId="77777777" w:rsidR="001543E7" w:rsidRDefault="001543E7" w:rsidP="00304408">
      <w:pPr>
        <w:spacing w:after="0" w:line="240" w:lineRule="auto"/>
      </w:pPr>
      <w:r>
        <w:separator/>
      </w:r>
    </w:p>
  </w:endnote>
  <w:endnote w:type="continuationSeparator" w:id="0">
    <w:p w14:paraId="3556BE53" w14:textId="77777777" w:rsidR="001543E7" w:rsidRDefault="001543E7"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021555"/>
      <w:docPartObj>
        <w:docPartGallery w:val="Page Numbers (Bottom of Page)"/>
        <w:docPartUnique/>
      </w:docPartObj>
    </w:sdtPr>
    <w:sdtContent>
      <w:p w14:paraId="0DB79F19" w14:textId="77777777" w:rsidR="00BF7719" w:rsidRPr="00BF7719" w:rsidRDefault="00BF7719">
        <w:pPr>
          <w:pStyle w:val="Footer"/>
          <w:jc w:val="right"/>
          <w:rPr>
            <w:sz w:val="22"/>
          </w:rPr>
        </w:pPr>
        <w:r w:rsidRPr="00BF7719">
          <w:rPr>
            <w:sz w:val="22"/>
          </w:rPr>
          <w:fldChar w:fldCharType="begin"/>
        </w:r>
        <w:r w:rsidRPr="00BF7719">
          <w:rPr>
            <w:sz w:val="22"/>
          </w:rPr>
          <w:instrText>PAGE   \* MERGEFORMAT</w:instrText>
        </w:r>
        <w:r w:rsidRPr="00BF7719">
          <w:rPr>
            <w:sz w:val="22"/>
          </w:rPr>
          <w:fldChar w:fldCharType="separate"/>
        </w:r>
        <w:r w:rsidRPr="00BF7719">
          <w:rPr>
            <w:sz w:val="22"/>
            <w:lang w:val="en-GB"/>
          </w:rPr>
          <w:t>2</w:t>
        </w:r>
        <w:r w:rsidRPr="00BF7719">
          <w:rPr>
            <w:sz w:val="22"/>
          </w:rPr>
          <w:fldChar w:fldCharType="end"/>
        </w:r>
      </w:p>
    </w:sdtContent>
  </w:sdt>
  <w:p w14:paraId="585F3748" w14:textId="77777777" w:rsidR="00BC7248" w:rsidRPr="00BF7719" w:rsidRDefault="00BC7248" w:rsidP="00911F7B">
    <w:pPr>
      <w:pStyle w:val="Footer"/>
      <w:tabs>
        <w:tab w:val="clear" w:pos="4513"/>
        <w:tab w:val="clear" w:pos="9026"/>
      </w:tabs>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6C2" w14:textId="77777777" w:rsidR="00BC7248" w:rsidRDefault="00BC7248"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8BFB" w14:textId="77777777" w:rsidR="001543E7" w:rsidRDefault="001543E7" w:rsidP="00304408">
      <w:pPr>
        <w:spacing w:after="0" w:line="240" w:lineRule="auto"/>
      </w:pPr>
      <w:r>
        <w:separator/>
      </w:r>
    </w:p>
  </w:footnote>
  <w:footnote w:type="continuationSeparator" w:id="0">
    <w:p w14:paraId="2A4DF6B4" w14:textId="77777777" w:rsidR="001543E7" w:rsidRDefault="001543E7" w:rsidP="00304408">
      <w:pPr>
        <w:spacing w:after="0" w:line="240" w:lineRule="auto"/>
      </w:pPr>
      <w:r>
        <w:continuationSeparator/>
      </w:r>
    </w:p>
  </w:footnote>
  <w:footnote w:id="1">
    <w:p w14:paraId="5553C657" w14:textId="32679056" w:rsidR="00271F58" w:rsidRPr="001B3625" w:rsidRDefault="00271F58">
      <w:pPr>
        <w:pStyle w:val="FootnoteText"/>
        <w:rPr>
          <w:sz w:val="18"/>
          <w:szCs w:val="18"/>
          <w:lang w:val="en-GB"/>
        </w:rPr>
      </w:pPr>
      <w:r w:rsidRPr="001B3625">
        <w:rPr>
          <w:rStyle w:val="FootnoteReference"/>
          <w:sz w:val="18"/>
          <w:szCs w:val="18"/>
        </w:rPr>
        <w:footnoteRef/>
      </w:r>
      <w:r w:rsidRPr="001B3625">
        <w:rPr>
          <w:sz w:val="18"/>
          <w:szCs w:val="18"/>
        </w:rPr>
        <w:t xml:space="preserve"> </w:t>
      </w:r>
      <w:r w:rsidR="00F5409C" w:rsidRPr="001B3625">
        <w:rPr>
          <w:sz w:val="18"/>
          <w:szCs w:val="18"/>
        </w:rPr>
        <w:t xml:space="preserve">See </w:t>
      </w:r>
      <w:r w:rsidRPr="001B3625">
        <w:rPr>
          <w:rFonts w:cs="Arial"/>
          <w:i/>
          <w:iCs/>
          <w:sz w:val="18"/>
          <w:szCs w:val="18"/>
        </w:rPr>
        <w:t xml:space="preserve">R v Shrestha </w:t>
      </w:r>
      <w:r w:rsidRPr="001B3625">
        <w:rPr>
          <w:rFonts w:cs="Arial"/>
          <w:sz w:val="18"/>
          <w:szCs w:val="18"/>
        </w:rPr>
        <w:t>(1991) 173 CLR 48 [20].</w:t>
      </w:r>
    </w:p>
  </w:footnote>
  <w:footnote w:id="2">
    <w:p w14:paraId="3FB9D6D8" w14:textId="4C11A3EA" w:rsidR="002927DE" w:rsidRPr="001B3625" w:rsidRDefault="002927DE">
      <w:pPr>
        <w:pStyle w:val="FootnoteText"/>
        <w:rPr>
          <w:sz w:val="18"/>
          <w:szCs w:val="18"/>
          <w:lang w:val="en-GB"/>
        </w:rPr>
      </w:pPr>
      <w:r w:rsidRPr="001B3625">
        <w:rPr>
          <w:rStyle w:val="FootnoteReference"/>
          <w:sz w:val="18"/>
          <w:szCs w:val="18"/>
        </w:rPr>
        <w:footnoteRef/>
      </w:r>
      <w:r w:rsidRPr="001B3625">
        <w:rPr>
          <w:sz w:val="18"/>
          <w:szCs w:val="18"/>
        </w:rPr>
        <w:t xml:space="preserve"> </w:t>
      </w:r>
      <w:r w:rsidRPr="001B3625">
        <w:rPr>
          <w:i/>
          <w:sz w:val="18"/>
          <w:szCs w:val="18"/>
          <w:lang w:val="en-GB"/>
        </w:rPr>
        <w:t>Corrective Services Act 2006</w:t>
      </w:r>
      <w:r w:rsidRPr="001B3625">
        <w:rPr>
          <w:sz w:val="18"/>
          <w:szCs w:val="18"/>
          <w:lang w:val="en-GB"/>
        </w:rPr>
        <w:t xml:space="preserve"> (Qld) s </w:t>
      </w:r>
      <w:r w:rsidR="00F90E73" w:rsidRPr="001B3625">
        <w:rPr>
          <w:sz w:val="18"/>
          <w:szCs w:val="18"/>
          <w:lang w:val="en-GB"/>
        </w:rPr>
        <w:t>3(1).</w:t>
      </w:r>
    </w:p>
  </w:footnote>
  <w:footnote w:id="3">
    <w:p w14:paraId="4E4AF066" w14:textId="64F54290" w:rsidR="000D173E" w:rsidRPr="001B3625" w:rsidRDefault="000D173E">
      <w:pPr>
        <w:pStyle w:val="FootnoteText"/>
        <w:rPr>
          <w:sz w:val="18"/>
          <w:szCs w:val="18"/>
        </w:rPr>
      </w:pPr>
      <w:r w:rsidRPr="001B3625">
        <w:rPr>
          <w:rStyle w:val="FootnoteReference"/>
          <w:sz w:val="18"/>
          <w:szCs w:val="18"/>
        </w:rPr>
        <w:footnoteRef/>
      </w:r>
      <w:r w:rsidRPr="001B3625">
        <w:rPr>
          <w:sz w:val="18"/>
          <w:szCs w:val="18"/>
        </w:rPr>
        <w:t xml:space="preserve"> </w:t>
      </w:r>
      <w:r w:rsidR="00BC41CD" w:rsidRPr="001B3625">
        <w:rPr>
          <w:sz w:val="18"/>
          <w:szCs w:val="18"/>
        </w:rPr>
        <w:t xml:space="preserve">Laura Gerber, </w:t>
      </w:r>
      <w:r w:rsidR="00BC41CD" w:rsidRPr="001B3625">
        <w:rPr>
          <w:i/>
          <w:sz w:val="18"/>
          <w:szCs w:val="18"/>
        </w:rPr>
        <w:t>Ministerial Guidelines to the Parole Board Queensland</w:t>
      </w:r>
      <w:r w:rsidR="00BC41CD" w:rsidRPr="001B3625">
        <w:rPr>
          <w:sz w:val="18"/>
          <w:szCs w:val="18"/>
        </w:rPr>
        <w:t xml:space="preserve"> (Ministerial Guidelines, 21 December 2024).</w:t>
      </w:r>
      <w:r w:rsidRPr="001B3625">
        <w:rPr>
          <w:sz w:val="18"/>
          <w:szCs w:val="18"/>
        </w:rPr>
        <w:t xml:space="preserve"> See further </w:t>
      </w:r>
      <w:r w:rsidR="00D6077C" w:rsidRPr="001B3625">
        <w:rPr>
          <w:sz w:val="18"/>
          <w:szCs w:val="18"/>
        </w:rPr>
        <w:t xml:space="preserve">Walter </w:t>
      </w:r>
      <w:proofErr w:type="spellStart"/>
      <w:r w:rsidR="00D6077C" w:rsidRPr="001B3625">
        <w:rPr>
          <w:sz w:val="18"/>
          <w:szCs w:val="18"/>
        </w:rPr>
        <w:t>Sofronoff</w:t>
      </w:r>
      <w:proofErr w:type="spellEnd"/>
      <w:r w:rsidR="00D6077C" w:rsidRPr="001B3625">
        <w:rPr>
          <w:sz w:val="18"/>
          <w:szCs w:val="18"/>
        </w:rPr>
        <w:t xml:space="preserve">, </w:t>
      </w:r>
      <w:r w:rsidR="00D6077C" w:rsidRPr="001B3625">
        <w:rPr>
          <w:i/>
          <w:sz w:val="18"/>
          <w:szCs w:val="18"/>
        </w:rPr>
        <w:t xml:space="preserve">Queensland Parole System Review </w:t>
      </w:r>
      <w:r w:rsidR="00D6077C" w:rsidRPr="001B3625">
        <w:rPr>
          <w:sz w:val="18"/>
          <w:szCs w:val="18"/>
        </w:rPr>
        <w:t>(</w:t>
      </w:r>
      <w:r w:rsidR="001817C4" w:rsidRPr="001B3625">
        <w:rPr>
          <w:sz w:val="18"/>
          <w:szCs w:val="18"/>
        </w:rPr>
        <w:t xml:space="preserve">Final </w:t>
      </w:r>
      <w:r w:rsidR="00D6077C" w:rsidRPr="001B3625">
        <w:rPr>
          <w:sz w:val="18"/>
          <w:szCs w:val="18"/>
        </w:rPr>
        <w:t>Report, 30 November 2016).</w:t>
      </w:r>
    </w:p>
  </w:footnote>
  <w:footnote w:id="4">
    <w:p w14:paraId="7ED3C144" w14:textId="21AB942B" w:rsidR="004A1B2F" w:rsidRPr="001B3625" w:rsidRDefault="004A1B2F">
      <w:pPr>
        <w:pStyle w:val="FootnoteText"/>
        <w:rPr>
          <w:sz w:val="18"/>
          <w:szCs w:val="18"/>
          <w:lang w:val="en-GB"/>
        </w:rPr>
      </w:pPr>
      <w:r w:rsidRPr="001B3625">
        <w:rPr>
          <w:rStyle w:val="FootnoteReference"/>
          <w:sz w:val="18"/>
          <w:szCs w:val="18"/>
        </w:rPr>
        <w:footnoteRef/>
      </w:r>
      <w:r w:rsidRPr="001B3625">
        <w:rPr>
          <w:sz w:val="18"/>
          <w:szCs w:val="18"/>
        </w:rPr>
        <w:t xml:space="preserve"> </w:t>
      </w:r>
      <w:r w:rsidR="00615E52" w:rsidRPr="001B3625">
        <w:rPr>
          <w:sz w:val="18"/>
          <w:szCs w:val="18"/>
        </w:rPr>
        <w:t xml:space="preserve">Walter Sofronoff, </w:t>
      </w:r>
      <w:r w:rsidR="00615E52" w:rsidRPr="001B3625">
        <w:rPr>
          <w:i/>
          <w:sz w:val="18"/>
          <w:szCs w:val="18"/>
        </w:rPr>
        <w:t xml:space="preserve">Queensland Parole System Review </w:t>
      </w:r>
      <w:r w:rsidR="00615E52" w:rsidRPr="001B3625">
        <w:rPr>
          <w:sz w:val="18"/>
          <w:szCs w:val="18"/>
        </w:rPr>
        <w:t>(Final Report, 30 November 2016)</w:t>
      </w:r>
      <w:r w:rsidR="00E83D15">
        <w:rPr>
          <w:sz w:val="18"/>
          <w:szCs w:val="18"/>
        </w:rPr>
        <w:t xml:space="preserve"> 1</w:t>
      </w:r>
      <w:r w:rsidR="00615E52" w:rsidRPr="001B3625">
        <w:rPr>
          <w:sz w:val="18"/>
          <w:szCs w:val="18"/>
        </w:rPr>
        <w:t>.</w:t>
      </w:r>
    </w:p>
  </w:footnote>
  <w:footnote w:id="5">
    <w:p w14:paraId="4E65FC8A" w14:textId="008DFF06" w:rsidR="001B7FB1" w:rsidRPr="001B3625" w:rsidRDefault="001B7FB1" w:rsidP="001B7FB1">
      <w:pPr>
        <w:pStyle w:val="FootnoteText"/>
        <w:rPr>
          <w:sz w:val="18"/>
          <w:szCs w:val="18"/>
        </w:rPr>
      </w:pPr>
      <w:r w:rsidRPr="001B3625">
        <w:rPr>
          <w:rStyle w:val="FootnoteReference"/>
          <w:sz w:val="18"/>
          <w:szCs w:val="18"/>
        </w:rPr>
        <w:footnoteRef/>
      </w:r>
      <w:r w:rsidRPr="001B3625">
        <w:rPr>
          <w:sz w:val="18"/>
          <w:szCs w:val="18"/>
        </w:rPr>
        <w:t xml:space="preserve"> </w:t>
      </w:r>
      <w:r w:rsidR="0045072B" w:rsidRPr="001B3625">
        <w:rPr>
          <w:sz w:val="18"/>
          <w:szCs w:val="18"/>
        </w:rPr>
        <w:t xml:space="preserve">See, discussing the criminal justice system more broadly, </w:t>
      </w:r>
      <w:r w:rsidRPr="001B3625">
        <w:rPr>
          <w:sz w:val="18"/>
          <w:szCs w:val="18"/>
        </w:rPr>
        <w:t xml:space="preserve">Victorian Law Reform Commission, </w:t>
      </w:r>
      <w:r w:rsidRPr="001B3625">
        <w:rPr>
          <w:i/>
          <w:sz w:val="18"/>
          <w:szCs w:val="18"/>
        </w:rPr>
        <w:t xml:space="preserve">The Role of Victims of Crime in the Criminal Trial Process </w:t>
      </w:r>
      <w:r w:rsidRPr="001B3625">
        <w:rPr>
          <w:sz w:val="18"/>
          <w:szCs w:val="18"/>
        </w:rPr>
        <w:t xml:space="preserve">(Report, August 2016) 29. </w:t>
      </w:r>
    </w:p>
  </w:footnote>
  <w:footnote w:id="6">
    <w:p w14:paraId="33863B24" w14:textId="418FE546" w:rsidR="00CB20C2" w:rsidRPr="001B3625" w:rsidRDefault="00CB20C2" w:rsidP="00CB20C2">
      <w:pPr>
        <w:pStyle w:val="FootnoteText"/>
        <w:rPr>
          <w:sz w:val="18"/>
          <w:szCs w:val="18"/>
        </w:rPr>
      </w:pPr>
      <w:r w:rsidRPr="001B3625">
        <w:rPr>
          <w:rStyle w:val="FootnoteReference"/>
          <w:sz w:val="18"/>
          <w:szCs w:val="18"/>
        </w:rPr>
        <w:footnoteRef/>
      </w:r>
      <w:r w:rsidRPr="001B3625">
        <w:rPr>
          <w:sz w:val="18"/>
          <w:szCs w:val="18"/>
        </w:rPr>
        <w:t xml:space="preserve"> </w:t>
      </w:r>
      <w:r w:rsidR="00D34DF0" w:rsidRPr="001B3625">
        <w:rPr>
          <w:i/>
          <w:sz w:val="18"/>
          <w:szCs w:val="18"/>
        </w:rPr>
        <w:t>Human Rights Act 2019</w:t>
      </w:r>
      <w:r w:rsidR="00D34DF0" w:rsidRPr="001B3625">
        <w:rPr>
          <w:sz w:val="18"/>
          <w:szCs w:val="18"/>
        </w:rPr>
        <w:t xml:space="preserve"> (Qld) </w:t>
      </w:r>
      <w:r w:rsidR="00D34DF0" w:rsidRPr="001B3625">
        <w:rPr>
          <w:sz w:val="18"/>
          <w:szCs w:val="18"/>
          <w:lang w:val="en-US"/>
        </w:rPr>
        <w:t>s 9(1)(a</w:t>
      </w:r>
      <w:proofErr w:type="gramStart"/>
      <w:r w:rsidR="00D34DF0" w:rsidRPr="001B3625">
        <w:rPr>
          <w:sz w:val="18"/>
          <w:szCs w:val="18"/>
          <w:lang w:val="en-US"/>
        </w:rPr>
        <w:t>),(</w:t>
      </w:r>
      <w:proofErr w:type="gramEnd"/>
      <w:r w:rsidR="00D34DF0" w:rsidRPr="001B3625">
        <w:rPr>
          <w:sz w:val="18"/>
          <w:szCs w:val="18"/>
          <w:lang w:val="en-US"/>
        </w:rPr>
        <w:t xml:space="preserve">b), (i); </w:t>
      </w:r>
      <w:r w:rsidR="00D34DF0" w:rsidRPr="001B3625">
        <w:rPr>
          <w:i/>
          <w:sz w:val="18"/>
          <w:szCs w:val="18"/>
          <w:lang w:val="en-US"/>
        </w:rPr>
        <w:t>Public Sector Act 2022</w:t>
      </w:r>
      <w:r w:rsidR="00D34DF0" w:rsidRPr="001B3625">
        <w:rPr>
          <w:sz w:val="18"/>
          <w:szCs w:val="18"/>
          <w:lang w:val="en-US"/>
        </w:rPr>
        <w:t xml:space="preserve"> (Qld) s 276(1)(b).</w:t>
      </w:r>
    </w:p>
  </w:footnote>
  <w:footnote w:id="7">
    <w:p w14:paraId="3F9792B8" w14:textId="77777777" w:rsidR="00CB20C2" w:rsidRPr="001B3625" w:rsidRDefault="00CB20C2" w:rsidP="00CB20C2">
      <w:pPr>
        <w:pStyle w:val="FootnoteText"/>
        <w:rPr>
          <w:sz w:val="18"/>
          <w:szCs w:val="18"/>
        </w:rPr>
      </w:pPr>
      <w:r w:rsidRPr="001B3625">
        <w:rPr>
          <w:rStyle w:val="FootnoteReference"/>
          <w:sz w:val="18"/>
          <w:szCs w:val="18"/>
        </w:rPr>
        <w:footnoteRef/>
      </w:r>
      <w:r w:rsidRPr="001B3625">
        <w:rPr>
          <w:sz w:val="18"/>
          <w:szCs w:val="18"/>
        </w:rPr>
        <w:t xml:space="preserve"> </w:t>
      </w:r>
      <w:r w:rsidRPr="001B3625">
        <w:rPr>
          <w:i/>
          <w:sz w:val="18"/>
          <w:szCs w:val="18"/>
        </w:rPr>
        <w:t>Human Rights Act 2019</w:t>
      </w:r>
      <w:r w:rsidRPr="001B3625">
        <w:rPr>
          <w:sz w:val="18"/>
          <w:szCs w:val="18"/>
        </w:rPr>
        <w:t xml:space="preserve"> (Qld) s 58(1)(a).</w:t>
      </w:r>
    </w:p>
  </w:footnote>
  <w:footnote w:id="8">
    <w:p w14:paraId="34E470FD" w14:textId="008D9532" w:rsidR="00CB20C2" w:rsidRPr="001B3625" w:rsidRDefault="00CB20C2" w:rsidP="00CB20C2">
      <w:pPr>
        <w:pStyle w:val="FootnoteText"/>
        <w:rPr>
          <w:sz w:val="18"/>
          <w:szCs w:val="18"/>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s 58(1)(b).</w:t>
      </w:r>
    </w:p>
  </w:footnote>
  <w:footnote w:id="9">
    <w:p w14:paraId="3ACF7313" w14:textId="13B81A90" w:rsidR="00CB20C2" w:rsidRPr="001B3625" w:rsidRDefault="00CB20C2" w:rsidP="00CB20C2">
      <w:pPr>
        <w:pStyle w:val="FootnoteText"/>
        <w:rPr>
          <w:sz w:val="18"/>
          <w:szCs w:val="18"/>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s 58(5).</w:t>
      </w:r>
    </w:p>
  </w:footnote>
  <w:footnote w:id="10">
    <w:p w14:paraId="40BFA05D" w14:textId="77777777" w:rsidR="00F734AB" w:rsidRPr="001B3625" w:rsidRDefault="00F734AB" w:rsidP="00F734AB">
      <w:pPr>
        <w:pStyle w:val="FootnoteText"/>
        <w:rPr>
          <w:sz w:val="18"/>
          <w:szCs w:val="18"/>
          <w:lang w:val="en-US"/>
        </w:rPr>
      </w:pPr>
      <w:r w:rsidRPr="001B3625">
        <w:rPr>
          <w:rStyle w:val="FootnoteReference"/>
          <w:sz w:val="18"/>
          <w:szCs w:val="18"/>
        </w:rPr>
        <w:footnoteRef/>
      </w:r>
      <w:r w:rsidRPr="001B3625">
        <w:rPr>
          <w:sz w:val="18"/>
          <w:szCs w:val="18"/>
        </w:rPr>
        <w:t xml:space="preserve"> </w:t>
      </w:r>
      <w:r w:rsidRPr="001B3625">
        <w:rPr>
          <w:i/>
          <w:sz w:val="18"/>
          <w:szCs w:val="18"/>
        </w:rPr>
        <w:t xml:space="preserve">Human Rights Act 2019 </w:t>
      </w:r>
      <w:r w:rsidRPr="001B3625">
        <w:rPr>
          <w:sz w:val="18"/>
          <w:szCs w:val="18"/>
        </w:rPr>
        <w:t>(Qld) ss 8, 13.</w:t>
      </w:r>
    </w:p>
  </w:footnote>
  <w:footnote w:id="11">
    <w:p w14:paraId="4FF7BC6C" w14:textId="165F6E40" w:rsidR="002051FD" w:rsidRPr="001B3625" w:rsidRDefault="002051FD" w:rsidP="002051FD">
      <w:pPr>
        <w:pStyle w:val="FootnoteText"/>
        <w:rPr>
          <w:rFonts w:cs="Arial"/>
          <w:sz w:val="18"/>
          <w:szCs w:val="18"/>
          <w:lang w:val="en-GB"/>
        </w:rPr>
      </w:pPr>
      <w:r w:rsidRPr="001B3625">
        <w:rPr>
          <w:rStyle w:val="FootnoteReference"/>
          <w:rFonts w:cs="Arial"/>
          <w:sz w:val="18"/>
          <w:szCs w:val="18"/>
        </w:rPr>
        <w:footnoteRef/>
      </w:r>
      <w:r w:rsidRPr="001B3625">
        <w:rPr>
          <w:rFonts w:cs="Arial"/>
          <w:sz w:val="18"/>
          <w:szCs w:val="18"/>
        </w:rPr>
        <w:t xml:space="preserve"> </w:t>
      </w:r>
      <w:r w:rsidRPr="00684FB2">
        <w:rPr>
          <w:rFonts w:cs="Arial"/>
          <w:i/>
          <w:sz w:val="18"/>
          <w:szCs w:val="18"/>
        </w:rPr>
        <w:t xml:space="preserve">Kracke </w:t>
      </w:r>
      <w:r w:rsidR="00AF6619" w:rsidRPr="00684FB2">
        <w:rPr>
          <w:rFonts w:cs="Arial"/>
          <w:i/>
          <w:iCs/>
          <w:sz w:val="18"/>
          <w:szCs w:val="18"/>
        </w:rPr>
        <w:t>v Mental Health Review Board</w:t>
      </w:r>
      <w:r w:rsidR="00AF6619" w:rsidRPr="00684FB2">
        <w:rPr>
          <w:rFonts w:cs="Arial"/>
          <w:sz w:val="18"/>
          <w:szCs w:val="18"/>
        </w:rPr>
        <w:t xml:space="preserve"> [2009] VCAT 646</w:t>
      </w:r>
      <w:r w:rsidRPr="00684FB2">
        <w:rPr>
          <w:rFonts w:cs="Arial"/>
          <w:i/>
          <w:sz w:val="18"/>
          <w:szCs w:val="18"/>
        </w:rPr>
        <w:t xml:space="preserve"> </w:t>
      </w:r>
      <w:r w:rsidRPr="00684FB2">
        <w:rPr>
          <w:rFonts w:cs="Arial"/>
          <w:sz w:val="18"/>
          <w:szCs w:val="18"/>
        </w:rPr>
        <w:t>[133]</w:t>
      </w:r>
      <w:proofErr w:type="gramStart"/>
      <w:r w:rsidRPr="00684FB2">
        <w:rPr>
          <w:rFonts w:cs="Arial"/>
          <w:sz w:val="18"/>
          <w:szCs w:val="18"/>
        </w:rPr>
        <w:t>–[</w:t>
      </w:r>
      <w:proofErr w:type="gramEnd"/>
      <w:r w:rsidRPr="00684FB2">
        <w:rPr>
          <w:rFonts w:cs="Arial"/>
          <w:sz w:val="18"/>
          <w:szCs w:val="18"/>
        </w:rPr>
        <w:t>134]</w:t>
      </w:r>
      <w:r w:rsidR="00F7654C" w:rsidRPr="00684FB2">
        <w:rPr>
          <w:rFonts w:cs="Arial"/>
          <w:sz w:val="18"/>
          <w:szCs w:val="18"/>
        </w:rPr>
        <w:t xml:space="preserve"> (</w:t>
      </w:r>
      <w:proofErr w:type="spellStart"/>
      <w:r w:rsidR="00F7654C" w:rsidRPr="00684FB2">
        <w:rPr>
          <w:rFonts w:cs="Arial"/>
          <w:sz w:val="18"/>
          <w:szCs w:val="18"/>
        </w:rPr>
        <w:t>‘</w:t>
      </w:r>
      <w:r w:rsidR="00F7654C" w:rsidRPr="00684FB2">
        <w:rPr>
          <w:rFonts w:cs="Arial"/>
          <w:i/>
          <w:iCs/>
          <w:sz w:val="18"/>
          <w:szCs w:val="18"/>
        </w:rPr>
        <w:t>Re</w:t>
      </w:r>
      <w:proofErr w:type="spellEnd"/>
      <w:r w:rsidR="00F7654C" w:rsidRPr="00684FB2">
        <w:rPr>
          <w:rFonts w:cs="Arial"/>
          <w:sz w:val="18"/>
          <w:szCs w:val="18"/>
        </w:rPr>
        <w:t xml:space="preserve"> </w:t>
      </w:r>
      <w:r w:rsidR="00F7654C" w:rsidRPr="00684FB2">
        <w:rPr>
          <w:rFonts w:cs="Arial"/>
          <w:i/>
          <w:iCs/>
          <w:sz w:val="18"/>
          <w:szCs w:val="18"/>
        </w:rPr>
        <w:t>Kracke</w:t>
      </w:r>
      <w:r w:rsidR="00F7654C" w:rsidRPr="00684FB2">
        <w:rPr>
          <w:rFonts w:cs="Arial"/>
          <w:sz w:val="18"/>
          <w:szCs w:val="18"/>
        </w:rPr>
        <w:t>’)</w:t>
      </w:r>
      <w:r w:rsidRPr="00684FB2">
        <w:rPr>
          <w:rFonts w:cs="Arial"/>
          <w:sz w:val="18"/>
          <w:szCs w:val="18"/>
        </w:rPr>
        <w:t xml:space="preserve">; </w:t>
      </w:r>
      <w:r w:rsidRPr="00684FB2">
        <w:rPr>
          <w:rFonts w:cs="Arial"/>
          <w:i/>
          <w:sz w:val="18"/>
          <w:szCs w:val="18"/>
        </w:rPr>
        <w:t>Re</w:t>
      </w:r>
      <w:r w:rsidRPr="00684FB2">
        <w:rPr>
          <w:rFonts w:cs="Arial"/>
          <w:sz w:val="18"/>
          <w:szCs w:val="18"/>
        </w:rPr>
        <w:t xml:space="preserve"> </w:t>
      </w:r>
      <w:r w:rsidRPr="00684FB2">
        <w:rPr>
          <w:rFonts w:cs="Arial"/>
          <w:i/>
          <w:sz w:val="18"/>
          <w:szCs w:val="18"/>
        </w:rPr>
        <w:t>Lifestyle Communities Ltd (No 3)</w:t>
      </w:r>
      <w:r w:rsidRPr="00684FB2">
        <w:rPr>
          <w:rFonts w:cs="Arial"/>
          <w:sz w:val="18"/>
          <w:szCs w:val="18"/>
        </w:rPr>
        <w:t xml:space="preserve"> (2009) 31 VAR 286 [322]</w:t>
      </w:r>
      <w:proofErr w:type="gramStart"/>
      <w:r w:rsidRPr="00684FB2">
        <w:rPr>
          <w:rFonts w:cs="Arial"/>
          <w:sz w:val="18"/>
          <w:szCs w:val="18"/>
        </w:rPr>
        <w:t>–[</w:t>
      </w:r>
      <w:proofErr w:type="gramEnd"/>
      <w:r w:rsidRPr="00684FB2">
        <w:rPr>
          <w:rFonts w:cs="Arial"/>
          <w:sz w:val="18"/>
          <w:szCs w:val="18"/>
        </w:rPr>
        <w:t xml:space="preserve">334]. See </w:t>
      </w:r>
      <w:r w:rsidRPr="00684FB2">
        <w:rPr>
          <w:rFonts w:cs="Arial"/>
          <w:sz w:val="18"/>
          <w:szCs w:val="18"/>
          <w:lang w:val="en-GB"/>
        </w:rPr>
        <w:t>also</w:t>
      </w:r>
      <w:r w:rsidRPr="00684FB2">
        <w:rPr>
          <w:rFonts w:cs="Arial"/>
          <w:sz w:val="18"/>
          <w:szCs w:val="18"/>
        </w:rPr>
        <w:t xml:space="preserve"> </w:t>
      </w:r>
      <w:r w:rsidRPr="00684FB2">
        <w:rPr>
          <w:rFonts w:cs="Arial"/>
          <w:i/>
          <w:sz w:val="18"/>
          <w:szCs w:val="18"/>
        </w:rPr>
        <w:t>Johnston v Commissioner of Police</w:t>
      </w:r>
      <w:r w:rsidRPr="00684FB2">
        <w:rPr>
          <w:rFonts w:cs="Arial"/>
          <w:sz w:val="18"/>
          <w:szCs w:val="18"/>
        </w:rPr>
        <w:t xml:space="preserve"> [2024] QSC 2</w:t>
      </w:r>
      <w:r w:rsidRPr="00684FB2">
        <w:rPr>
          <w:rFonts w:cs="Arial"/>
          <w:i/>
          <w:sz w:val="18"/>
          <w:szCs w:val="18"/>
        </w:rPr>
        <w:t xml:space="preserve"> </w:t>
      </w:r>
      <w:r w:rsidRPr="00684FB2">
        <w:rPr>
          <w:rFonts w:cs="Arial"/>
          <w:sz w:val="18"/>
          <w:szCs w:val="18"/>
        </w:rPr>
        <w:t>[430] (‘</w:t>
      </w:r>
      <w:r w:rsidRPr="00684FB2">
        <w:rPr>
          <w:rFonts w:cs="Arial"/>
          <w:i/>
          <w:sz w:val="18"/>
          <w:szCs w:val="18"/>
        </w:rPr>
        <w:t>Johnston</w:t>
      </w:r>
      <w:r w:rsidRPr="00684FB2">
        <w:rPr>
          <w:rFonts w:cs="Arial"/>
          <w:sz w:val="18"/>
          <w:szCs w:val="18"/>
        </w:rPr>
        <w:t>’).</w:t>
      </w:r>
    </w:p>
  </w:footnote>
  <w:footnote w:id="12">
    <w:p w14:paraId="6D058FAA" w14:textId="77777777" w:rsidR="0008395A" w:rsidRPr="001B3625" w:rsidRDefault="0008395A" w:rsidP="0008395A">
      <w:pPr>
        <w:pStyle w:val="FootnoteText"/>
        <w:rPr>
          <w:rFonts w:cs="Arial"/>
          <w:sz w:val="18"/>
          <w:szCs w:val="18"/>
          <w:lang w:val="en-GB"/>
        </w:rPr>
      </w:pPr>
      <w:r w:rsidRPr="001B3625">
        <w:rPr>
          <w:rStyle w:val="FootnoteReference"/>
          <w:rFonts w:cs="Arial"/>
          <w:sz w:val="18"/>
          <w:szCs w:val="18"/>
        </w:rPr>
        <w:footnoteRef/>
      </w:r>
      <w:r w:rsidRPr="001B3625">
        <w:rPr>
          <w:rFonts w:cs="Arial"/>
          <w:sz w:val="18"/>
          <w:szCs w:val="18"/>
        </w:rPr>
        <w:t xml:space="preserve"> Explanatory Notes, Human Rights Bill 2018 (Qld) 16–18.</w:t>
      </w:r>
    </w:p>
  </w:footnote>
  <w:footnote w:id="13">
    <w:p w14:paraId="096565B2" w14:textId="4A8AE95A" w:rsidR="0008395A" w:rsidRPr="001B3625" w:rsidRDefault="0008395A" w:rsidP="0008395A">
      <w:pPr>
        <w:pStyle w:val="FootnoteText"/>
        <w:rPr>
          <w:rFonts w:cs="Arial"/>
          <w:sz w:val="18"/>
          <w:szCs w:val="18"/>
          <w:lang w:val="en-GB"/>
        </w:rPr>
      </w:pPr>
      <w:r w:rsidRPr="001B3625">
        <w:rPr>
          <w:rStyle w:val="FootnoteReference"/>
          <w:rFonts w:cs="Arial"/>
          <w:sz w:val="18"/>
          <w:szCs w:val="18"/>
        </w:rPr>
        <w:footnoteRef/>
      </w:r>
      <w:r w:rsidRPr="001B3625">
        <w:rPr>
          <w:rFonts w:cs="Arial"/>
          <w:sz w:val="18"/>
          <w:szCs w:val="18"/>
        </w:rPr>
        <w:t xml:space="preserve"> </w:t>
      </w:r>
      <w:r w:rsidRPr="001B3625">
        <w:rPr>
          <w:rFonts w:cs="Arial"/>
          <w:i/>
          <w:iCs/>
          <w:sz w:val="18"/>
          <w:szCs w:val="18"/>
        </w:rPr>
        <w:t xml:space="preserve">Johnston </w:t>
      </w:r>
      <w:r w:rsidRPr="001B3625">
        <w:rPr>
          <w:rFonts w:cs="Arial"/>
          <w:sz w:val="18"/>
          <w:szCs w:val="18"/>
        </w:rPr>
        <w:t xml:space="preserve">[73], quoting </w:t>
      </w:r>
      <w:r w:rsidRPr="001B3625">
        <w:rPr>
          <w:rFonts w:cs="Arial"/>
          <w:i/>
          <w:iCs/>
          <w:sz w:val="18"/>
          <w:szCs w:val="18"/>
        </w:rPr>
        <w:t xml:space="preserve">Certain Children v Minister for Families and Children (No 2) </w:t>
      </w:r>
      <w:r w:rsidRPr="001B3625">
        <w:rPr>
          <w:rFonts w:cs="Arial"/>
          <w:sz w:val="18"/>
          <w:szCs w:val="18"/>
        </w:rPr>
        <w:t>(2017) 52 VR 441 [203].</w:t>
      </w:r>
    </w:p>
  </w:footnote>
  <w:footnote w:id="14">
    <w:p w14:paraId="448FA3A6" w14:textId="77777777" w:rsidR="00144897" w:rsidRDefault="00144897" w:rsidP="00144897">
      <w:pPr>
        <w:pStyle w:val="FootnoteText"/>
        <w:rPr>
          <w:rFonts w:eastAsia="Arial" w:cs="Arial"/>
        </w:rPr>
      </w:pPr>
      <w:r>
        <w:rPr>
          <w:rStyle w:val="FootnoteReference"/>
        </w:rPr>
        <w:footnoteRef/>
      </w:r>
      <w:r>
        <w:rPr>
          <w:rFonts w:eastAsia="Arial" w:cs="Arial"/>
        </w:rPr>
        <w:t xml:space="preserve"> </w:t>
      </w:r>
      <w:r>
        <w:rPr>
          <w:lang w:val="en-GB"/>
        </w:rPr>
        <w:t xml:space="preserve">For a detailed summary of the rights that pertain to victim-survivors, refer to Commission of Inquiry into Queensland Police Service </w:t>
      </w:r>
      <w:r>
        <w:t>responses</w:t>
      </w:r>
      <w:r>
        <w:rPr>
          <w:lang w:val="en-GB"/>
        </w:rPr>
        <w:t xml:space="preserve"> to domestic and family violence, </w:t>
      </w:r>
      <w:r>
        <w:rPr>
          <w:i/>
          <w:lang w:val="en-GB"/>
        </w:rPr>
        <w:t>A Call for Change</w:t>
      </w:r>
      <w:r>
        <w:rPr>
          <w:lang w:val="en-GB"/>
        </w:rPr>
        <w:t xml:space="preserve"> (Report, 2022) 36</w:t>
      </w:r>
      <w:r>
        <w:rPr>
          <w:rFonts w:cs="Arial"/>
          <w:lang w:val="en-GB"/>
        </w:rPr>
        <w:t>‒</w:t>
      </w:r>
      <w:r>
        <w:rPr>
          <w:lang w:val="en-GB"/>
        </w:rPr>
        <w:t xml:space="preserve">8. The Commission assisted the Independent Commission of Inquiry in this work. </w:t>
      </w:r>
    </w:p>
  </w:footnote>
  <w:footnote w:id="15">
    <w:p w14:paraId="559A4478" w14:textId="77777777"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Pr="001B3625">
        <w:rPr>
          <w:i/>
          <w:sz w:val="18"/>
          <w:szCs w:val="18"/>
        </w:rPr>
        <w:t xml:space="preserve">Human Rights Act 2019 </w:t>
      </w:r>
      <w:r w:rsidRPr="001B3625">
        <w:rPr>
          <w:sz w:val="18"/>
          <w:szCs w:val="18"/>
        </w:rPr>
        <w:t xml:space="preserve">(Qld) </w:t>
      </w:r>
      <w:r w:rsidRPr="001B3625">
        <w:rPr>
          <w:sz w:val="18"/>
          <w:szCs w:val="18"/>
          <w:lang w:val="en-US"/>
        </w:rPr>
        <w:t>48(3).</w:t>
      </w:r>
    </w:p>
  </w:footnote>
  <w:footnote w:id="16">
    <w:p w14:paraId="1A41926D" w14:textId="2CD6D21B"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s</w:t>
      </w:r>
      <w:r w:rsidRPr="001B3625">
        <w:rPr>
          <w:sz w:val="18"/>
          <w:szCs w:val="18"/>
          <w:lang w:val="en-US"/>
        </w:rPr>
        <w:t xml:space="preserve"> 15.</w:t>
      </w:r>
    </w:p>
  </w:footnote>
  <w:footnote w:id="17">
    <w:p w14:paraId="609B297A" w14:textId="6A10921C"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s 16.</w:t>
      </w:r>
    </w:p>
  </w:footnote>
  <w:footnote w:id="18">
    <w:p w14:paraId="315D4633" w14:textId="502B4B8E" w:rsidR="00E766D0" w:rsidRPr="001B3625" w:rsidRDefault="00E766D0">
      <w:pPr>
        <w:pStyle w:val="FootnoteText"/>
        <w:rPr>
          <w:sz w:val="18"/>
          <w:szCs w:val="18"/>
          <w:lang w:val="en-GB"/>
        </w:rPr>
      </w:pPr>
      <w:r w:rsidRPr="001B3625">
        <w:rPr>
          <w:rStyle w:val="FootnoteReference"/>
          <w:sz w:val="18"/>
          <w:szCs w:val="18"/>
        </w:rPr>
        <w:footnoteRef/>
      </w:r>
      <w:r w:rsidRPr="001B3625">
        <w:rPr>
          <w:sz w:val="18"/>
          <w:szCs w:val="18"/>
        </w:rPr>
        <w:t xml:space="preserve"> </w:t>
      </w:r>
      <w:r w:rsidR="00565697" w:rsidRPr="00565697">
        <w:rPr>
          <w:sz w:val="18"/>
          <w:szCs w:val="18"/>
        </w:rPr>
        <w:t xml:space="preserve">See, for example, </w:t>
      </w:r>
      <w:proofErr w:type="spellStart"/>
      <w:r w:rsidR="00565697" w:rsidRPr="00565697">
        <w:rPr>
          <w:i/>
          <w:iCs/>
          <w:sz w:val="18"/>
          <w:szCs w:val="18"/>
        </w:rPr>
        <w:t>Opuz</w:t>
      </w:r>
      <w:proofErr w:type="spellEnd"/>
      <w:r w:rsidR="00565697" w:rsidRPr="00565697">
        <w:rPr>
          <w:i/>
          <w:iCs/>
          <w:sz w:val="18"/>
          <w:szCs w:val="18"/>
        </w:rPr>
        <w:t xml:space="preserve"> v Turkey</w:t>
      </w:r>
      <w:r w:rsidR="00565697" w:rsidRPr="00565697">
        <w:rPr>
          <w:sz w:val="18"/>
          <w:szCs w:val="18"/>
        </w:rPr>
        <w:t xml:space="preserve"> (2009) (ECtHR, 3</w:t>
      </w:r>
      <w:r w:rsidR="00565697" w:rsidRPr="00565697">
        <w:rPr>
          <w:sz w:val="18"/>
          <w:szCs w:val="18"/>
          <w:vertAlign w:val="superscript"/>
        </w:rPr>
        <w:t>rd</w:t>
      </w:r>
      <w:r w:rsidR="00565697" w:rsidRPr="00565697">
        <w:rPr>
          <w:sz w:val="18"/>
          <w:szCs w:val="18"/>
        </w:rPr>
        <w:t xml:space="preserve"> section), App No 33401/02 (9 June 2009); </w:t>
      </w:r>
      <w:r w:rsidR="00565697" w:rsidRPr="00565697">
        <w:rPr>
          <w:i/>
          <w:iCs/>
          <w:sz w:val="18"/>
          <w:szCs w:val="18"/>
        </w:rPr>
        <w:t>Smith v Chief Constable of Sussex Police and Van Colle v Chief Constable of Hertfordshire Police</w:t>
      </w:r>
      <w:r w:rsidR="00565697" w:rsidRPr="00565697">
        <w:rPr>
          <w:sz w:val="18"/>
          <w:szCs w:val="18"/>
        </w:rPr>
        <w:t xml:space="preserve"> [2008] UKHL 50.</w:t>
      </w:r>
    </w:p>
  </w:footnote>
  <w:footnote w:id="19">
    <w:p w14:paraId="3B930AE8" w14:textId="2C6010AB"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Pr="001B3625">
        <w:rPr>
          <w:i/>
          <w:sz w:val="18"/>
          <w:szCs w:val="18"/>
        </w:rPr>
        <w:t xml:space="preserve">Human Rights Act 2019 </w:t>
      </w:r>
      <w:r w:rsidRPr="001B3625">
        <w:rPr>
          <w:sz w:val="18"/>
          <w:szCs w:val="18"/>
        </w:rPr>
        <w:t xml:space="preserve">(Qld) s 17. </w:t>
      </w:r>
      <w:r w:rsidR="00AC6AC2" w:rsidRPr="001B3625">
        <w:rPr>
          <w:i/>
          <w:sz w:val="18"/>
          <w:szCs w:val="18"/>
        </w:rPr>
        <w:t>Commissioner of Police of the Metropolis v DSD</w:t>
      </w:r>
      <w:r w:rsidR="00AC6AC2" w:rsidRPr="001B3625">
        <w:rPr>
          <w:sz w:val="18"/>
          <w:szCs w:val="18"/>
        </w:rPr>
        <w:t xml:space="preserve"> [2018] UKSC 11</w:t>
      </w:r>
      <w:r w:rsidR="006A2809">
        <w:rPr>
          <w:sz w:val="18"/>
          <w:szCs w:val="18"/>
        </w:rPr>
        <w:t xml:space="preserve">; </w:t>
      </w:r>
      <w:proofErr w:type="spellStart"/>
      <w:r w:rsidR="008A3497" w:rsidRPr="008A3497">
        <w:rPr>
          <w:i/>
          <w:iCs/>
          <w:sz w:val="18"/>
          <w:szCs w:val="18"/>
          <w:lang w:val="en-GB"/>
        </w:rPr>
        <w:t>Tunikova</w:t>
      </w:r>
      <w:proofErr w:type="spellEnd"/>
      <w:r w:rsidR="008A3497" w:rsidRPr="008A3497">
        <w:rPr>
          <w:i/>
          <w:iCs/>
          <w:sz w:val="18"/>
          <w:szCs w:val="18"/>
          <w:lang w:val="en-GB"/>
        </w:rPr>
        <w:t xml:space="preserve"> v Russia</w:t>
      </w:r>
      <w:r w:rsidR="008A3497" w:rsidRPr="008A3497">
        <w:rPr>
          <w:sz w:val="18"/>
          <w:szCs w:val="18"/>
          <w:lang w:val="en-GB"/>
        </w:rPr>
        <w:t xml:space="preserve"> (2021) (ECtHR, 3</w:t>
      </w:r>
      <w:r w:rsidR="008A3497" w:rsidRPr="008A3497">
        <w:rPr>
          <w:sz w:val="18"/>
          <w:szCs w:val="18"/>
          <w:vertAlign w:val="superscript"/>
          <w:lang w:val="en-GB"/>
        </w:rPr>
        <w:t>rd</w:t>
      </w:r>
      <w:r w:rsidR="008A3497" w:rsidRPr="008A3497">
        <w:rPr>
          <w:sz w:val="18"/>
          <w:szCs w:val="18"/>
          <w:lang w:val="en-GB"/>
        </w:rPr>
        <w:t xml:space="preserve"> section), Apps Nos 55974/16 and </w:t>
      </w:r>
      <w:proofErr w:type="spellStart"/>
      <w:r w:rsidR="008A3497" w:rsidRPr="008A3497">
        <w:rPr>
          <w:sz w:val="18"/>
          <w:szCs w:val="18"/>
          <w:lang w:val="en-GB"/>
        </w:rPr>
        <w:t>ors</w:t>
      </w:r>
      <w:proofErr w:type="spellEnd"/>
      <w:r w:rsidR="008A3497" w:rsidRPr="008A3497">
        <w:rPr>
          <w:sz w:val="18"/>
          <w:szCs w:val="18"/>
          <w:lang w:val="en-GB"/>
        </w:rPr>
        <w:t>, 14 December 2021</w:t>
      </w:r>
      <w:r w:rsidR="00AC6AC2">
        <w:rPr>
          <w:sz w:val="18"/>
          <w:szCs w:val="18"/>
          <w:lang w:val="en-GB"/>
        </w:rPr>
        <w:t>.</w:t>
      </w:r>
    </w:p>
  </w:footnote>
  <w:footnote w:id="20">
    <w:p w14:paraId="56E61F99" w14:textId="77777777"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Pr="001B3625">
        <w:rPr>
          <w:i/>
          <w:sz w:val="18"/>
          <w:szCs w:val="18"/>
        </w:rPr>
        <w:t xml:space="preserve">Human Rights Act 2019 </w:t>
      </w:r>
      <w:r w:rsidRPr="001B3625">
        <w:rPr>
          <w:sz w:val="18"/>
          <w:szCs w:val="18"/>
        </w:rPr>
        <w:t>(Qld) s 21.</w:t>
      </w:r>
    </w:p>
  </w:footnote>
  <w:footnote w:id="21">
    <w:p w14:paraId="5557118A" w14:textId="15186372"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(Qld)</w:t>
      </w:r>
      <w:r w:rsidRPr="001B3625">
        <w:rPr>
          <w:sz w:val="18"/>
          <w:szCs w:val="18"/>
        </w:rPr>
        <w:t xml:space="preserve"> s 25.</w:t>
      </w:r>
    </w:p>
  </w:footnote>
  <w:footnote w:id="22">
    <w:p w14:paraId="0848B6A0" w14:textId="4F77594B"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s 26.</w:t>
      </w:r>
    </w:p>
  </w:footnote>
  <w:footnote w:id="23">
    <w:p w14:paraId="6892C348" w14:textId="6DAD24C9" w:rsidR="006708C8" w:rsidRPr="001B3625" w:rsidRDefault="006708C8" w:rsidP="006708C8">
      <w:pPr>
        <w:pStyle w:val="FootnoteText"/>
        <w:rPr>
          <w:sz w:val="18"/>
          <w:szCs w:val="18"/>
          <w:highlight w:val="yellow"/>
          <w:lang w:val="en-US"/>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 xml:space="preserve">ss 27, 28. </w:t>
      </w:r>
    </w:p>
  </w:footnote>
  <w:footnote w:id="24">
    <w:p w14:paraId="615A92F8" w14:textId="68DCECCB" w:rsidR="006708C8" w:rsidRPr="001B3625" w:rsidRDefault="006708C8" w:rsidP="006708C8">
      <w:pPr>
        <w:pStyle w:val="FootnoteText"/>
        <w:rPr>
          <w:sz w:val="18"/>
          <w:szCs w:val="18"/>
          <w:lang w:val="en-US"/>
        </w:rPr>
      </w:pPr>
      <w:r w:rsidRPr="001B3625">
        <w:rPr>
          <w:rStyle w:val="FootnoteReference"/>
          <w:sz w:val="18"/>
          <w:szCs w:val="18"/>
        </w:rPr>
        <w:footnoteRef/>
      </w:r>
      <w:r w:rsidRPr="001B3625">
        <w:rPr>
          <w:sz w:val="18"/>
          <w:szCs w:val="18"/>
        </w:rPr>
        <w:t xml:space="preserve"> </w:t>
      </w:r>
      <w:r w:rsidR="00632149" w:rsidRPr="001B3625">
        <w:rPr>
          <w:i/>
          <w:sz w:val="18"/>
          <w:szCs w:val="18"/>
        </w:rPr>
        <w:t xml:space="preserve">Human Rights Act 2019 </w:t>
      </w:r>
      <w:r w:rsidR="00632149" w:rsidRPr="001B3625">
        <w:rPr>
          <w:sz w:val="18"/>
          <w:szCs w:val="18"/>
        </w:rPr>
        <w:t xml:space="preserve">(Qld) </w:t>
      </w:r>
      <w:r w:rsidRPr="001B3625">
        <w:rPr>
          <w:sz w:val="18"/>
          <w:szCs w:val="18"/>
        </w:rPr>
        <w:t>s 29.</w:t>
      </w:r>
      <w:r w:rsidR="00FB5780" w:rsidRPr="001B3625">
        <w:rPr>
          <w:sz w:val="18"/>
          <w:szCs w:val="18"/>
        </w:rPr>
        <w:t xml:space="preserve"> See </w:t>
      </w:r>
      <w:r w:rsidR="00D14726" w:rsidRPr="002E0E59">
        <w:rPr>
          <w:rFonts w:cs="Arial"/>
          <w:sz w:val="18"/>
          <w:szCs w:val="18"/>
          <w:lang w:val="en-US"/>
        </w:rPr>
        <w:t xml:space="preserve">UN Human Rights Council, </w:t>
      </w:r>
      <w:r w:rsidR="00D14726" w:rsidRPr="00D414B1">
        <w:rPr>
          <w:rFonts w:cs="Arial"/>
          <w:i/>
          <w:sz w:val="18"/>
          <w:szCs w:val="18"/>
          <w:lang w:val="en-US"/>
        </w:rPr>
        <w:t>General Comment No 35</w:t>
      </w:r>
      <w:r w:rsidR="00D14726" w:rsidRPr="002E0E59">
        <w:rPr>
          <w:rFonts w:cs="Arial"/>
          <w:i/>
          <w:sz w:val="18"/>
          <w:szCs w:val="18"/>
          <w:lang w:val="en-US"/>
        </w:rPr>
        <w:t xml:space="preserve">: Article 9: Liberty and Security of person, </w:t>
      </w:r>
      <w:r w:rsidR="00D14726" w:rsidRPr="002E0E59">
        <w:rPr>
          <w:rFonts w:cs="Arial"/>
          <w:sz w:val="18"/>
          <w:szCs w:val="18"/>
          <w:lang w:val="en-US"/>
        </w:rPr>
        <w:t>UNDOC CCPR/C/GC/35</w:t>
      </w:r>
      <w:r w:rsidR="0078499A">
        <w:rPr>
          <w:rFonts w:cs="Arial"/>
          <w:sz w:val="18"/>
          <w:szCs w:val="18"/>
          <w:lang w:val="en-US"/>
        </w:rPr>
        <w:t xml:space="preserve"> (‘</w:t>
      </w:r>
      <w:r w:rsidR="0078499A">
        <w:rPr>
          <w:rFonts w:cs="Arial"/>
          <w:i/>
          <w:iCs/>
          <w:sz w:val="18"/>
          <w:szCs w:val="18"/>
          <w:lang w:val="en-US"/>
        </w:rPr>
        <w:t>General Comment</w:t>
      </w:r>
      <w:r w:rsidR="00C81C6A">
        <w:rPr>
          <w:rFonts w:cs="Arial"/>
          <w:i/>
          <w:iCs/>
          <w:sz w:val="18"/>
          <w:szCs w:val="18"/>
          <w:lang w:val="en-US"/>
        </w:rPr>
        <w:t xml:space="preserve"> No</w:t>
      </w:r>
      <w:r w:rsidR="00D73468">
        <w:rPr>
          <w:rFonts w:cs="Arial"/>
          <w:i/>
          <w:iCs/>
          <w:sz w:val="18"/>
          <w:szCs w:val="18"/>
          <w:lang w:val="en-US"/>
        </w:rPr>
        <w:t>.</w:t>
      </w:r>
      <w:r w:rsidR="00C81C6A">
        <w:rPr>
          <w:rFonts w:cs="Arial"/>
          <w:i/>
          <w:iCs/>
          <w:sz w:val="18"/>
          <w:szCs w:val="18"/>
          <w:lang w:val="en-US"/>
        </w:rPr>
        <w:t xml:space="preserve"> 35</w:t>
      </w:r>
      <w:r w:rsidR="00C81C6A">
        <w:rPr>
          <w:rFonts w:cs="Arial"/>
          <w:sz w:val="18"/>
          <w:szCs w:val="18"/>
          <w:lang w:val="en-US"/>
        </w:rPr>
        <w:t>’)</w:t>
      </w:r>
      <w:r w:rsidR="00526EB9">
        <w:rPr>
          <w:sz w:val="18"/>
          <w:szCs w:val="18"/>
        </w:rPr>
        <w:t>.</w:t>
      </w:r>
      <w:r w:rsidR="004A7AF8">
        <w:rPr>
          <w:i/>
          <w:iCs/>
          <w:sz w:val="18"/>
          <w:szCs w:val="18"/>
        </w:rPr>
        <w:t xml:space="preserve"> </w:t>
      </w:r>
    </w:p>
  </w:footnote>
  <w:footnote w:id="25">
    <w:p w14:paraId="0E9BECE2" w14:textId="733AF5A1" w:rsidR="000430FF" w:rsidRPr="001B3625" w:rsidRDefault="000430FF" w:rsidP="000430FF">
      <w:pPr>
        <w:pStyle w:val="FootnoteText"/>
        <w:rPr>
          <w:sz w:val="18"/>
          <w:szCs w:val="18"/>
          <w:lang w:val="en-US"/>
        </w:rPr>
      </w:pPr>
      <w:r w:rsidRPr="001B3625">
        <w:rPr>
          <w:rStyle w:val="FootnoteReference"/>
          <w:sz w:val="18"/>
          <w:szCs w:val="18"/>
        </w:rPr>
        <w:footnoteRef/>
      </w:r>
      <w:r w:rsidRPr="001B3625">
        <w:rPr>
          <w:sz w:val="18"/>
          <w:szCs w:val="18"/>
        </w:rPr>
        <w:t xml:space="preserve"> </w:t>
      </w:r>
      <w:r w:rsidR="00EE77BE">
        <w:rPr>
          <w:sz w:val="18"/>
          <w:szCs w:val="18"/>
        </w:rPr>
        <w:t xml:space="preserve">UN Doc A/RES/40/34, </w:t>
      </w:r>
      <w:r w:rsidR="00EE77BE">
        <w:rPr>
          <w:color w:val="auto"/>
          <w:sz w:val="18"/>
          <w:szCs w:val="18"/>
        </w:rPr>
        <w:t>a</w:t>
      </w:r>
      <w:r w:rsidRPr="00B24D92">
        <w:rPr>
          <w:color w:val="auto"/>
          <w:sz w:val="18"/>
          <w:szCs w:val="18"/>
        </w:rPr>
        <w:t>dopted by the General Assembly on 29 November 1985.</w:t>
      </w:r>
    </w:p>
  </w:footnote>
  <w:footnote w:id="26">
    <w:p w14:paraId="45E5F713" w14:textId="309B027D" w:rsidR="00D269B2" w:rsidRPr="001B3625" w:rsidRDefault="00D269B2">
      <w:pPr>
        <w:pStyle w:val="FootnoteText"/>
        <w:rPr>
          <w:sz w:val="18"/>
          <w:szCs w:val="18"/>
          <w:lang w:val="en-GB"/>
        </w:rPr>
      </w:pPr>
      <w:r w:rsidRPr="001B3625">
        <w:rPr>
          <w:rStyle w:val="FootnoteReference"/>
          <w:sz w:val="18"/>
          <w:szCs w:val="18"/>
        </w:rPr>
        <w:footnoteRef/>
      </w:r>
      <w:r w:rsidRPr="001B3625">
        <w:rPr>
          <w:sz w:val="18"/>
          <w:szCs w:val="18"/>
        </w:rPr>
        <w:t xml:space="preserve"> </w:t>
      </w:r>
      <w:r w:rsidRPr="0039239A">
        <w:rPr>
          <w:sz w:val="18"/>
          <w:szCs w:val="18"/>
          <w:lang w:val="en-GB"/>
        </w:rPr>
        <w:t>Principle 4.</w:t>
      </w:r>
    </w:p>
  </w:footnote>
  <w:footnote w:id="27">
    <w:p w14:paraId="4B64A479" w14:textId="2C3C5751" w:rsidR="00887EEC" w:rsidRPr="001B3625" w:rsidRDefault="00887EEC">
      <w:pPr>
        <w:pStyle w:val="FootnoteText"/>
        <w:rPr>
          <w:sz w:val="18"/>
          <w:szCs w:val="18"/>
          <w:lang w:val="en-GB"/>
        </w:rPr>
      </w:pPr>
      <w:r w:rsidRPr="001B3625">
        <w:rPr>
          <w:rStyle w:val="FootnoteReference"/>
          <w:sz w:val="18"/>
          <w:szCs w:val="18"/>
        </w:rPr>
        <w:footnoteRef/>
      </w:r>
      <w:r w:rsidRPr="001B3625">
        <w:rPr>
          <w:sz w:val="18"/>
          <w:szCs w:val="18"/>
        </w:rPr>
        <w:t xml:space="preserve"> </w:t>
      </w:r>
      <w:r w:rsidRPr="0039239A">
        <w:rPr>
          <w:sz w:val="18"/>
          <w:szCs w:val="18"/>
          <w:lang w:val="en-GB"/>
        </w:rPr>
        <w:t>Principle 4.</w:t>
      </w:r>
    </w:p>
  </w:footnote>
  <w:footnote w:id="28">
    <w:p w14:paraId="3EEB7B24" w14:textId="37573704" w:rsidR="00887EEC" w:rsidRPr="001B3625" w:rsidRDefault="00887EEC">
      <w:pPr>
        <w:pStyle w:val="FootnoteText"/>
        <w:rPr>
          <w:sz w:val="18"/>
          <w:szCs w:val="18"/>
          <w:lang w:val="en-GB"/>
        </w:rPr>
      </w:pPr>
      <w:r w:rsidRPr="001B3625">
        <w:rPr>
          <w:rStyle w:val="FootnoteReference"/>
          <w:sz w:val="18"/>
          <w:szCs w:val="18"/>
        </w:rPr>
        <w:footnoteRef/>
      </w:r>
      <w:r w:rsidRPr="001B3625">
        <w:rPr>
          <w:sz w:val="18"/>
          <w:szCs w:val="18"/>
        </w:rPr>
        <w:t xml:space="preserve"> </w:t>
      </w:r>
      <w:r w:rsidRPr="0039239A">
        <w:rPr>
          <w:sz w:val="18"/>
          <w:szCs w:val="18"/>
          <w:lang w:val="en-GB"/>
        </w:rPr>
        <w:t>Principle 6(d).</w:t>
      </w:r>
    </w:p>
  </w:footnote>
  <w:footnote w:id="29">
    <w:p w14:paraId="50D0B0F4" w14:textId="4200251C" w:rsidR="00257812" w:rsidRPr="001B3625" w:rsidRDefault="00257812" w:rsidP="00257812">
      <w:pPr>
        <w:pStyle w:val="FootnoteText"/>
        <w:rPr>
          <w:sz w:val="18"/>
          <w:szCs w:val="18"/>
          <w:lang w:val="en-GB"/>
        </w:rPr>
      </w:pPr>
      <w:r w:rsidRPr="001B3625">
        <w:rPr>
          <w:rStyle w:val="FootnoteReference"/>
          <w:sz w:val="18"/>
          <w:szCs w:val="18"/>
        </w:rPr>
        <w:footnoteRef/>
      </w:r>
      <w:r w:rsidRPr="001B3625">
        <w:rPr>
          <w:sz w:val="18"/>
          <w:szCs w:val="18"/>
        </w:rPr>
        <w:t xml:space="preserve"> </w:t>
      </w:r>
      <w:r w:rsidRPr="001B3625">
        <w:rPr>
          <w:sz w:val="18"/>
          <w:szCs w:val="18"/>
          <w:lang w:val="en-GB"/>
        </w:rPr>
        <w:t>U</w:t>
      </w:r>
      <w:r w:rsidR="00C01E48">
        <w:rPr>
          <w:sz w:val="18"/>
          <w:szCs w:val="18"/>
          <w:lang w:val="en-GB"/>
        </w:rPr>
        <w:t>nited Nations Office for Drug Control and Crime Prevention</w:t>
      </w:r>
      <w:r w:rsidR="006B0C01">
        <w:rPr>
          <w:sz w:val="18"/>
          <w:szCs w:val="18"/>
          <w:lang w:val="en-GB"/>
        </w:rPr>
        <w:t>,</w:t>
      </w:r>
      <w:r w:rsidRPr="001B3625">
        <w:rPr>
          <w:sz w:val="18"/>
          <w:szCs w:val="18"/>
          <w:lang w:val="en-GB"/>
        </w:rPr>
        <w:t xml:space="preserve"> </w:t>
      </w:r>
      <w:r w:rsidRPr="006B0C01">
        <w:rPr>
          <w:i/>
          <w:iCs/>
          <w:sz w:val="18"/>
          <w:szCs w:val="18"/>
          <w:lang w:val="en-GB"/>
        </w:rPr>
        <w:t>Handbook on Justice for Victims</w:t>
      </w:r>
      <w:r w:rsidR="006B0C01" w:rsidRPr="006B0C01">
        <w:rPr>
          <w:i/>
          <w:iCs/>
          <w:sz w:val="18"/>
          <w:szCs w:val="18"/>
          <w:lang w:val="en-GB"/>
        </w:rPr>
        <w:t>: On the use and application of the Declaration of Basic Principles of Justice for Victims of Crime and Abuse of Power</w:t>
      </w:r>
      <w:r w:rsidR="00C01E48">
        <w:rPr>
          <w:sz w:val="18"/>
          <w:szCs w:val="18"/>
          <w:lang w:val="en-GB"/>
        </w:rPr>
        <w:t>, New York, 1999,</w:t>
      </w:r>
      <w:r w:rsidRPr="001B3625">
        <w:rPr>
          <w:sz w:val="18"/>
          <w:szCs w:val="18"/>
          <w:lang w:val="en-GB"/>
        </w:rPr>
        <w:t xml:space="preserve"> 72.</w:t>
      </w:r>
    </w:p>
  </w:footnote>
  <w:footnote w:id="30">
    <w:p w14:paraId="62757A41" w14:textId="37B22C3B" w:rsidR="0072474B" w:rsidRPr="002466C5" w:rsidRDefault="0072474B" w:rsidP="0072474B">
      <w:pPr>
        <w:pStyle w:val="FootnoteText"/>
        <w:rPr>
          <w:sz w:val="18"/>
          <w:szCs w:val="18"/>
          <w:lang w:val="en-GB"/>
        </w:rPr>
      </w:pPr>
      <w:r w:rsidRPr="002466C5">
        <w:rPr>
          <w:rStyle w:val="FootnoteReference"/>
          <w:sz w:val="18"/>
          <w:szCs w:val="18"/>
        </w:rPr>
        <w:footnoteRef/>
      </w:r>
      <w:r w:rsidRPr="002466C5">
        <w:rPr>
          <w:sz w:val="18"/>
          <w:szCs w:val="18"/>
        </w:rPr>
        <w:t xml:space="preserve"> </w:t>
      </w:r>
      <w:r w:rsidRPr="002466C5">
        <w:rPr>
          <w:sz w:val="18"/>
          <w:szCs w:val="18"/>
          <w:lang w:val="en-GB"/>
        </w:rPr>
        <w:t xml:space="preserve">See, </w:t>
      </w:r>
      <w:proofErr w:type="spellStart"/>
      <w:r w:rsidRPr="002466C5">
        <w:rPr>
          <w:sz w:val="18"/>
          <w:szCs w:val="18"/>
          <w:lang w:val="en-GB"/>
        </w:rPr>
        <w:t>Evarn</w:t>
      </w:r>
      <w:proofErr w:type="spellEnd"/>
      <w:r w:rsidRPr="002466C5">
        <w:rPr>
          <w:sz w:val="18"/>
          <w:szCs w:val="18"/>
          <w:lang w:val="en-GB"/>
        </w:rPr>
        <w:t xml:space="preserve"> J Ooi &amp; Joanna Wang (2022) ‘The effect of parole supervision on recidivism’ NSW Bureau of Crime Statistics and Research, 245 </w:t>
      </w:r>
      <w:r w:rsidRPr="002466C5">
        <w:rPr>
          <w:i/>
          <w:iCs/>
          <w:sz w:val="18"/>
          <w:szCs w:val="18"/>
          <w:lang w:val="en-GB"/>
        </w:rPr>
        <w:t>Crime and Justice Bulletin</w:t>
      </w:r>
      <w:r w:rsidRPr="002466C5">
        <w:rPr>
          <w:sz w:val="18"/>
          <w:szCs w:val="18"/>
        </w:rPr>
        <w:t xml:space="preserve"> (February 2022)</w:t>
      </w:r>
      <w:r w:rsidR="00777871" w:rsidRPr="002466C5">
        <w:rPr>
          <w:sz w:val="18"/>
          <w:szCs w:val="18"/>
        </w:rPr>
        <w:t>, 2-4</w:t>
      </w:r>
      <w:r w:rsidR="006D4896" w:rsidRPr="002466C5">
        <w:rPr>
          <w:sz w:val="18"/>
          <w:szCs w:val="18"/>
        </w:rPr>
        <w:t xml:space="preserve">; Walter </w:t>
      </w:r>
      <w:proofErr w:type="spellStart"/>
      <w:r w:rsidR="006D4896" w:rsidRPr="002466C5">
        <w:rPr>
          <w:sz w:val="18"/>
          <w:szCs w:val="18"/>
        </w:rPr>
        <w:t>Sofronoff</w:t>
      </w:r>
      <w:proofErr w:type="spellEnd"/>
      <w:r w:rsidR="006D4896" w:rsidRPr="002466C5">
        <w:rPr>
          <w:sz w:val="18"/>
          <w:szCs w:val="18"/>
        </w:rPr>
        <w:t xml:space="preserve">, </w:t>
      </w:r>
      <w:r w:rsidR="006D4896" w:rsidRPr="002466C5">
        <w:rPr>
          <w:i/>
          <w:sz w:val="18"/>
          <w:szCs w:val="18"/>
        </w:rPr>
        <w:t xml:space="preserve">Queensland Parole System Review </w:t>
      </w:r>
      <w:r w:rsidR="006D4896" w:rsidRPr="002466C5">
        <w:rPr>
          <w:sz w:val="18"/>
          <w:szCs w:val="18"/>
        </w:rPr>
        <w:t>(Final Report, 30 November 2016) 1.</w:t>
      </w:r>
    </w:p>
  </w:footnote>
  <w:footnote w:id="31">
    <w:p w14:paraId="43000EE0" w14:textId="44A7C381" w:rsidR="002F6B55" w:rsidRPr="001B3625" w:rsidRDefault="002F6B55">
      <w:pPr>
        <w:pStyle w:val="FootnoteText"/>
        <w:rPr>
          <w:sz w:val="18"/>
          <w:szCs w:val="18"/>
          <w:lang w:val="en-GB"/>
        </w:rPr>
      </w:pPr>
      <w:r w:rsidRPr="001B3625">
        <w:rPr>
          <w:rStyle w:val="FootnoteReference"/>
          <w:sz w:val="18"/>
          <w:szCs w:val="18"/>
        </w:rPr>
        <w:footnoteRef/>
      </w:r>
      <w:r w:rsidRPr="001B3625">
        <w:rPr>
          <w:sz w:val="18"/>
          <w:szCs w:val="18"/>
        </w:rPr>
        <w:t xml:space="preserve"> </w:t>
      </w:r>
      <w:r w:rsidRPr="006A4F5B">
        <w:rPr>
          <w:i/>
          <w:iCs/>
          <w:sz w:val="18"/>
          <w:szCs w:val="18"/>
          <w:lang w:val="en-GB"/>
        </w:rPr>
        <w:t>Corrective Services Act 2006</w:t>
      </w:r>
      <w:r w:rsidRPr="001B3625">
        <w:rPr>
          <w:sz w:val="18"/>
          <w:szCs w:val="18"/>
          <w:lang w:val="en-GB"/>
        </w:rPr>
        <w:t xml:space="preserve"> s 3(2).</w:t>
      </w:r>
    </w:p>
  </w:footnote>
  <w:footnote w:id="32">
    <w:p w14:paraId="5E2D3A2C" w14:textId="24B99284" w:rsidR="008F4F62" w:rsidRPr="001B3625" w:rsidRDefault="008F4F62">
      <w:pPr>
        <w:pStyle w:val="FootnoteText"/>
        <w:rPr>
          <w:sz w:val="18"/>
          <w:szCs w:val="18"/>
          <w:lang w:val="en-GB"/>
        </w:rPr>
      </w:pPr>
      <w:r w:rsidRPr="00355522">
        <w:rPr>
          <w:rStyle w:val="FootnoteReference"/>
          <w:sz w:val="18"/>
          <w:szCs w:val="18"/>
        </w:rPr>
        <w:footnoteRef/>
      </w:r>
      <w:r w:rsidRPr="00355522">
        <w:rPr>
          <w:sz w:val="18"/>
          <w:szCs w:val="18"/>
        </w:rPr>
        <w:t xml:space="preserve"> </w:t>
      </w:r>
      <w:r w:rsidRPr="00355522">
        <w:rPr>
          <w:sz w:val="18"/>
          <w:szCs w:val="18"/>
          <w:lang w:val="en-GB"/>
        </w:rPr>
        <w:t>See above [</w:t>
      </w:r>
      <w:r w:rsidR="00355522" w:rsidRPr="00355522">
        <w:rPr>
          <w:sz w:val="18"/>
          <w:szCs w:val="18"/>
          <w:lang w:val="en-GB"/>
        </w:rPr>
        <w:fldChar w:fldCharType="begin"/>
      </w:r>
      <w:r w:rsidR="00355522" w:rsidRPr="00355522">
        <w:rPr>
          <w:sz w:val="18"/>
          <w:szCs w:val="18"/>
          <w:lang w:val="en-GB"/>
        </w:rPr>
        <w:instrText xml:space="preserve"> REF _Ref204367620 \r \h </w:instrText>
      </w:r>
      <w:r w:rsidR="00355522">
        <w:rPr>
          <w:sz w:val="18"/>
          <w:szCs w:val="18"/>
          <w:lang w:val="en-GB"/>
        </w:rPr>
        <w:instrText xml:space="preserve"> \* MERGEFORMAT </w:instrText>
      </w:r>
      <w:r w:rsidR="00355522" w:rsidRPr="00355522">
        <w:rPr>
          <w:sz w:val="18"/>
          <w:szCs w:val="18"/>
          <w:lang w:val="en-GB"/>
        </w:rPr>
      </w:r>
      <w:r w:rsidR="00355522" w:rsidRPr="00355522">
        <w:rPr>
          <w:sz w:val="18"/>
          <w:szCs w:val="18"/>
          <w:lang w:val="en-GB"/>
        </w:rPr>
        <w:fldChar w:fldCharType="separate"/>
      </w:r>
      <w:r w:rsidR="00355522" w:rsidRPr="00355522">
        <w:rPr>
          <w:sz w:val="18"/>
          <w:szCs w:val="18"/>
          <w:lang w:val="en-GB"/>
        </w:rPr>
        <w:t>12</w:t>
      </w:r>
      <w:r w:rsidR="00355522" w:rsidRPr="00355522">
        <w:rPr>
          <w:sz w:val="18"/>
          <w:szCs w:val="18"/>
          <w:lang w:val="en-GB"/>
        </w:rPr>
        <w:fldChar w:fldCharType="end"/>
      </w:r>
      <w:r w:rsidRPr="00355522">
        <w:rPr>
          <w:sz w:val="18"/>
          <w:szCs w:val="18"/>
          <w:lang w:val="en-GB"/>
        </w:rPr>
        <w:t>]</w:t>
      </w:r>
      <w:r w:rsidR="00355522" w:rsidRPr="00355522">
        <w:rPr>
          <w:sz w:val="18"/>
          <w:szCs w:val="18"/>
          <w:lang w:val="en-GB"/>
        </w:rPr>
        <w:t>;</w:t>
      </w:r>
      <w:r w:rsidRPr="00355522">
        <w:rPr>
          <w:sz w:val="18"/>
          <w:szCs w:val="18"/>
          <w:lang w:val="en-GB"/>
        </w:rPr>
        <w:t xml:space="preserve"> </w:t>
      </w:r>
      <w:r w:rsidRPr="00355522">
        <w:rPr>
          <w:i/>
          <w:iCs/>
          <w:sz w:val="18"/>
          <w:szCs w:val="18"/>
          <w:lang w:val="en-GB"/>
        </w:rPr>
        <w:t xml:space="preserve">Human Rights Act </w:t>
      </w:r>
      <w:r w:rsidR="00355522" w:rsidRPr="00355522">
        <w:rPr>
          <w:i/>
          <w:iCs/>
          <w:sz w:val="18"/>
          <w:szCs w:val="18"/>
          <w:lang w:val="en-GB"/>
        </w:rPr>
        <w:t>2019</w:t>
      </w:r>
      <w:r w:rsidR="00355522" w:rsidRPr="00355522">
        <w:rPr>
          <w:sz w:val="18"/>
          <w:szCs w:val="18"/>
          <w:lang w:val="en-GB"/>
        </w:rPr>
        <w:t xml:space="preserve"> (Qld) </w:t>
      </w:r>
      <w:r w:rsidRPr="00355522">
        <w:rPr>
          <w:sz w:val="18"/>
          <w:szCs w:val="18"/>
          <w:lang w:val="en-GB"/>
        </w:rPr>
        <w:t>s 13.</w:t>
      </w:r>
    </w:p>
  </w:footnote>
  <w:footnote w:id="33">
    <w:p w14:paraId="31691567" w14:textId="272184DE" w:rsidR="00E30A82" w:rsidRPr="002E0E59" w:rsidRDefault="00E30A82" w:rsidP="00E30A82">
      <w:pPr>
        <w:pStyle w:val="FootnoteText"/>
        <w:jc w:val="both"/>
        <w:rPr>
          <w:rFonts w:cs="Arial"/>
          <w:sz w:val="18"/>
          <w:szCs w:val="18"/>
        </w:rPr>
      </w:pPr>
      <w:r w:rsidRPr="002E0E59">
        <w:rPr>
          <w:rStyle w:val="FootnoteReference"/>
          <w:rFonts w:cs="Arial"/>
          <w:sz w:val="18"/>
          <w:szCs w:val="18"/>
        </w:rPr>
        <w:footnoteRef/>
      </w:r>
      <w:r w:rsidRPr="009B33EC">
        <w:rPr>
          <w:rFonts w:cs="Arial"/>
          <w:i/>
          <w:sz w:val="18"/>
          <w:szCs w:val="18"/>
        </w:rPr>
        <w:t xml:space="preserve"> </w:t>
      </w:r>
      <w:r w:rsidRPr="002E0E59">
        <w:rPr>
          <w:rFonts w:cs="Arial"/>
          <w:i/>
          <w:sz w:val="18"/>
          <w:szCs w:val="18"/>
        </w:rPr>
        <w:t>General Comment No</w:t>
      </w:r>
      <w:r w:rsidR="009B33EC" w:rsidRPr="002E0E59">
        <w:rPr>
          <w:rFonts w:cs="Arial"/>
          <w:i/>
          <w:iCs/>
          <w:sz w:val="18"/>
          <w:szCs w:val="18"/>
        </w:rPr>
        <w:t xml:space="preserve">. </w:t>
      </w:r>
      <w:r w:rsidRPr="002E0E59">
        <w:rPr>
          <w:rFonts w:cs="Arial"/>
          <w:i/>
          <w:sz w:val="18"/>
          <w:szCs w:val="18"/>
        </w:rPr>
        <w:t>35</w:t>
      </w:r>
      <w:r w:rsidRPr="002E0E59">
        <w:rPr>
          <w:rFonts w:cs="Arial"/>
          <w:sz w:val="18"/>
          <w:szCs w:val="18"/>
          <w:lang w:val="en-US"/>
        </w:rPr>
        <w:t xml:space="preserve">, </w:t>
      </w:r>
      <w:r w:rsidRPr="002E0E59">
        <w:rPr>
          <w:rFonts w:cs="Arial"/>
          <w:sz w:val="18"/>
          <w:szCs w:val="18"/>
        </w:rPr>
        <w:t>[12];</w:t>
      </w:r>
      <w:r w:rsidRPr="002E0E59">
        <w:rPr>
          <w:rFonts w:cs="Arial"/>
          <w:i/>
          <w:iCs/>
          <w:sz w:val="18"/>
          <w:szCs w:val="18"/>
        </w:rPr>
        <w:t xml:space="preserve"> Zenati v Commissioner of Police of the Metropolis</w:t>
      </w:r>
      <w:r w:rsidRPr="002E0E59">
        <w:rPr>
          <w:rFonts w:cs="Arial"/>
          <w:sz w:val="18"/>
          <w:szCs w:val="18"/>
        </w:rPr>
        <w:t xml:space="preserve"> [2015] EWCA Civ 80 at [51]-[54].</w:t>
      </w:r>
    </w:p>
  </w:footnote>
  <w:footnote w:id="34">
    <w:p w14:paraId="2766DF3F" w14:textId="0CFAFC5F" w:rsidR="00E30A82" w:rsidRPr="002E0E59" w:rsidRDefault="00E30A82" w:rsidP="00E30A82">
      <w:pPr>
        <w:pStyle w:val="FootnoteText"/>
        <w:jc w:val="both"/>
        <w:rPr>
          <w:rFonts w:cs="Arial"/>
          <w:sz w:val="18"/>
          <w:szCs w:val="18"/>
        </w:rPr>
      </w:pPr>
      <w:r w:rsidRPr="002E0E59">
        <w:rPr>
          <w:rStyle w:val="FootnoteReference"/>
          <w:rFonts w:cs="Arial"/>
          <w:sz w:val="18"/>
          <w:szCs w:val="18"/>
        </w:rPr>
        <w:footnoteRef/>
      </w:r>
      <w:r w:rsidRPr="002E0E59">
        <w:rPr>
          <w:rFonts w:cs="Arial"/>
          <w:sz w:val="18"/>
          <w:szCs w:val="18"/>
        </w:rPr>
        <w:t xml:space="preserve"> </w:t>
      </w:r>
      <w:r w:rsidRPr="00D414B1">
        <w:rPr>
          <w:rFonts w:cs="Arial"/>
          <w:i/>
          <w:sz w:val="18"/>
          <w:szCs w:val="18"/>
        </w:rPr>
        <w:t>Thompson v Minogue</w:t>
      </w:r>
      <w:r w:rsidRPr="002E0E59">
        <w:rPr>
          <w:rFonts w:cs="Arial"/>
          <w:sz w:val="18"/>
          <w:szCs w:val="18"/>
        </w:rPr>
        <w:t xml:space="preserve"> (2021) 67 VR 301, 318 [55]; </w:t>
      </w:r>
      <w:r w:rsidRPr="002E0E59">
        <w:rPr>
          <w:rFonts w:cs="Arial"/>
          <w:i/>
          <w:iCs/>
          <w:sz w:val="18"/>
          <w:szCs w:val="18"/>
        </w:rPr>
        <w:t>A</w:t>
      </w:r>
      <w:r w:rsidRPr="002E0E59">
        <w:rPr>
          <w:rFonts w:cs="Arial"/>
          <w:i/>
          <w:iCs/>
          <w:color w:val="000000"/>
          <w:sz w:val="18"/>
          <w:szCs w:val="18"/>
          <w:shd w:val="clear" w:color="auto" w:fill="FFFFFF"/>
        </w:rPr>
        <w:t xml:space="preserve">ttorney-General for the State of Queensland v </w:t>
      </w:r>
      <w:r w:rsidRPr="00D414B1">
        <w:rPr>
          <w:rFonts w:cs="Arial"/>
          <w:i/>
          <w:color w:val="000000"/>
          <w:sz w:val="18"/>
          <w:szCs w:val="18"/>
          <w:shd w:val="clear" w:color="auto" w:fill="FFFFFF"/>
        </w:rPr>
        <w:t>Grant</w:t>
      </w:r>
      <w:r w:rsidRPr="002E0E59">
        <w:rPr>
          <w:rFonts w:cs="Arial"/>
          <w:i/>
          <w:iCs/>
          <w:color w:val="000000"/>
          <w:sz w:val="18"/>
          <w:szCs w:val="18"/>
          <w:shd w:val="clear" w:color="auto" w:fill="FFFFFF"/>
        </w:rPr>
        <w:t xml:space="preserve"> (No 2)</w:t>
      </w:r>
      <w:r w:rsidRPr="002E0E59">
        <w:rPr>
          <w:rFonts w:cs="Arial"/>
          <w:color w:val="000000"/>
          <w:sz w:val="18"/>
          <w:szCs w:val="18"/>
          <w:shd w:val="clear" w:color="auto" w:fill="FFFFFF"/>
        </w:rPr>
        <w:t xml:space="preserve"> </w:t>
      </w:r>
      <w:r w:rsidRPr="002E0E59">
        <w:rPr>
          <w:rFonts w:cs="Arial"/>
          <w:sz w:val="18"/>
          <w:szCs w:val="18"/>
        </w:rPr>
        <w:t xml:space="preserve">(2022) 12 QR 357, [111]; </w:t>
      </w:r>
      <w:r w:rsidRPr="002E0E59">
        <w:rPr>
          <w:rFonts w:cs="Arial"/>
          <w:i/>
          <w:iCs/>
          <w:sz w:val="18"/>
          <w:szCs w:val="18"/>
        </w:rPr>
        <w:t xml:space="preserve">Johnston </w:t>
      </w:r>
      <w:r w:rsidRPr="002E0E59">
        <w:rPr>
          <w:rFonts w:cs="Arial"/>
          <w:sz w:val="18"/>
          <w:szCs w:val="18"/>
        </w:rPr>
        <w:t>[363].</w:t>
      </w:r>
    </w:p>
  </w:footnote>
  <w:footnote w:id="35">
    <w:p w14:paraId="308F2AA9" w14:textId="77777777" w:rsidR="00E30A82" w:rsidRPr="002E0E59" w:rsidRDefault="00E30A82" w:rsidP="00E30A82">
      <w:pPr>
        <w:pStyle w:val="FootnoteText"/>
        <w:jc w:val="both"/>
        <w:rPr>
          <w:rFonts w:cs="Arial"/>
          <w:sz w:val="18"/>
          <w:szCs w:val="18"/>
        </w:rPr>
      </w:pPr>
      <w:r w:rsidRPr="002E0E59">
        <w:rPr>
          <w:rStyle w:val="FootnoteReference"/>
          <w:rFonts w:cs="Arial"/>
          <w:sz w:val="18"/>
          <w:szCs w:val="18"/>
        </w:rPr>
        <w:footnoteRef/>
      </w:r>
      <w:r w:rsidRPr="002E0E59">
        <w:rPr>
          <w:rFonts w:cs="Arial"/>
          <w:sz w:val="18"/>
          <w:szCs w:val="18"/>
        </w:rPr>
        <w:t xml:space="preserve"> </w:t>
      </w:r>
      <w:r w:rsidRPr="002E0E59">
        <w:rPr>
          <w:rFonts w:cs="Arial"/>
          <w:i/>
          <w:iCs/>
          <w:sz w:val="18"/>
          <w:szCs w:val="18"/>
        </w:rPr>
        <w:t>General Comment No. 35</w:t>
      </w:r>
      <w:r w:rsidRPr="002E0E59">
        <w:rPr>
          <w:rFonts w:cs="Arial"/>
          <w:sz w:val="18"/>
          <w:szCs w:val="18"/>
        </w:rPr>
        <w:t xml:space="preserve">, [12]. </w:t>
      </w:r>
      <w:r w:rsidRPr="002E0E59">
        <w:rPr>
          <w:rFonts w:cs="Arial"/>
          <w:i/>
          <w:iCs/>
          <w:sz w:val="18"/>
          <w:szCs w:val="18"/>
        </w:rPr>
        <w:t xml:space="preserve">Re Kracke, </w:t>
      </w:r>
      <w:r w:rsidRPr="002E0E59">
        <w:rPr>
          <w:rFonts w:cs="Arial"/>
          <w:sz w:val="18"/>
          <w:szCs w:val="18"/>
        </w:rPr>
        <w:t>[187], [748]-[784].</w:t>
      </w:r>
    </w:p>
  </w:footnote>
  <w:footnote w:id="36">
    <w:p w14:paraId="25D27418" w14:textId="00B3FD75" w:rsidR="00587D3D" w:rsidRPr="001B3625" w:rsidRDefault="00587D3D">
      <w:pPr>
        <w:pStyle w:val="FootnoteText"/>
        <w:rPr>
          <w:sz w:val="18"/>
          <w:szCs w:val="18"/>
          <w:lang w:val="en-GB"/>
        </w:rPr>
      </w:pPr>
      <w:r w:rsidRPr="001B3625">
        <w:rPr>
          <w:rStyle w:val="FootnoteReference"/>
          <w:sz w:val="18"/>
          <w:szCs w:val="18"/>
        </w:rPr>
        <w:footnoteRef/>
      </w:r>
      <w:r w:rsidRPr="001B3625">
        <w:rPr>
          <w:sz w:val="18"/>
          <w:szCs w:val="18"/>
        </w:rPr>
        <w:t xml:space="preserve"> </w:t>
      </w:r>
      <w:r w:rsidR="003C3CBB" w:rsidRPr="00D414B1">
        <w:rPr>
          <w:rFonts w:cs="Arial"/>
          <w:i/>
          <w:iCs/>
          <w:sz w:val="18"/>
          <w:szCs w:val="18"/>
        </w:rPr>
        <w:t>Murray v</w:t>
      </w:r>
      <w:r w:rsidR="003C3CBB" w:rsidRPr="001B3625">
        <w:rPr>
          <w:rFonts w:cs="Arial"/>
          <w:i/>
          <w:iCs/>
          <w:sz w:val="18"/>
          <w:szCs w:val="18"/>
        </w:rPr>
        <w:t xml:space="preserve"> The Netherlands </w:t>
      </w:r>
      <w:r w:rsidR="003C3CBB" w:rsidRPr="001B3625">
        <w:rPr>
          <w:rFonts w:cs="Arial"/>
          <w:sz w:val="18"/>
          <w:szCs w:val="18"/>
        </w:rPr>
        <w:t xml:space="preserve">(2016) </w:t>
      </w:r>
      <w:r w:rsidR="009C634E">
        <w:rPr>
          <w:rFonts w:cs="Arial"/>
          <w:sz w:val="18"/>
          <w:szCs w:val="18"/>
        </w:rPr>
        <w:t>Grand Chamber, Application</w:t>
      </w:r>
      <w:r w:rsidR="003C3CBB" w:rsidRPr="001B3625">
        <w:rPr>
          <w:rFonts w:cs="Arial"/>
          <w:sz w:val="18"/>
          <w:szCs w:val="18"/>
        </w:rPr>
        <w:t xml:space="preserve"> 10511/10</w:t>
      </w:r>
      <w:r w:rsidR="00FB77A8">
        <w:rPr>
          <w:rFonts w:cs="Arial"/>
          <w:sz w:val="18"/>
          <w:szCs w:val="18"/>
        </w:rPr>
        <w:t xml:space="preserve"> </w:t>
      </w:r>
      <w:r w:rsidR="00FB77A8" w:rsidRPr="001B3625">
        <w:rPr>
          <w:rFonts w:cs="Arial"/>
          <w:sz w:val="18"/>
          <w:szCs w:val="18"/>
        </w:rPr>
        <w:t>at [101]</w:t>
      </w:r>
      <w:r w:rsidR="00FB77A8">
        <w:rPr>
          <w:rFonts w:cs="Arial"/>
          <w:sz w:val="18"/>
          <w:szCs w:val="18"/>
        </w:rPr>
        <w:t xml:space="preserve"> </w:t>
      </w:r>
      <w:r w:rsidR="00F7654C">
        <w:rPr>
          <w:rFonts w:cs="Arial"/>
          <w:sz w:val="18"/>
          <w:szCs w:val="18"/>
        </w:rPr>
        <w:t>(‘</w:t>
      </w:r>
      <w:r w:rsidR="00F7654C" w:rsidRPr="00A70EEE">
        <w:rPr>
          <w:rFonts w:cs="Arial"/>
          <w:sz w:val="18"/>
          <w:szCs w:val="18"/>
        </w:rPr>
        <w:t>Murray</w:t>
      </w:r>
      <w:r w:rsidR="00F7654C">
        <w:rPr>
          <w:rFonts w:cs="Arial"/>
          <w:sz w:val="18"/>
          <w:szCs w:val="18"/>
        </w:rPr>
        <w:t>’)</w:t>
      </w:r>
      <w:r w:rsidR="006431C1" w:rsidRPr="001B3625">
        <w:rPr>
          <w:sz w:val="18"/>
          <w:szCs w:val="18"/>
        </w:rPr>
        <w:t>,</w:t>
      </w:r>
      <w:r w:rsidR="003E150F">
        <w:rPr>
          <w:sz w:val="18"/>
          <w:szCs w:val="18"/>
        </w:rPr>
        <w:t xml:space="preserve"> </w:t>
      </w:r>
      <w:r w:rsidR="003E150F" w:rsidRPr="00D414B1">
        <w:rPr>
          <w:rFonts w:cs="Arial"/>
          <w:i/>
          <w:sz w:val="18"/>
          <w:szCs w:val="18"/>
        </w:rPr>
        <w:t xml:space="preserve">Vinter </w:t>
      </w:r>
      <w:r w:rsidR="003E150F" w:rsidRPr="001B3625">
        <w:rPr>
          <w:rFonts w:cs="Arial"/>
          <w:i/>
          <w:sz w:val="18"/>
          <w:szCs w:val="18"/>
        </w:rPr>
        <w:t xml:space="preserve">v United Kingdom </w:t>
      </w:r>
      <w:r w:rsidR="00F22973" w:rsidRPr="009C634E">
        <w:rPr>
          <w:rFonts w:cs="Arial"/>
          <w:iCs/>
          <w:sz w:val="18"/>
          <w:szCs w:val="18"/>
        </w:rPr>
        <w:t>(</w:t>
      </w:r>
      <w:r w:rsidR="00A45352" w:rsidRPr="009C634E">
        <w:rPr>
          <w:rFonts w:cs="Arial"/>
          <w:iCs/>
          <w:sz w:val="18"/>
          <w:szCs w:val="18"/>
        </w:rPr>
        <w:t>2013</w:t>
      </w:r>
      <w:r w:rsidR="003F40CB" w:rsidRPr="009C634E">
        <w:rPr>
          <w:rFonts w:cs="Arial"/>
          <w:iCs/>
          <w:sz w:val="18"/>
          <w:szCs w:val="18"/>
        </w:rPr>
        <w:t>)</w:t>
      </w:r>
      <w:r w:rsidR="009C634E">
        <w:rPr>
          <w:rFonts w:cs="Arial"/>
          <w:iCs/>
          <w:sz w:val="18"/>
          <w:szCs w:val="18"/>
        </w:rPr>
        <w:t>, Grand Chamber,</w:t>
      </w:r>
      <w:r w:rsidR="003F40CB">
        <w:rPr>
          <w:rFonts w:cs="Arial"/>
          <w:iCs/>
          <w:sz w:val="18"/>
          <w:szCs w:val="18"/>
        </w:rPr>
        <w:t xml:space="preserve"> </w:t>
      </w:r>
      <w:r w:rsidR="003E150F" w:rsidRPr="001B3625">
        <w:rPr>
          <w:rFonts w:cs="Arial"/>
          <w:sz w:val="18"/>
          <w:szCs w:val="18"/>
        </w:rPr>
        <w:t>Applications Nos 66069/09, 130/10 and 3896/10 at</w:t>
      </w:r>
      <w:r w:rsidR="006431C1" w:rsidRPr="001B3625">
        <w:rPr>
          <w:sz w:val="18"/>
          <w:szCs w:val="18"/>
        </w:rPr>
        <w:t xml:space="preserve"> </w:t>
      </w:r>
      <w:r w:rsidR="00E504A8">
        <w:rPr>
          <w:sz w:val="18"/>
          <w:szCs w:val="18"/>
        </w:rPr>
        <w:t>[</w:t>
      </w:r>
      <w:r w:rsidR="006431C1" w:rsidRPr="001B3625">
        <w:rPr>
          <w:sz w:val="18"/>
          <w:szCs w:val="18"/>
        </w:rPr>
        <w:t>113</w:t>
      </w:r>
      <w:r w:rsidR="00E504A8">
        <w:rPr>
          <w:sz w:val="18"/>
          <w:szCs w:val="18"/>
        </w:rPr>
        <w:t>]</w:t>
      </w:r>
      <w:r w:rsidR="005D6D51">
        <w:rPr>
          <w:sz w:val="18"/>
          <w:szCs w:val="18"/>
        </w:rPr>
        <w:t xml:space="preserve"> (‘</w:t>
      </w:r>
      <w:r w:rsidR="005D6D51">
        <w:rPr>
          <w:i/>
          <w:iCs/>
          <w:sz w:val="18"/>
          <w:szCs w:val="18"/>
        </w:rPr>
        <w:t>Vinter</w:t>
      </w:r>
      <w:r w:rsidR="005D6D51">
        <w:rPr>
          <w:sz w:val="18"/>
          <w:szCs w:val="18"/>
        </w:rPr>
        <w:t>’)</w:t>
      </w:r>
      <w:r w:rsidR="006431C1" w:rsidRPr="001B3625">
        <w:rPr>
          <w:sz w:val="18"/>
          <w:szCs w:val="18"/>
        </w:rPr>
        <w:t>.</w:t>
      </w:r>
    </w:p>
  </w:footnote>
  <w:footnote w:id="37">
    <w:p w14:paraId="279B18D4" w14:textId="77777777" w:rsidR="007835BB" w:rsidRPr="001B3625" w:rsidRDefault="007835BB" w:rsidP="007835BB">
      <w:pPr>
        <w:pStyle w:val="FootnoteText"/>
        <w:rPr>
          <w:sz w:val="18"/>
          <w:szCs w:val="18"/>
          <w:lang w:val="en-GB"/>
        </w:rPr>
      </w:pPr>
      <w:r w:rsidRPr="001B3625">
        <w:rPr>
          <w:rStyle w:val="FootnoteReference"/>
          <w:sz w:val="18"/>
          <w:szCs w:val="18"/>
        </w:rPr>
        <w:footnoteRef/>
      </w:r>
      <w:r w:rsidRPr="001B3625">
        <w:rPr>
          <w:sz w:val="18"/>
          <w:szCs w:val="18"/>
        </w:rPr>
        <w:t xml:space="preserve"> </w:t>
      </w:r>
      <w:r w:rsidR="003829D2" w:rsidRPr="001B3625">
        <w:rPr>
          <w:rFonts w:cs="Arial"/>
          <w:i/>
          <w:iCs/>
          <w:sz w:val="18"/>
          <w:szCs w:val="18"/>
        </w:rPr>
        <w:t>Murray</w:t>
      </w:r>
      <w:r w:rsidR="003829D2" w:rsidRPr="001B3625">
        <w:rPr>
          <w:rFonts w:cs="Arial"/>
          <w:sz w:val="18"/>
          <w:szCs w:val="18"/>
        </w:rPr>
        <w:t xml:space="preserve"> [99]-[100]. Statement of Compatibility </w:t>
      </w:r>
      <w:r w:rsidR="003829D2" w:rsidRPr="001B3625">
        <w:rPr>
          <w:rFonts w:cs="Arial"/>
          <w:i/>
          <w:iCs/>
          <w:sz w:val="18"/>
          <w:szCs w:val="18"/>
        </w:rPr>
        <w:t xml:space="preserve">Police Powers and Responsibilities and Other Amendments Bill 2021, </w:t>
      </w:r>
      <w:r w:rsidR="003829D2" w:rsidRPr="001B3625">
        <w:rPr>
          <w:rFonts w:cs="Arial"/>
          <w:sz w:val="18"/>
          <w:szCs w:val="18"/>
        </w:rPr>
        <w:t xml:space="preserve">21. </w:t>
      </w:r>
    </w:p>
  </w:footnote>
  <w:footnote w:id="38">
    <w:p w14:paraId="2C035DF4" w14:textId="77777777" w:rsidR="00F66405" w:rsidRPr="002068E4" w:rsidRDefault="00F66405" w:rsidP="00F66405">
      <w:pPr>
        <w:pStyle w:val="FootnoteText"/>
        <w:rPr>
          <w:lang w:val="en-GB"/>
        </w:rPr>
      </w:pPr>
      <w:r>
        <w:rPr>
          <w:rStyle w:val="FootnoteReference"/>
        </w:rPr>
        <w:footnoteRef/>
      </w:r>
      <w:r>
        <w:t xml:space="preserve"> </w:t>
      </w:r>
      <w:r>
        <w:rPr>
          <w:i/>
          <w:iCs/>
          <w:lang w:val="en-GB"/>
        </w:rPr>
        <w:t>Vinter</w:t>
      </w:r>
      <w:r>
        <w:rPr>
          <w:lang w:val="en-GB"/>
        </w:rPr>
        <w:t xml:space="preserve"> [122], </w:t>
      </w:r>
      <w:r>
        <w:rPr>
          <w:i/>
          <w:iCs/>
          <w:lang w:val="en-GB"/>
        </w:rPr>
        <w:t>Murray</w:t>
      </w:r>
      <w:r>
        <w:rPr>
          <w:lang w:val="en-GB"/>
        </w:rPr>
        <w:t xml:space="preserve"> [103].</w:t>
      </w:r>
    </w:p>
  </w:footnote>
  <w:footnote w:id="39">
    <w:p w14:paraId="375C07B7" w14:textId="4703E411" w:rsidR="00F66405" w:rsidRPr="00F66405" w:rsidRDefault="00F66405">
      <w:pPr>
        <w:pStyle w:val="FootnoteText"/>
        <w:rPr>
          <w:lang w:val="en-GB"/>
        </w:rPr>
      </w:pPr>
      <w:r>
        <w:rPr>
          <w:rStyle w:val="FootnoteReference"/>
        </w:rPr>
        <w:footnoteRef/>
      </w:r>
      <w:r>
        <w:t xml:space="preserve"> </w:t>
      </w:r>
      <w:r w:rsidR="00AE53FA" w:rsidRPr="00AE53FA">
        <w:rPr>
          <w:i/>
          <w:iCs/>
          <w:lang w:val="en-GB"/>
        </w:rPr>
        <w:t xml:space="preserve">Murray </w:t>
      </w:r>
      <w:r w:rsidR="00AE53FA">
        <w:rPr>
          <w:lang w:val="en-GB"/>
        </w:rPr>
        <w:t>[104].</w:t>
      </w:r>
    </w:p>
  </w:footnote>
  <w:footnote w:id="40">
    <w:p w14:paraId="7F6466C3" w14:textId="595E7835" w:rsidR="00E30A82" w:rsidRPr="001B3625" w:rsidRDefault="00E30A82" w:rsidP="00E30A82">
      <w:pPr>
        <w:autoSpaceDE w:val="0"/>
        <w:autoSpaceDN w:val="0"/>
        <w:adjustRightInd w:val="0"/>
        <w:jc w:val="both"/>
        <w:rPr>
          <w:rFonts w:eastAsia="MS Mincho" w:cs="Arial"/>
          <w:i/>
          <w:iCs/>
          <w:color w:val="000000" w:themeColor="text1"/>
          <w:sz w:val="18"/>
          <w:szCs w:val="18"/>
          <w:lang w:val="en-US"/>
          <w14:ligatures w14:val="standardContextual"/>
        </w:rPr>
      </w:pPr>
      <w:r w:rsidRPr="001B3625">
        <w:rPr>
          <w:rStyle w:val="FootnoteReference"/>
          <w:rFonts w:cs="Arial"/>
          <w:sz w:val="18"/>
          <w:szCs w:val="18"/>
        </w:rPr>
        <w:footnoteRef/>
      </w:r>
      <w:r w:rsidRPr="001B3625">
        <w:rPr>
          <w:rFonts w:cs="Arial"/>
          <w:sz w:val="18"/>
          <w:szCs w:val="18"/>
        </w:rPr>
        <w:t xml:space="preserve"> </w:t>
      </w:r>
      <w:r w:rsidRPr="001B3625">
        <w:rPr>
          <w:rFonts w:cs="Arial"/>
          <w:i/>
          <w:iCs/>
          <w:sz w:val="18"/>
          <w:szCs w:val="18"/>
        </w:rPr>
        <w:t xml:space="preserve">Thyne, Wilson and Gunnell v United Kingdom </w:t>
      </w:r>
      <w:r w:rsidRPr="001B3625">
        <w:rPr>
          <w:rFonts w:cs="Arial"/>
          <w:sz w:val="18"/>
          <w:szCs w:val="18"/>
        </w:rPr>
        <w:t xml:space="preserve">(Application </w:t>
      </w:r>
      <w:proofErr w:type="spellStart"/>
      <w:r w:rsidRPr="001B3625">
        <w:rPr>
          <w:rFonts w:cs="Arial"/>
          <w:sz w:val="18"/>
          <w:szCs w:val="18"/>
        </w:rPr>
        <w:t>nos</w:t>
      </w:r>
      <w:proofErr w:type="spellEnd"/>
      <w:r w:rsidRPr="001B3625">
        <w:rPr>
          <w:rFonts w:cs="Arial"/>
          <w:sz w:val="18"/>
          <w:szCs w:val="18"/>
        </w:rPr>
        <w:t xml:space="preserve"> </w:t>
      </w:r>
      <w:r w:rsidRPr="001B3625">
        <w:rPr>
          <w:rFonts w:eastAsia="MS Mincho" w:cs="Arial"/>
          <w:color w:val="000000" w:themeColor="text1"/>
          <w:sz w:val="18"/>
          <w:szCs w:val="18"/>
          <w:lang w:val="en-US"/>
          <w14:ligatures w14:val="standardContextual"/>
        </w:rPr>
        <w:t xml:space="preserve">11787/85; 11978/86; 12009/86), par 25; </w:t>
      </w:r>
      <w:r w:rsidRPr="001B3625">
        <w:rPr>
          <w:rFonts w:cs="Arial"/>
          <w:i/>
          <w:iCs/>
          <w:sz w:val="18"/>
          <w:szCs w:val="18"/>
        </w:rPr>
        <w:t xml:space="preserve">Oldham v United Kingdom </w:t>
      </w:r>
      <w:r w:rsidRPr="001B3625">
        <w:rPr>
          <w:rFonts w:cs="Arial"/>
          <w:sz w:val="18"/>
          <w:szCs w:val="18"/>
        </w:rPr>
        <w:t>(</w:t>
      </w:r>
      <w:r w:rsidRPr="001B3625">
        <w:rPr>
          <w:rFonts w:eastAsia="MS Mincho" w:cs="Arial"/>
          <w:color w:val="000000" w:themeColor="text1"/>
          <w:sz w:val="18"/>
          <w:szCs w:val="18"/>
          <w:lang w:val="en-US"/>
          <w14:ligatures w14:val="standardContextual"/>
        </w:rPr>
        <w:t>Application no 36273/97), par 31, 37</w:t>
      </w:r>
      <w:r w:rsidRPr="001B3625">
        <w:rPr>
          <w:rFonts w:cs="Arial"/>
          <w:i/>
          <w:iCs/>
          <w:sz w:val="18"/>
          <w:szCs w:val="18"/>
        </w:rPr>
        <w:t xml:space="preserve">; </w:t>
      </w:r>
      <w:r w:rsidRPr="001B3625">
        <w:rPr>
          <w:rFonts w:eastAsia="MS Mincho" w:cs="Arial"/>
          <w:i/>
          <w:iCs/>
          <w:color w:val="000000" w:themeColor="text1"/>
          <w:sz w:val="18"/>
          <w:szCs w:val="18"/>
          <w:lang w:val="en-US"/>
          <w14:ligatures w14:val="standardContextual"/>
        </w:rPr>
        <w:t xml:space="preserve">Hirst v United Kingdom </w:t>
      </w:r>
      <w:r w:rsidRPr="001B3625">
        <w:rPr>
          <w:rFonts w:eastAsia="MS Mincho" w:cs="Arial"/>
          <w:color w:val="000000" w:themeColor="text1"/>
          <w:sz w:val="18"/>
          <w:szCs w:val="18"/>
          <w:lang w:val="en-US"/>
          <w14:ligatures w14:val="standardContextual"/>
        </w:rPr>
        <w:t xml:space="preserve">(Application no 40787/98) para 38; </w:t>
      </w:r>
      <w:r w:rsidR="00356968">
        <w:rPr>
          <w:rFonts w:eastAsia="MS Mincho" w:cs="Arial"/>
          <w:i/>
          <w:iCs/>
          <w:color w:val="000000" w:themeColor="text1"/>
          <w:sz w:val="18"/>
          <w:szCs w:val="18"/>
          <w:lang w:val="en-US"/>
          <w14:ligatures w14:val="standardContextual"/>
        </w:rPr>
        <w:t>Vinter</w:t>
      </w:r>
      <w:r w:rsidRPr="001B3625">
        <w:rPr>
          <w:rFonts w:cs="Arial"/>
          <w:sz w:val="18"/>
          <w:szCs w:val="18"/>
        </w:rPr>
        <w:t xml:space="preserve"> [111], [119]</w:t>
      </w:r>
      <w:r w:rsidR="004206BD">
        <w:rPr>
          <w:rFonts w:cs="Arial"/>
          <w:sz w:val="18"/>
          <w:szCs w:val="18"/>
        </w:rPr>
        <w:t>.</w:t>
      </w:r>
      <w:r w:rsidRPr="001B3625">
        <w:rPr>
          <w:rFonts w:cs="Arial"/>
          <w:sz w:val="18"/>
          <w:szCs w:val="18"/>
        </w:rPr>
        <w:t xml:space="preserve"> See also</w:t>
      </w:r>
      <w:r w:rsidRPr="001B3625">
        <w:rPr>
          <w:rFonts w:cs="Arial"/>
          <w:i/>
          <w:sz w:val="18"/>
          <w:szCs w:val="18"/>
        </w:rPr>
        <w:t xml:space="preserve"> Miller and Another v New Zealand Parole Board and Another </w:t>
      </w:r>
      <w:r w:rsidRPr="001B3625">
        <w:rPr>
          <w:rFonts w:cs="Arial"/>
          <w:sz w:val="18"/>
          <w:szCs w:val="18"/>
        </w:rPr>
        <w:t xml:space="preserve">[2010] NZCA 600 and </w:t>
      </w:r>
      <w:r w:rsidRPr="001B3625">
        <w:rPr>
          <w:rFonts w:cs="Arial"/>
          <w:i/>
          <w:sz w:val="18"/>
          <w:szCs w:val="18"/>
        </w:rPr>
        <w:t xml:space="preserve">Hall and Another v Parole Board of England and Wales </w:t>
      </w:r>
      <w:r w:rsidRPr="001B3625">
        <w:rPr>
          <w:rFonts w:cs="Arial"/>
          <w:sz w:val="18"/>
          <w:szCs w:val="18"/>
        </w:rPr>
        <w:t>[2015] EWHC 252</w:t>
      </w:r>
      <w:r w:rsidRPr="00D414B1">
        <w:rPr>
          <w:rFonts w:cs="Arial"/>
          <w:sz w:val="18"/>
          <w:szCs w:val="18"/>
        </w:rPr>
        <w:t xml:space="preserve">; </w:t>
      </w:r>
      <w:r w:rsidR="00E94E4F">
        <w:rPr>
          <w:rFonts w:cs="Arial"/>
          <w:i/>
          <w:iCs/>
          <w:sz w:val="18"/>
          <w:szCs w:val="18"/>
        </w:rPr>
        <w:t>Murray</w:t>
      </w:r>
      <w:r w:rsidRPr="001B3625">
        <w:rPr>
          <w:rFonts w:cs="Arial"/>
          <w:sz w:val="18"/>
          <w:szCs w:val="18"/>
        </w:rPr>
        <w:t xml:space="preserve"> [101].</w:t>
      </w:r>
    </w:p>
  </w:footnote>
  <w:footnote w:id="41">
    <w:p w14:paraId="1A68A0CF" w14:textId="4467E234" w:rsidR="001D76EE" w:rsidRPr="001B3625" w:rsidRDefault="001D76EE">
      <w:pPr>
        <w:pStyle w:val="FootnoteText"/>
        <w:rPr>
          <w:sz w:val="18"/>
          <w:szCs w:val="18"/>
          <w:lang w:val="en-GB"/>
        </w:rPr>
      </w:pPr>
      <w:r w:rsidRPr="001B3625">
        <w:rPr>
          <w:rStyle w:val="FootnoteReference"/>
          <w:sz w:val="18"/>
          <w:szCs w:val="18"/>
        </w:rPr>
        <w:footnoteRef/>
      </w:r>
      <w:r w:rsidRPr="001B3625">
        <w:rPr>
          <w:sz w:val="18"/>
          <w:szCs w:val="18"/>
        </w:rPr>
        <w:t xml:space="preserve"> </w:t>
      </w:r>
      <w:r w:rsidRPr="001B3625">
        <w:rPr>
          <w:i/>
          <w:iCs/>
          <w:sz w:val="18"/>
          <w:szCs w:val="18"/>
        </w:rPr>
        <w:t>Anderson v President, Parole Board Queensland</w:t>
      </w:r>
      <w:r w:rsidRPr="001B3625">
        <w:rPr>
          <w:sz w:val="18"/>
          <w:szCs w:val="18"/>
        </w:rPr>
        <w:t xml:space="preserve"> [2025] QSC 123.</w:t>
      </w:r>
    </w:p>
  </w:footnote>
  <w:footnote w:id="42">
    <w:p w14:paraId="0884D53B" w14:textId="16D8E963" w:rsidR="00AC259F" w:rsidRPr="001B3625" w:rsidRDefault="00AC259F" w:rsidP="00AC259F">
      <w:pPr>
        <w:pStyle w:val="FootnoteText"/>
        <w:rPr>
          <w:sz w:val="18"/>
          <w:szCs w:val="18"/>
        </w:rPr>
      </w:pPr>
      <w:r w:rsidRPr="001B3625">
        <w:rPr>
          <w:rStyle w:val="FootnoteReference"/>
          <w:sz w:val="18"/>
          <w:szCs w:val="18"/>
        </w:rPr>
        <w:footnoteRef/>
      </w:r>
      <w:r w:rsidRPr="00D4159E">
        <w:rPr>
          <w:i/>
          <w:iCs/>
          <w:sz w:val="18"/>
          <w:szCs w:val="18"/>
        </w:rPr>
        <w:t xml:space="preserve"> </w:t>
      </w:r>
      <w:r w:rsidR="003F28C4" w:rsidRPr="00D4159E">
        <w:rPr>
          <w:i/>
          <w:iCs/>
          <w:sz w:val="18"/>
          <w:szCs w:val="18"/>
        </w:rPr>
        <w:t>Ibid</w:t>
      </w:r>
      <w:r w:rsidRPr="001B3625">
        <w:rPr>
          <w:sz w:val="18"/>
          <w:szCs w:val="18"/>
        </w:rPr>
        <w:t xml:space="preserve"> [23].</w:t>
      </w:r>
    </w:p>
  </w:footnote>
  <w:footnote w:id="43">
    <w:p w14:paraId="7C47A2A6" w14:textId="2285DE04" w:rsidR="00FF04FD" w:rsidRPr="001B3625" w:rsidRDefault="00FF04FD" w:rsidP="00FF04FD">
      <w:pPr>
        <w:pStyle w:val="FootnoteText"/>
        <w:rPr>
          <w:sz w:val="18"/>
          <w:szCs w:val="18"/>
        </w:rPr>
      </w:pPr>
      <w:r w:rsidRPr="001B3625">
        <w:rPr>
          <w:rStyle w:val="FootnoteReference"/>
          <w:sz w:val="18"/>
          <w:szCs w:val="18"/>
        </w:rPr>
        <w:footnoteRef/>
      </w:r>
      <w:r w:rsidRPr="001B3625">
        <w:rPr>
          <w:sz w:val="18"/>
          <w:szCs w:val="18"/>
        </w:rPr>
        <w:t xml:space="preserve"> </w:t>
      </w:r>
      <w:r w:rsidR="00E04BDD" w:rsidRPr="00D4159E">
        <w:rPr>
          <w:i/>
          <w:iCs/>
          <w:sz w:val="18"/>
          <w:szCs w:val="18"/>
        </w:rPr>
        <w:t>Ibid</w:t>
      </w:r>
      <w:r w:rsidR="00D45C7A">
        <w:rPr>
          <w:sz w:val="18"/>
          <w:szCs w:val="18"/>
        </w:rPr>
        <w:t xml:space="preserve"> </w:t>
      </w:r>
      <w:r w:rsidRPr="001B3625">
        <w:rPr>
          <w:sz w:val="18"/>
          <w:szCs w:val="18"/>
        </w:rPr>
        <w:t xml:space="preserve">[66] </w:t>
      </w:r>
      <w:r w:rsidR="00632149">
        <w:rPr>
          <w:rFonts w:cs="Arial"/>
          <w:sz w:val="18"/>
          <w:szCs w:val="18"/>
        </w:rPr>
        <w:t>–</w:t>
      </w:r>
      <w:r w:rsidRPr="001B3625">
        <w:rPr>
          <w:sz w:val="18"/>
          <w:szCs w:val="18"/>
        </w:rPr>
        <w:t xml:space="preserve"> [77].</w:t>
      </w:r>
    </w:p>
  </w:footnote>
  <w:footnote w:id="44">
    <w:p w14:paraId="661332D9" w14:textId="30CDD4B3" w:rsidR="00F10140" w:rsidRPr="00F10140" w:rsidRDefault="00F10140">
      <w:pPr>
        <w:pStyle w:val="FootnoteText"/>
        <w:rPr>
          <w:lang w:val="en-GB"/>
        </w:rPr>
      </w:pPr>
      <w:r>
        <w:rPr>
          <w:rStyle w:val="FootnoteReference"/>
        </w:rPr>
        <w:footnoteRef/>
      </w:r>
      <w:r>
        <w:t xml:space="preserve"> </w:t>
      </w:r>
      <w:r w:rsidRPr="001B3625">
        <w:rPr>
          <w:rStyle w:val="Emphasis"/>
          <w:sz w:val="18"/>
          <w:szCs w:val="18"/>
        </w:rPr>
        <w:t>Morgan v Parole Board Queensland</w:t>
      </w:r>
      <w:r w:rsidRPr="001B3625">
        <w:rPr>
          <w:sz w:val="18"/>
          <w:szCs w:val="18"/>
        </w:rPr>
        <w:t xml:space="preserve"> [2022] QSC 280</w:t>
      </w:r>
      <w:r>
        <w:rPr>
          <w:sz w:val="18"/>
          <w:szCs w:val="18"/>
        </w:rPr>
        <w:t>.</w:t>
      </w:r>
    </w:p>
  </w:footnote>
  <w:footnote w:id="45">
    <w:p w14:paraId="51A28696" w14:textId="51FA6247" w:rsidR="002B224B" w:rsidRPr="001B3625" w:rsidRDefault="002B224B" w:rsidP="002B224B">
      <w:pPr>
        <w:pStyle w:val="FootnoteText"/>
        <w:rPr>
          <w:sz w:val="18"/>
          <w:szCs w:val="18"/>
        </w:rPr>
      </w:pPr>
      <w:r w:rsidRPr="001B3625">
        <w:rPr>
          <w:rStyle w:val="FootnoteReference"/>
          <w:sz w:val="18"/>
          <w:szCs w:val="18"/>
        </w:rPr>
        <w:footnoteRef/>
      </w:r>
      <w:r w:rsidRPr="001B3625">
        <w:rPr>
          <w:sz w:val="18"/>
          <w:szCs w:val="18"/>
        </w:rPr>
        <w:t xml:space="preserve"> </w:t>
      </w:r>
      <w:r w:rsidR="004206BD">
        <w:rPr>
          <w:rStyle w:val="Emphasis"/>
          <w:sz w:val="18"/>
          <w:szCs w:val="18"/>
        </w:rPr>
        <w:t>Ibid</w:t>
      </w:r>
      <w:r w:rsidRPr="001B3625">
        <w:rPr>
          <w:sz w:val="18"/>
          <w:szCs w:val="18"/>
        </w:rPr>
        <w:t xml:space="preserve"> [96].</w:t>
      </w:r>
    </w:p>
  </w:footnote>
  <w:footnote w:id="46">
    <w:p w14:paraId="4E7DBBCF" w14:textId="16BC7E63" w:rsidR="00E955B4" w:rsidRPr="001B3625" w:rsidRDefault="00E955B4" w:rsidP="00E955B4">
      <w:pPr>
        <w:pStyle w:val="FootnoteText"/>
        <w:rPr>
          <w:rFonts w:cs="Arial"/>
          <w:sz w:val="18"/>
          <w:szCs w:val="18"/>
          <w:lang w:val="en-GB"/>
        </w:rPr>
      </w:pPr>
      <w:r w:rsidRPr="001B3625">
        <w:rPr>
          <w:rStyle w:val="FootnoteReference"/>
          <w:rFonts w:cs="Arial"/>
          <w:sz w:val="18"/>
          <w:szCs w:val="18"/>
        </w:rPr>
        <w:footnoteRef/>
      </w:r>
      <w:r w:rsidRPr="001B3625">
        <w:rPr>
          <w:rFonts w:cs="Arial"/>
          <w:sz w:val="18"/>
          <w:szCs w:val="18"/>
        </w:rPr>
        <w:t xml:space="preserve"> </w:t>
      </w:r>
      <w:r w:rsidRPr="001B3625">
        <w:rPr>
          <w:rFonts w:cs="Arial"/>
          <w:i/>
          <w:sz w:val="18"/>
          <w:szCs w:val="18"/>
          <w:lang w:val="en-GB"/>
        </w:rPr>
        <w:t xml:space="preserve">Owen-D’Arcy </w:t>
      </w:r>
      <w:r w:rsidRPr="001B3625">
        <w:rPr>
          <w:rFonts w:cs="Arial"/>
          <w:i/>
          <w:iCs/>
          <w:sz w:val="18"/>
          <w:szCs w:val="18"/>
          <w:lang w:val="en-GB"/>
        </w:rPr>
        <w:t>v Chief Executive, Queensland Corrective Services</w:t>
      </w:r>
      <w:r w:rsidRPr="001B3625">
        <w:rPr>
          <w:rFonts w:cs="Arial"/>
          <w:sz w:val="18"/>
          <w:szCs w:val="18"/>
          <w:lang w:val="en-GB"/>
        </w:rPr>
        <w:t xml:space="preserve"> (2021) 9 QR 250 [137]. See also </w:t>
      </w:r>
      <w:r w:rsidR="002E2E97">
        <w:rPr>
          <w:rFonts w:cs="Arial"/>
          <w:i/>
          <w:iCs/>
          <w:sz w:val="18"/>
          <w:szCs w:val="18"/>
          <w:lang w:val="en-GB"/>
        </w:rPr>
        <w:t>B</w:t>
      </w:r>
      <w:r w:rsidR="002E2E97" w:rsidRPr="00D45C7A">
        <w:rPr>
          <w:rFonts w:cs="Arial"/>
          <w:i/>
          <w:sz w:val="18"/>
          <w:szCs w:val="18"/>
        </w:rPr>
        <w:t>ZN v Chief Executive, the Department of Children, Youth Justice &amp; Multicultural Affairs </w:t>
      </w:r>
      <w:r w:rsidR="002E2E97" w:rsidRPr="00D45C7A">
        <w:rPr>
          <w:rFonts w:cs="Arial"/>
          <w:sz w:val="18"/>
          <w:szCs w:val="18"/>
        </w:rPr>
        <w:t xml:space="preserve">[2023] QSC </w:t>
      </w:r>
      <w:r w:rsidR="002E2E97" w:rsidRPr="00D45C7A">
        <w:rPr>
          <w:rFonts w:cs="Arial"/>
          <w:iCs/>
          <w:sz w:val="18"/>
          <w:szCs w:val="18"/>
        </w:rPr>
        <w:t>266</w:t>
      </w:r>
      <w:r w:rsidRPr="001B3625">
        <w:rPr>
          <w:rFonts w:cs="Arial"/>
          <w:sz w:val="18"/>
          <w:szCs w:val="18"/>
          <w:lang w:val="en-GB"/>
        </w:rPr>
        <w:t xml:space="preserve"> [260]; </w:t>
      </w:r>
      <w:r w:rsidR="00A3518A" w:rsidRPr="00D45C7A">
        <w:rPr>
          <w:rFonts w:cs="Arial"/>
          <w:i/>
          <w:sz w:val="18"/>
          <w:szCs w:val="18"/>
        </w:rPr>
        <w:t>Austin BMI Pty Ltd v Deputy Premier</w:t>
      </w:r>
      <w:r w:rsidR="00A3518A" w:rsidRPr="00A3518A">
        <w:rPr>
          <w:rFonts w:cs="Arial"/>
          <w:sz w:val="18"/>
          <w:szCs w:val="18"/>
        </w:rPr>
        <w:t xml:space="preserve"> [2023] QSC 95</w:t>
      </w:r>
      <w:r w:rsidRPr="001B3625">
        <w:rPr>
          <w:rFonts w:cs="Arial"/>
          <w:sz w:val="18"/>
          <w:szCs w:val="18"/>
        </w:rPr>
        <w:t>[355]</w:t>
      </w:r>
      <w:r w:rsidR="00A3518A">
        <w:rPr>
          <w:rFonts w:cs="Arial"/>
          <w:sz w:val="18"/>
          <w:szCs w:val="18"/>
        </w:rPr>
        <w:t xml:space="preserve"> (‘</w:t>
      </w:r>
      <w:r w:rsidR="00A3518A">
        <w:rPr>
          <w:rFonts w:cs="Arial"/>
          <w:i/>
          <w:iCs/>
          <w:sz w:val="18"/>
          <w:szCs w:val="18"/>
        </w:rPr>
        <w:t>Austin BMI</w:t>
      </w:r>
      <w:r w:rsidR="00A3518A">
        <w:rPr>
          <w:rFonts w:cs="Arial"/>
          <w:sz w:val="18"/>
          <w:szCs w:val="18"/>
        </w:rPr>
        <w:t>’)</w:t>
      </w:r>
      <w:r w:rsidRPr="001B3625">
        <w:rPr>
          <w:rFonts w:cs="Arial"/>
          <w:sz w:val="18"/>
          <w:szCs w:val="18"/>
        </w:rPr>
        <w:t xml:space="preserve">. </w:t>
      </w:r>
      <w:r w:rsidRPr="001B3625">
        <w:rPr>
          <w:rFonts w:cs="Arial"/>
          <w:sz w:val="18"/>
          <w:szCs w:val="18"/>
          <w:lang w:val="en-GB"/>
        </w:rPr>
        <w:t xml:space="preserve"> </w:t>
      </w:r>
    </w:p>
  </w:footnote>
  <w:footnote w:id="47">
    <w:p w14:paraId="489AD11C" w14:textId="7F0C02B9" w:rsidR="00E955B4" w:rsidRPr="001B3625" w:rsidRDefault="00E955B4" w:rsidP="00E955B4">
      <w:pPr>
        <w:pStyle w:val="FootnoteText"/>
        <w:rPr>
          <w:rFonts w:cs="Arial"/>
          <w:sz w:val="18"/>
          <w:szCs w:val="18"/>
          <w:lang w:val="en-GB"/>
        </w:rPr>
      </w:pPr>
      <w:r w:rsidRPr="001B3625">
        <w:rPr>
          <w:rStyle w:val="FootnoteReference"/>
          <w:rFonts w:cs="Arial"/>
          <w:sz w:val="18"/>
          <w:szCs w:val="18"/>
        </w:rPr>
        <w:footnoteRef/>
      </w:r>
      <w:r w:rsidRPr="001B3625">
        <w:rPr>
          <w:rFonts w:cs="Arial"/>
          <w:sz w:val="18"/>
          <w:szCs w:val="18"/>
        </w:rPr>
        <w:t xml:space="preserve"> </w:t>
      </w:r>
      <w:r w:rsidRPr="001B3625">
        <w:rPr>
          <w:rFonts w:cs="Arial"/>
          <w:i/>
          <w:sz w:val="18"/>
          <w:szCs w:val="18"/>
          <w:lang w:val="en-GB"/>
        </w:rPr>
        <w:t>Johnston</w:t>
      </w:r>
      <w:r w:rsidRPr="001B3625">
        <w:rPr>
          <w:rFonts w:cs="Arial"/>
          <w:sz w:val="18"/>
          <w:szCs w:val="18"/>
          <w:lang w:val="en-GB"/>
        </w:rPr>
        <w:t xml:space="preserve"> [75], quoting </w:t>
      </w:r>
      <w:r w:rsidRPr="001B3625">
        <w:rPr>
          <w:rFonts w:cs="Arial"/>
          <w:bCs/>
          <w:i/>
          <w:iCs/>
          <w:sz w:val="18"/>
          <w:szCs w:val="18"/>
        </w:rPr>
        <w:t xml:space="preserve">Bare v Independent Broad-Based Anti-Corruption Commission and Others </w:t>
      </w:r>
      <w:r w:rsidRPr="001B3625">
        <w:rPr>
          <w:rFonts w:cs="Arial"/>
          <w:bCs/>
          <w:sz w:val="18"/>
          <w:szCs w:val="18"/>
        </w:rPr>
        <w:t>(2015) 48 VR 129</w:t>
      </w:r>
      <w:r w:rsidRPr="001B3625">
        <w:rPr>
          <w:rFonts w:cs="Arial"/>
          <w:bCs/>
          <w:i/>
          <w:iCs/>
          <w:sz w:val="18"/>
          <w:szCs w:val="18"/>
        </w:rPr>
        <w:t xml:space="preserve"> </w:t>
      </w:r>
      <w:r w:rsidRPr="001B3625">
        <w:rPr>
          <w:rFonts w:cs="Arial"/>
          <w:bCs/>
          <w:iCs/>
          <w:sz w:val="18"/>
          <w:szCs w:val="18"/>
          <w:lang w:val="da-DK"/>
        </w:rPr>
        <w:t>[288]</w:t>
      </w:r>
      <w:r w:rsidR="00D4159E">
        <w:rPr>
          <w:rFonts w:cs="Arial"/>
          <w:bCs/>
          <w:iCs/>
          <w:sz w:val="18"/>
          <w:szCs w:val="18"/>
          <w:lang w:val="da-DK"/>
        </w:rPr>
        <w:t>.</w:t>
      </w:r>
    </w:p>
  </w:footnote>
  <w:footnote w:id="48">
    <w:p w14:paraId="76550200" w14:textId="77777777" w:rsidR="00E955B4" w:rsidRPr="001B3625" w:rsidRDefault="00E955B4" w:rsidP="00E955B4">
      <w:pPr>
        <w:pStyle w:val="FootnoteText"/>
        <w:rPr>
          <w:rFonts w:cs="Arial"/>
          <w:sz w:val="18"/>
          <w:szCs w:val="18"/>
          <w:lang w:val="en-GB"/>
        </w:rPr>
      </w:pPr>
      <w:r w:rsidRPr="001B3625">
        <w:rPr>
          <w:rStyle w:val="FootnoteReference"/>
          <w:rFonts w:cs="Arial"/>
          <w:sz w:val="18"/>
          <w:szCs w:val="18"/>
        </w:rPr>
        <w:footnoteRef/>
      </w:r>
      <w:r w:rsidRPr="001B3625">
        <w:rPr>
          <w:rFonts w:cs="Arial"/>
          <w:sz w:val="18"/>
          <w:szCs w:val="18"/>
        </w:rPr>
        <w:t xml:space="preserve"> </w:t>
      </w:r>
      <w:r w:rsidRPr="001B3625">
        <w:rPr>
          <w:rFonts w:cs="Arial"/>
          <w:i/>
          <w:sz w:val="18"/>
          <w:szCs w:val="18"/>
          <w:lang w:val="en-GB"/>
        </w:rPr>
        <w:t xml:space="preserve">Austin </w:t>
      </w:r>
      <w:r w:rsidRPr="001B3625">
        <w:rPr>
          <w:rFonts w:cs="Arial"/>
          <w:i/>
          <w:iCs/>
          <w:sz w:val="18"/>
          <w:szCs w:val="18"/>
          <w:lang w:val="en-GB"/>
        </w:rPr>
        <w:t>BMI</w:t>
      </w:r>
      <w:r w:rsidRPr="001B3625">
        <w:rPr>
          <w:rFonts w:cs="Arial"/>
          <w:sz w:val="18"/>
          <w:szCs w:val="18"/>
          <w:lang w:val="en-GB"/>
        </w:rPr>
        <w:t xml:space="preserve"> [243]; </w:t>
      </w:r>
      <w:r w:rsidRPr="001B3625">
        <w:rPr>
          <w:rFonts w:cs="Arial"/>
          <w:i/>
          <w:sz w:val="18"/>
          <w:szCs w:val="18"/>
          <w:lang w:val="en-GB"/>
        </w:rPr>
        <w:t>Johnston</w:t>
      </w:r>
      <w:r w:rsidRPr="001B3625">
        <w:rPr>
          <w:rFonts w:cs="Arial"/>
          <w:sz w:val="18"/>
          <w:szCs w:val="18"/>
          <w:lang w:val="en-GB"/>
        </w:rPr>
        <w:t xml:space="preserve"> [65], [242]-[265].</w:t>
      </w:r>
    </w:p>
  </w:footnote>
  <w:footnote w:id="49">
    <w:p w14:paraId="42E0E533" w14:textId="40B75AAE" w:rsidR="00FF4B41" w:rsidRPr="001B3625" w:rsidRDefault="00FF4B41">
      <w:pPr>
        <w:pStyle w:val="FootnoteText"/>
        <w:rPr>
          <w:sz w:val="18"/>
          <w:szCs w:val="18"/>
          <w:lang w:val="en-GB"/>
        </w:rPr>
      </w:pPr>
      <w:r w:rsidRPr="001B3625">
        <w:rPr>
          <w:rStyle w:val="FootnoteReference"/>
          <w:sz w:val="18"/>
          <w:szCs w:val="18"/>
        </w:rPr>
        <w:footnoteRef/>
      </w:r>
      <w:r w:rsidRPr="001B3625">
        <w:rPr>
          <w:sz w:val="18"/>
          <w:szCs w:val="18"/>
        </w:rPr>
        <w:t xml:space="preserve"> </w:t>
      </w:r>
      <w:r w:rsidR="001E337A">
        <w:rPr>
          <w:sz w:val="18"/>
          <w:szCs w:val="18"/>
          <w:lang w:val="en-GB"/>
        </w:rPr>
        <w:t xml:space="preserve">See, </w:t>
      </w:r>
      <w:proofErr w:type="spellStart"/>
      <w:r w:rsidR="001E337A">
        <w:rPr>
          <w:sz w:val="18"/>
          <w:szCs w:val="18"/>
          <w:lang w:val="en-GB"/>
        </w:rPr>
        <w:t>eg</w:t>
      </w:r>
      <w:proofErr w:type="spellEnd"/>
      <w:r w:rsidR="001E337A">
        <w:rPr>
          <w:sz w:val="18"/>
          <w:szCs w:val="18"/>
          <w:lang w:val="en-GB"/>
        </w:rPr>
        <w:t xml:space="preserve">, </w:t>
      </w:r>
      <w:r w:rsidR="00C66164" w:rsidRPr="001B3625">
        <w:rPr>
          <w:sz w:val="18"/>
          <w:szCs w:val="18"/>
        </w:rPr>
        <w:t xml:space="preserve">Walter Sofronoff, </w:t>
      </w:r>
      <w:r w:rsidR="001E337A" w:rsidRPr="001B3625">
        <w:rPr>
          <w:i/>
          <w:sz w:val="18"/>
          <w:szCs w:val="18"/>
        </w:rPr>
        <w:t xml:space="preserve">Queensland Parole System Review </w:t>
      </w:r>
      <w:r w:rsidR="001E337A" w:rsidRPr="001B3625">
        <w:rPr>
          <w:sz w:val="18"/>
          <w:szCs w:val="18"/>
        </w:rPr>
        <w:t>(</w:t>
      </w:r>
      <w:r w:rsidR="00C66164" w:rsidRPr="001B3625">
        <w:rPr>
          <w:sz w:val="18"/>
          <w:szCs w:val="18"/>
        </w:rPr>
        <w:t xml:space="preserve">Final Report, 30 November </w:t>
      </w:r>
      <w:r w:rsidR="001E337A" w:rsidRPr="001B3625">
        <w:rPr>
          <w:sz w:val="18"/>
          <w:szCs w:val="18"/>
        </w:rPr>
        <w:t>2016)</w:t>
      </w:r>
      <w:r w:rsidR="0077030D">
        <w:rPr>
          <w:sz w:val="18"/>
          <w:szCs w:val="18"/>
        </w:rPr>
        <w:t xml:space="preserve"> </w:t>
      </w:r>
      <w:r w:rsidR="0077030D">
        <w:rPr>
          <w:sz w:val="18"/>
          <w:szCs w:val="18"/>
          <w:lang w:val="en-GB"/>
        </w:rPr>
        <w:t>7-2</w:t>
      </w:r>
      <w:r w:rsidR="0011418A">
        <w:rPr>
          <w:sz w:val="18"/>
          <w:szCs w:val="18"/>
          <w:lang w:val="en-GB"/>
        </w:rPr>
        <w:t>2</w:t>
      </w:r>
      <w:r w:rsidR="00B25B56">
        <w:rPr>
          <w:sz w:val="18"/>
          <w:szCs w:val="18"/>
          <w:lang w:val="en-GB"/>
        </w:rPr>
        <w:t xml:space="preserve">; </w:t>
      </w:r>
      <w:r w:rsidR="00A76334">
        <w:rPr>
          <w:sz w:val="18"/>
          <w:szCs w:val="18"/>
          <w:lang w:val="en-GB"/>
        </w:rPr>
        <w:t xml:space="preserve">Queensland Government, </w:t>
      </w:r>
      <w:r w:rsidR="00B25B56" w:rsidRPr="00432F35">
        <w:rPr>
          <w:i/>
          <w:sz w:val="18"/>
          <w:szCs w:val="18"/>
        </w:rPr>
        <w:t xml:space="preserve">Government response </w:t>
      </w:r>
      <w:r w:rsidR="00801344" w:rsidRPr="00432F35">
        <w:rPr>
          <w:i/>
          <w:sz w:val="18"/>
          <w:szCs w:val="18"/>
        </w:rPr>
        <w:t>to Queensland Parole System Review 2</w:t>
      </w:r>
      <w:r w:rsidR="00DF4DDF" w:rsidRPr="00432F35">
        <w:rPr>
          <w:sz w:val="18"/>
          <w:szCs w:val="18"/>
        </w:rPr>
        <w:t xml:space="preserve"> (</w:t>
      </w:r>
      <w:r w:rsidR="007D1A9B" w:rsidRPr="00432F35">
        <w:rPr>
          <w:sz w:val="18"/>
          <w:szCs w:val="18"/>
        </w:rPr>
        <w:t xml:space="preserve">Tabled Paper to Community Safety and Legal Affairs Committee Estimates, 26 July </w:t>
      </w:r>
      <w:r w:rsidR="00DF4DDF" w:rsidRPr="00432F35">
        <w:rPr>
          <w:sz w:val="18"/>
          <w:szCs w:val="18"/>
        </w:rPr>
        <w:t>2024</w:t>
      </w:r>
      <w:r w:rsidR="007D1A9B" w:rsidRPr="00432F35">
        <w:rPr>
          <w:sz w:val="18"/>
          <w:szCs w:val="18"/>
        </w:rPr>
        <w:t>).</w:t>
      </w:r>
      <w:r w:rsidR="00541635">
        <w:rPr>
          <w:sz w:val="18"/>
          <w:szCs w:val="18"/>
          <w:lang w:val="en-GB"/>
        </w:rPr>
        <w:t>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B150" w14:textId="77777777" w:rsidR="00BC7248" w:rsidRDefault="00527ECE" w:rsidP="00304408">
    <w:pPr>
      <w:pStyle w:val="Header"/>
      <w:tabs>
        <w:tab w:val="clear" w:pos="4513"/>
        <w:tab w:val="clear" w:pos="9026"/>
      </w:tabs>
    </w:pPr>
    <w:r>
      <w:rPr>
        <w:noProof/>
        <w:lang w:eastAsia="en-AU"/>
      </w:rPr>
      <w:drawing>
        <wp:inline distT="0" distB="0" distL="0" distR="0" wp14:anchorId="648FA24E" wp14:editId="755268AB">
          <wp:extent cx="2147504" cy="895985"/>
          <wp:effectExtent l="0" t="0" r="5715" b="0"/>
          <wp:docPr id="336099719" name="Picture 33609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44413E80" w14:textId="77777777" w:rsidR="00527ECE" w:rsidRDefault="00527ECE" w:rsidP="00304408">
    <w:pPr>
      <w:pStyle w:val="Header"/>
      <w:tabs>
        <w:tab w:val="clear" w:pos="4513"/>
        <w:tab w:val="clear" w:pos="9026"/>
      </w:tabs>
    </w:pPr>
  </w:p>
  <w:p w14:paraId="160798AF" w14:textId="77777777" w:rsidR="00527ECE" w:rsidRDefault="00527ECE" w:rsidP="0030440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B0A3" w14:textId="77777777" w:rsidR="00BC7248" w:rsidRDefault="00BC7248" w:rsidP="000C13C7">
    <w:pPr>
      <w:pStyle w:val="Header"/>
      <w:tabs>
        <w:tab w:val="clear" w:pos="4513"/>
        <w:tab w:val="clear" w:pos="9026"/>
      </w:tabs>
    </w:pPr>
    <w:r>
      <w:rPr>
        <w:noProof/>
        <w:lang w:eastAsia="en-AU"/>
      </w:rPr>
      <w:drawing>
        <wp:inline distT="0" distB="0" distL="0" distR="0" wp14:anchorId="75865C42" wp14:editId="3E8E3ECC">
          <wp:extent cx="2147504" cy="895985"/>
          <wp:effectExtent l="0" t="0" r="5715" b="0"/>
          <wp:docPr id="1003581422" name="Picture 100358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1699340F" w14:textId="77777777" w:rsidR="00527ECE" w:rsidRDefault="00527ECE" w:rsidP="000C13C7">
    <w:pPr>
      <w:pStyle w:val="Header"/>
      <w:tabs>
        <w:tab w:val="clear" w:pos="4513"/>
        <w:tab w:val="clear" w:pos="9026"/>
      </w:tabs>
    </w:pPr>
  </w:p>
  <w:p w14:paraId="0E6EEAEF" w14:textId="77777777" w:rsidR="00527ECE" w:rsidRDefault="00527ECE"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50E7E"/>
    <w:multiLevelType w:val="multilevel"/>
    <w:tmpl w:val="C66EF686"/>
    <w:lvl w:ilvl="0">
      <w:start w:val="1"/>
      <w:numFmt w:val="decimal"/>
      <w:pStyle w:val="Numberedparagraph"/>
      <w:lvlText w:val="%1."/>
      <w:lvlJc w:val="left"/>
      <w:pPr>
        <w:ind w:left="567" w:hanging="567"/>
      </w:p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righ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right"/>
      <w:pPr>
        <w:ind w:left="3213" w:hanging="357"/>
      </w:pPr>
    </w:lvl>
  </w:abstractNum>
  <w:abstractNum w:abstractNumId="2" w15:restartNumberingAfterBreak="0">
    <w:nsid w:val="114712EA"/>
    <w:multiLevelType w:val="hybridMultilevel"/>
    <w:tmpl w:val="B4DE44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2B1351F"/>
    <w:multiLevelType w:val="multilevel"/>
    <w:tmpl w:val="5DE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5623E"/>
    <w:multiLevelType w:val="multilevel"/>
    <w:tmpl w:val="8520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E4C91"/>
    <w:multiLevelType w:val="hybridMultilevel"/>
    <w:tmpl w:val="22187474"/>
    <w:lvl w:ilvl="0" w:tplc="0C090001">
      <w:start w:val="1"/>
      <w:numFmt w:val="bullet"/>
      <w:lvlText w:val=""/>
      <w:lvlJc w:val="left"/>
      <w:pPr>
        <w:ind w:left="1350" w:hanging="360"/>
      </w:pPr>
      <w:rPr>
        <w:rFonts w:ascii="Symbol" w:hAnsi="Symbol" w:hint="default"/>
      </w:rPr>
    </w:lvl>
    <w:lvl w:ilvl="1" w:tplc="0C090003" w:tentative="1">
      <w:start w:val="1"/>
      <w:numFmt w:val="bullet"/>
      <w:lvlText w:val="o"/>
      <w:lvlJc w:val="left"/>
      <w:pPr>
        <w:ind w:left="2070" w:hanging="360"/>
      </w:pPr>
      <w:rPr>
        <w:rFonts w:ascii="Courier New" w:hAnsi="Courier New" w:cs="Courier New" w:hint="default"/>
      </w:rPr>
    </w:lvl>
    <w:lvl w:ilvl="2" w:tplc="0C090005" w:tentative="1">
      <w:start w:val="1"/>
      <w:numFmt w:val="bullet"/>
      <w:lvlText w:val=""/>
      <w:lvlJc w:val="left"/>
      <w:pPr>
        <w:ind w:left="2790" w:hanging="360"/>
      </w:pPr>
      <w:rPr>
        <w:rFonts w:ascii="Wingdings" w:hAnsi="Wingdings" w:hint="default"/>
      </w:rPr>
    </w:lvl>
    <w:lvl w:ilvl="3" w:tplc="0C090001" w:tentative="1">
      <w:start w:val="1"/>
      <w:numFmt w:val="bullet"/>
      <w:lvlText w:val=""/>
      <w:lvlJc w:val="left"/>
      <w:pPr>
        <w:ind w:left="3510" w:hanging="360"/>
      </w:pPr>
      <w:rPr>
        <w:rFonts w:ascii="Symbol" w:hAnsi="Symbol" w:hint="default"/>
      </w:rPr>
    </w:lvl>
    <w:lvl w:ilvl="4" w:tplc="0C090003" w:tentative="1">
      <w:start w:val="1"/>
      <w:numFmt w:val="bullet"/>
      <w:lvlText w:val="o"/>
      <w:lvlJc w:val="left"/>
      <w:pPr>
        <w:ind w:left="4230" w:hanging="360"/>
      </w:pPr>
      <w:rPr>
        <w:rFonts w:ascii="Courier New" w:hAnsi="Courier New" w:cs="Courier New" w:hint="default"/>
      </w:rPr>
    </w:lvl>
    <w:lvl w:ilvl="5" w:tplc="0C090005" w:tentative="1">
      <w:start w:val="1"/>
      <w:numFmt w:val="bullet"/>
      <w:lvlText w:val=""/>
      <w:lvlJc w:val="left"/>
      <w:pPr>
        <w:ind w:left="4950" w:hanging="360"/>
      </w:pPr>
      <w:rPr>
        <w:rFonts w:ascii="Wingdings" w:hAnsi="Wingdings" w:hint="default"/>
      </w:rPr>
    </w:lvl>
    <w:lvl w:ilvl="6" w:tplc="0C090001" w:tentative="1">
      <w:start w:val="1"/>
      <w:numFmt w:val="bullet"/>
      <w:lvlText w:val=""/>
      <w:lvlJc w:val="left"/>
      <w:pPr>
        <w:ind w:left="5670" w:hanging="360"/>
      </w:pPr>
      <w:rPr>
        <w:rFonts w:ascii="Symbol" w:hAnsi="Symbol" w:hint="default"/>
      </w:rPr>
    </w:lvl>
    <w:lvl w:ilvl="7" w:tplc="0C090003" w:tentative="1">
      <w:start w:val="1"/>
      <w:numFmt w:val="bullet"/>
      <w:lvlText w:val="o"/>
      <w:lvlJc w:val="left"/>
      <w:pPr>
        <w:ind w:left="6390" w:hanging="360"/>
      </w:pPr>
      <w:rPr>
        <w:rFonts w:ascii="Courier New" w:hAnsi="Courier New" w:cs="Courier New" w:hint="default"/>
      </w:rPr>
    </w:lvl>
    <w:lvl w:ilvl="8" w:tplc="0C090005" w:tentative="1">
      <w:start w:val="1"/>
      <w:numFmt w:val="bullet"/>
      <w:lvlText w:val=""/>
      <w:lvlJc w:val="left"/>
      <w:pPr>
        <w:ind w:left="7110" w:hanging="360"/>
      </w:pPr>
      <w:rPr>
        <w:rFonts w:ascii="Wingdings" w:hAnsi="Wingdings" w:hint="default"/>
      </w:rPr>
    </w:lvl>
  </w:abstractNum>
  <w:abstractNum w:abstractNumId="6" w15:restartNumberingAfterBreak="0">
    <w:nsid w:val="1A69591A"/>
    <w:multiLevelType w:val="hybridMultilevel"/>
    <w:tmpl w:val="0086733C"/>
    <w:lvl w:ilvl="0" w:tplc="4A088E6E">
      <w:start w:val="1"/>
      <w:numFmt w:val="decimal"/>
      <w:pStyle w:val="Bodytextnumbered"/>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940F8"/>
    <w:multiLevelType w:val="multilevel"/>
    <w:tmpl w:val="73FE7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302BD"/>
    <w:multiLevelType w:val="multilevel"/>
    <w:tmpl w:val="823A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444FB"/>
    <w:multiLevelType w:val="hybridMultilevel"/>
    <w:tmpl w:val="1E748E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90F43"/>
    <w:multiLevelType w:val="multilevel"/>
    <w:tmpl w:val="837CB67E"/>
    <w:lvl w:ilvl="0">
      <w:start w:val="1"/>
      <w:numFmt w:val="decimal"/>
      <w:lvlText w:val="%1."/>
      <w:lvlJc w:val="left"/>
      <w:pPr>
        <w:tabs>
          <w:tab w:val="num" w:pos="454"/>
        </w:tabs>
        <w:ind w:left="454" w:hanging="454"/>
      </w:pPr>
      <w:rPr>
        <w:rFonts w:ascii="Arial" w:hAnsi="Arial" w:cs="Arial" w:hint="default"/>
        <w:b w:val="0"/>
        <w:i w:val="0"/>
        <w:sz w:val="22"/>
        <w:szCs w:val="22"/>
      </w:rPr>
    </w:lvl>
    <w:lvl w:ilvl="1">
      <w:start w:val="1"/>
      <w:numFmt w:val="lowerLetter"/>
      <w:lvlText w:val="(%2)"/>
      <w:lvlJc w:val="left"/>
      <w:pPr>
        <w:tabs>
          <w:tab w:val="num" w:pos="907"/>
        </w:tabs>
        <w:ind w:left="907" w:hanging="453"/>
      </w:pPr>
      <w:rPr>
        <w:rFonts w:ascii="Arial" w:eastAsia="Times New Roman" w:hAnsi="Arial" w:cs="Arial" w:hint="default"/>
        <w:b w:val="0"/>
        <w:i w:val="0"/>
        <w:sz w:val="22"/>
        <w:szCs w:val="22"/>
      </w:rPr>
    </w:lvl>
    <w:lvl w:ilvl="2">
      <w:start w:val="1"/>
      <w:numFmt w:val="lowerRoman"/>
      <w:lvlText w:val="(%3)"/>
      <w:lvlJc w:val="left"/>
      <w:pPr>
        <w:tabs>
          <w:tab w:val="num" w:pos="1361"/>
        </w:tabs>
        <w:ind w:left="1361" w:hanging="454"/>
      </w:pPr>
      <w:rPr>
        <w:rFonts w:ascii="Times New Roman" w:hAnsi="Times New Roman" w:cs="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4B753"/>
    <w:multiLevelType w:val="multilevel"/>
    <w:tmpl w:val="FFFFFFFF"/>
    <w:lvl w:ilvl="0">
      <w:start w:val="1"/>
      <w:numFmt w:val="bullet"/>
      <w:lvlText w:val=""/>
      <w:lvlJc w:val="left"/>
      <w:pPr>
        <w:ind w:left="128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8D7F2E"/>
    <w:multiLevelType w:val="hybridMultilevel"/>
    <w:tmpl w:val="0A98D8E8"/>
    <w:lvl w:ilvl="0" w:tplc="E048B246">
      <w:numFmt w:val="bullet"/>
      <w:lvlText w:val="-"/>
      <w:lvlJc w:val="left"/>
      <w:pPr>
        <w:ind w:left="720" w:hanging="360"/>
      </w:pPr>
      <w:rPr>
        <w:rFonts w:ascii="Aptos" w:eastAsiaTheme="minorHAnsi" w:hAnsi="Aptos" w:cstheme="minorBidi" w:hint="default"/>
      </w:rPr>
    </w:lvl>
    <w:lvl w:ilvl="1" w:tplc="AF40AF74">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1F7AAF"/>
    <w:multiLevelType w:val="multilevel"/>
    <w:tmpl w:val="837CB67E"/>
    <w:lvl w:ilvl="0">
      <w:start w:val="1"/>
      <w:numFmt w:val="decimal"/>
      <w:lvlText w:val="%1."/>
      <w:lvlJc w:val="left"/>
      <w:pPr>
        <w:tabs>
          <w:tab w:val="num" w:pos="454"/>
        </w:tabs>
        <w:ind w:left="454" w:hanging="454"/>
      </w:pPr>
      <w:rPr>
        <w:rFonts w:ascii="Arial" w:hAnsi="Arial" w:cs="Arial" w:hint="default"/>
        <w:b w:val="0"/>
        <w:i w:val="0"/>
        <w:sz w:val="22"/>
        <w:szCs w:val="22"/>
      </w:rPr>
    </w:lvl>
    <w:lvl w:ilvl="1">
      <w:start w:val="1"/>
      <w:numFmt w:val="lowerLetter"/>
      <w:lvlText w:val="(%2)"/>
      <w:lvlJc w:val="left"/>
      <w:pPr>
        <w:tabs>
          <w:tab w:val="num" w:pos="907"/>
        </w:tabs>
        <w:ind w:left="907" w:hanging="453"/>
      </w:pPr>
      <w:rPr>
        <w:rFonts w:ascii="Arial" w:eastAsia="Times New Roman" w:hAnsi="Arial" w:cs="Arial" w:hint="default"/>
        <w:b w:val="0"/>
        <w:i w:val="0"/>
        <w:sz w:val="22"/>
        <w:szCs w:val="22"/>
      </w:rPr>
    </w:lvl>
    <w:lvl w:ilvl="2">
      <w:start w:val="1"/>
      <w:numFmt w:val="lowerRoman"/>
      <w:lvlText w:val="(%3)"/>
      <w:lvlJc w:val="left"/>
      <w:pPr>
        <w:tabs>
          <w:tab w:val="num" w:pos="1361"/>
        </w:tabs>
        <w:ind w:left="1361" w:hanging="454"/>
      </w:pPr>
      <w:rPr>
        <w:rFonts w:ascii="Times New Roman" w:hAnsi="Times New Roman" w:cs="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FA2167"/>
    <w:multiLevelType w:val="multilevel"/>
    <w:tmpl w:val="3F8C3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26163"/>
    <w:multiLevelType w:val="hybridMultilevel"/>
    <w:tmpl w:val="A03C8FC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67F56"/>
    <w:multiLevelType w:val="multilevel"/>
    <w:tmpl w:val="B81C7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13C20"/>
    <w:multiLevelType w:val="hybridMultilevel"/>
    <w:tmpl w:val="1FA669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42083C"/>
    <w:multiLevelType w:val="hybridMultilevel"/>
    <w:tmpl w:val="BCC20C1E"/>
    <w:lvl w:ilvl="0" w:tplc="FFFFFFFF">
      <w:start w:val="1"/>
      <w:numFmt w:val="lowerLetter"/>
      <w:lvlText w:val="%1."/>
      <w:lvlJc w:val="left"/>
      <w:pPr>
        <w:ind w:left="720" w:hanging="360"/>
      </w:pPr>
    </w:lvl>
    <w:lvl w:ilvl="1" w:tplc="516AE262">
      <w:start w:val="1"/>
      <w:numFmt w:val="lowerRoman"/>
      <w:pStyle w:val="Bodytextnumberedlevel3"/>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0D1527"/>
    <w:multiLevelType w:val="hybridMultilevel"/>
    <w:tmpl w:val="2564F06E"/>
    <w:lvl w:ilvl="0" w:tplc="F6CA6084">
      <w:start w:val="1"/>
      <w:numFmt w:val="lowerLetter"/>
      <w:pStyle w:val="Bodytextnumberedlevel2"/>
      <w:lvlText w:val="%1."/>
      <w:lvlJc w:val="left"/>
      <w:pPr>
        <w:ind w:left="1179" w:hanging="360"/>
      </w:pPr>
    </w:lvl>
    <w:lvl w:ilvl="1" w:tplc="0C09001B">
      <w:start w:val="1"/>
      <w:numFmt w:val="lowerRoman"/>
      <w:lvlText w:val="%2."/>
      <w:lvlJc w:val="righ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27" w15:restartNumberingAfterBreak="0">
    <w:nsid w:val="62437780"/>
    <w:multiLevelType w:val="hybridMultilevel"/>
    <w:tmpl w:val="0F30EB48"/>
    <w:lvl w:ilvl="0" w:tplc="DF6A6BEC">
      <w:start w:val="1"/>
      <w:numFmt w:val="bullet"/>
      <w:pStyle w:val="Body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633063E8"/>
    <w:multiLevelType w:val="hybridMultilevel"/>
    <w:tmpl w:val="1210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A62E17"/>
    <w:multiLevelType w:val="multilevel"/>
    <w:tmpl w:val="CFC4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33E4C"/>
    <w:multiLevelType w:val="hybridMultilevel"/>
    <w:tmpl w:val="5008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2" w15:restartNumberingAfterBreak="0">
    <w:nsid w:val="6F2D66FF"/>
    <w:multiLevelType w:val="multilevel"/>
    <w:tmpl w:val="085867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7B1E52"/>
    <w:multiLevelType w:val="hybridMultilevel"/>
    <w:tmpl w:val="DF262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6B7BF1"/>
    <w:multiLevelType w:val="multilevel"/>
    <w:tmpl w:val="5F3C1A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83551">
    <w:abstractNumId w:val="21"/>
  </w:num>
  <w:num w:numId="2" w16cid:durableId="896471792">
    <w:abstractNumId w:val="7"/>
  </w:num>
  <w:num w:numId="3" w16cid:durableId="564029195">
    <w:abstractNumId w:val="35"/>
  </w:num>
  <w:num w:numId="4" w16cid:durableId="1091781503">
    <w:abstractNumId w:val="0"/>
  </w:num>
  <w:num w:numId="5" w16cid:durableId="1275821094">
    <w:abstractNumId w:val="13"/>
  </w:num>
  <w:num w:numId="6" w16cid:durableId="1703365581">
    <w:abstractNumId w:val="22"/>
  </w:num>
  <w:num w:numId="7" w16cid:durableId="1189834516">
    <w:abstractNumId w:val="12"/>
  </w:num>
  <w:num w:numId="8" w16cid:durableId="949974885">
    <w:abstractNumId w:val="15"/>
  </w:num>
  <w:num w:numId="9" w16cid:durableId="141821188">
    <w:abstractNumId w:val="36"/>
  </w:num>
  <w:num w:numId="10" w16cid:durableId="334265250">
    <w:abstractNumId w:val="10"/>
  </w:num>
  <w:num w:numId="11" w16cid:durableId="798495774">
    <w:abstractNumId w:val="32"/>
  </w:num>
  <w:num w:numId="12" w16cid:durableId="251865743">
    <w:abstractNumId w:val="27"/>
  </w:num>
  <w:num w:numId="13" w16cid:durableId="115222937">
    <w:abstractNumId w:val="6"/>
  </w:num>
  <w:num w:numId="14" w16cid:durableId="964117634">
    <w:abstractNumId w:val="26"/>
  </w:num>
  <w:num w:numId="15" w16cid:durableId="334961551">
    <w:abstractNumId w:val="25"/>
  </w:num>
  <w:num w:numId="16" w16cid:durableId="147340038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783671">
    <w:abstractNumId w:val="1"/>
    <w:lvlOverride w:ilvl="0">
      <w:lvl w:ilvl="0">
        <w:start w:val="1"/>
        <w:numFmt w:val="decimal"/>
        <w:pStyle w:val="Numberedparagraph"/>
        <w:lvlText w:val="%1."/>
        <w:lvlJc w:val="left"/>
        <w:pPr>
          <w:ind w:left="567" w:hanging="567"/>
        </w:pPr>
        <w:rPr>
          <w:b w:val="0"/>
          <w:i w:val="0"/>
        </w:rPr>
      </w:lvl>
    </w:lvlOverride>
    <w:lvlOverride w:ilvl="1">
      <w:lvl w:ilvl="1">
        <w:start w:val="1"/>
        <w:numFmt w:val="lowerLetter"/>
        <w:lvlText w:val="%2."/>
        <w:lvlJc w:val="left"/>
        <w:pPr>
          <w:ind w:left="984" w:hanging="360"/>
        </w:pPr>
        <w:rPr>
          <w:rFonts w:ascii="Symbol" w:hAnsi="Symbol" w:hint="default"/>
        </w:rPr>
      </w:lvl>
    </w:lvlOverride>
    <w:lvlOverride w:ilvl="2">
      <w:lvl w:ilvl="2">
        <w:start w:val="1"/>
        <w:numFmt w:val="decimal"/>
        <w:lvlText w:val="%3."/>
        <w:lvlJc w:val="right"/>
        <w:pPr>
          <w:ind w:left="1247" w:hanging="180"/>
        </w:pPr>
      </w:lvl>
    </w:lvlOverride>
    <w:lvlOverride w:ilvl="3">
      <w:lvl w:ilvl="3">
        <w:start w:val="1"/>
        <w:numFmt w:val="decimal"/>
        <w:lvlText w:val="%4."/>
        <w:lvlJc w:val="left"/>
        <w:pPr>
          <w:ind w:left="1428" w:hanging="360"/>
        </w:pPr>
      </w:lvl>
    </w:lvlOverride>
    <w:lvlOverride w:ilvl="4">
      <w:lvl w:ilvl="4">
        <w:start w:val="1"/>
        <w:numFmt w:val="decimal"/>
        <w:lvlText w:val="%5."/>
        <w:lvlJc w:val="left"/>
        <w:pPr>
          <w:ind w:left="1785" w:hanging="360"/>
        </w:pPr>
      </w:lvl>
    </w:lvlOverride>
    <w:lvlOverride w:ilvl="5">
      <w:lvl w:ilvl="5">
        <w:start w:val="1"/>
        <w:numFmt w:val="decimal"/>
        <w:lvlText w:val="%6."/>
        <w:lvlJc w:val="right"/>
        <w:pPr>
          <w:ind w:left="2142" w:hanging="180"/>
        </w:pPr>
      </w:lvl>
    </w:lvlOverride>
    <w:lvlOverride w:ilvl="6">
      <w:lvl w:ilvl="6">
        <w:start w:val="1"/>
        <w:numFmt w:val="decimal"/>
        <w:lvlText w:val="%7."/>
        <w:lvlJc w:val="left"/>
        <w:pPr>
          <w:ind w:left="2499" w:hanging="360"/>
        </w:pPr>
      </w:lvl>
    </w:lvlOverride>
    <w:lvlOverride w:ilvl="7">
      <w:lvl w:ilvl="7">
        <w:start w:val="1"/>
        <w:numFmt w:val="decimal"/>
        <w:lvlText w:val="%8."/>
        <w:lvlJc w:val="left"/>
        <w:pPr>
          <w:ind w:left="2856" w:hanging="360"/>
        </w:pPr>
      </w:lvl>
    </w:lvlOverride>
    <w:lvlOverride w:ilvl="8">
      <w:lvl w:ilvl="8">
        <w:start w:val="1"/>
        <w:numFmt w:val="decimal"/>
        <w:lvlText w:val="%9."/>
        <w:lvlJc w:val="right"/>
        <w:pPr>
          <w:ind w:left="3213" w:hanging="180"/>
        </w:pPr>
      </w:lvl>
    </w:lvlOverride>
  </w:num>
  <w:num w:numId="18" w16cid:durableId="1592080132">
    <w:abstractNumId w:val="4"/>
  </w:num>
  <w:num w:numId="19" w16cid:durableId="10423280">
    <w:abstractNumId w:val="1"/>
  </w:num>
  <w:num w:numId="20" w16cid:durableId="850531310">
    <w:abstractNumId w:val="31"/>
  </w:num>
  <w:num w:numId="21" w16cid:durableId="1088579691">
    <w:abstractNumId w:val="16"/>
  </w:num>
  <w:num w:numId="22" w16cid:durableId="55933669">
    <w:abstractNumId w:val="6"/>
  </w:num>
  <w:num w:numId="23" w16cid:durableId="1875341305">
    <w:abstractNumId w:val="17"/>
  </w:num>
  <w:num w:numId="24" w16cid:durableId="1731732966">
    <w:abstractNumId w:val="6"/>
  </w:num>
  <w:num w:numId="25" w16cid:durableId="179859035">
    <w:abstractNumId w:val="14"/>
  </w:num>
  <w:num w:numId="26" w16cid:durableId="1734233843">
    <w:abstractNumId w:val="6"/>
  </w:num>
  <w:num w:numId="27" w16cid:durableId="1474179260">
    <w:abstractNumId w:val="18"/>
  </w:num>
  <w:num w:numId="28" w16cid:durableId="103114102">
    <w:abstractNumId w:val="6"/>
  </w:num>
  <w:num w:numId="29" w16cid:durableId="1886716363">
    <w:abstractNumId w:val="6"/>
  </w:num>
  <w:num w:numId="30" w16cid:durableId="784885276">
    <w:abstractNumId w:val="6"/>
    <w:lvlOverride w:ilvl="0">
      <w:startOverride w:val="1"/>
    </w:lvlOverride>
  </w:num>
  <w:num w:numId="31" w16cid:durableId="2106461956">
    <w:abstractNumId w:val="34"/>
  </w:num>
  <w:num w:numId="32" w16cid:durableId="1263416195">
    <w:abstractNumId w:val="3"/>
  </w:num>
  <w:num w:numId="33" w16cid:durableId="1719627552">
    <w:abstractNumId w:val="9"/>
  </w:num>
  <w:num w:numId="34" w16cid:durableId="2004820038">
    <w:abstractNumId w:val="29"/>
  </w:num>
  <w:num w:numId="35" w16cid:durableId="597057953">
    <w:abstractNumId w:val="23"/>
  </w:num>
  <w:num w:numId="36" w16cid:durableId="112871860">
    <w:abstractNumId w:val="8"/>
  </w:num>
  <w:num w:numId="37" w16cid:durableId="404299690">
    <w:abstractNumId w:val="19"/>
  </w:num>
  <w:num w:numId="38" w16cid:durableId="1267233256">
    <w:abstractNumId w:val="5"/>
  </w:num>
  <w:num w:numId="39" w16cid:durableId="625279304">
    <w:abstractNumId w:val="20"/>
  </w:num>
  <w:num w:numId="40" w16cid:durableId="407384304">
    <w:abstractNumId w:val="11"/>
  </w:num>
  <w:num w:numId="41" w16cid:durableId="1657293708">
    <w:abstractNumId w:val="2"/>
  </w:num>
  <w:num w:numId="42" w16cid:durableId="1044330545">
    <w:abstractNumId w:val="30"/>
  </w:num>
  <w:num w:numId="43" w16cid:durableId="1999380514">
    <w:abstractNumId w:val="33"/>
  </w:num>
  <w:num w:numId="44" w16cid:durableId="1055350101">
    <w:abstractNumId w:val="28"/>
  </w:num>
  <w:num w:numId="45" w16cid:durableId="1969622435">
    <w:abstractNumId w:val="24"/>
  </w:num>
  <w:num w:numId="46" w16cid:durableId="457576724">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4382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9223556">
    <w:abstractNumId w:val="6"/>
    <w:lvlOverride w:ilvl="0">
      <w:startOverride w:val="1"/>
    </w:lvlOverride>
  </w:num>
  <w:num w:numId="49" w16cid:durableId="1011026331">
    <w:abstractNumId w:val="6"/>
    <w:lvlOverride w:ilvl="0">
      <w:startOverride w:val="1"/>
    </w:lvlOverride>
  </w:num>
  <w:num w:numId="50" w16cid:durableId="190710967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89"/>
    <w:rsid w:val="00001D58"/>
    <w:rsid w:val="000026BE"/>
    <w:rsid w:val="00004499"/>
    <w:rsid w:val="00007CAE"/>
    <w:rsid w:val="0001110B"/>
    <w:rsid w:val="00011535"/>
    <w:rsid w:val="000133F1"/>
    <w:rsid w:val="0001458C"/>
    <w:rsid w:val="00015DCC"/>
    <w:rsid w:val="00016901"/>
    <w:rsid w:val="000200D5"/>
    <w:rsid w:val="0002019C"/>
    <w:rsid w:val="00021B13"/>
    <w:rsid w:val="00026156"/>
    <w:rsid w:val="00026A2A"/>
    <w:rsid w:val="00027C84"/>
    <w:rsid w:val="00030142"/>
    <w:rsid w:val="00030756"/>
    <w:rsid w:val="000311E0"/>
    <w:rsid w:val="000318B7"/>
    <w:rsid w:val="00033F5A"/>
    <w:rsid w:val="0003569C"/>
    <w:rsid w:val="0003592D"/>
    <w:rsid w:val="00037028"/>
    <w:rsid w:val="000430FF"/>
    <w:rsid w:val="000458FD"/>
    <w:rsid w:val="00047627"/>
    <w:rsid w:val="00051350"/>
    <w:rsid w:val="00051AD0"/>
    <w:rsid w:val="00053E54"/>
    <w:rsid w:val="00054C79"/>
    <w:rsid w:val="00061EF8"/>
    <w:rsid w:val="00062177"/>
    <w:rsid w:val="00064C3E"/>
    <w:rsid w:val="00064E7C"/>
    <w:rsid w:val="00066AE9"/>
    <w:rsid w:val="000679CA"/>
    <w:rsid w:val="00067FDF"/>
    <w:rsid w:val="000715D8"/>
    <w:rsid w:val="0007573A"/>
    <w:rsid w:val="0008395A"/>
    <w:rsid w:val="00086191"/>
    <w:rsid w:val="00093FB9"/>
    <w:rsid w:val="00094688"/>
    <w:rsid w:val="000A031E"/>
    <w:rsid w:val="000A28B7"/>
    <w:rsid w:val="000A2E0F"/>
    <w:rsid w:val="000A372D"/>
    <w:rsid w:val="000A3C82"/>
    <w:rsid w:val="000A592E"/>
    <w:rsid w:val="000B034F"/>
    <w:rsid w:val="000B0EA3"/>
    <w:rsid w:val="000B10A0"/>
    <w:rsid w:val="000B29E7"/>
    <w:rsid w:val="000B3D13"/>
    <w:rsid w:val="000B4E8E"/>
    <w:rsid w:val="000C13C7"/>
    <w:rsid w:val="000C587B"/>
    <w:rsid w:val="000D173E"/>
    <w:rsid w:val="000D271F"/>
    <w:rsid w:val="000D3EDD"/>
    <w:rsid w:val="000D4725"/>
    <w:rsid w:val="000D6347"/>
    <w:rsid w:val="000D77D9"/>
    <w:rsid w:val="000E7732"/>
    <w:rsid w:val="000E7CD2"/>
    <w:rsid w:val="000F077A"/>
    <w:rsid w:val="000F13ED"/>
    <w:rsid w:val="000F15DC"/>
    <w:rsid w:val="000F31ED"/>
    <w:rsid w:val="00104C30"/>
    <w:rsid w:val="00106D57"/>
    <w:rsid w:val="00111233"/>
    <w:rsid w:val="0011418A"/>
    <w:rsid w:val="00114273"/>
    <w:rsid w:val="00114642"/>
    <w:rsid w:val="00121BA6"/>
    <w:rsid w:val="00125D40"/>
    <w:rsid w:val="00125EB5"/>
    <w:rsid w:val="00126B86"/>
    <w:rsid w:val="00126FA4"/>
    <w:rsid w:val="00130C1D"/>
    <w:rsid w:val="00134C45"/>
    <w:rsid w:val="00140D1B"/>
    <w:rsid w:val="001433A5"/>
    <w:rsid w:val="001436BD"/>
    <w:rsid w:val="00144897"/>
    <w:rsid w:val="00151F74"/>
    <w:rsid w:val="001543E7"/>
    <w:rsid w:val="001545D4"/>
    <w:rsid w:val="001546F5"/>
    <w:rsid w:val="00157097"/>
    <w:rsid w:val="00164A4A"/>
    <w:rsid w:val="00170175"/>
    <w:rsid w:val="00170762"/>
    <w:rsid w:val="00176570"/>
    <w:rsid w:val="001770A2"/>
    <w:rsid w:val="001817C4"/>
    <w:rsid w:val="00182809"/>
    <w:rsid w:val="00187711"/>
    <w:rsid w:val="00193073"/>
    <w:rsid w:val="00193194"/>
    <w:rsid w:val="001943B6"/>
    <w:rsid w:val="00194483"/>
    <w:rsid w:val="00196C81"/>
    <w:rsid w:val="00197C05"/>
    <w:rsid w:val="001A4648"/>
    <w:rsid w:val="001A556D"/>
    <w:rsid w:val="001A7C2A"/>
    <w:rsid w:val="001B23D4"/>
    <w:rsid w:val="001B3625"/>
    <w:rsid w:val="001B39B8"/>
    <w:rsid w:val="001B421B"/>
    <w:rsid w:val="001B562E"/>
    <w:rsid w:val="001B7FB1"/>
    <w:rsid w:val="001C0038"/>
    <w:rsid w:val="001C1CF2"/>
    <w:rsid w:val="001C5866"/>
    <w:rsid w:val="001C6FED"/>
    <w:rsid w:val="001D0D1B"/>
    <w:rsid w:val="001D1DDD"/>
    <w:rsid w:val="001D768E"/>
    <w:rsid w:val="001D76EE"/>
    <w:rsid w:val="001E144B"/>
    <w:rsid w:val="001E2794"/>
    <w:rsid w:val="001E337A"/>
    <w:rsid w:val="001E4EEB"/>
    <w:rsid w:val="001E62D6"/>
    <w:rsid w:val="001E769B"/>
    <w:rsid w:val="001F37A7"/>
    <w:rsid w:val="001F3B09"/>
    <w:rsid w:val="001F5028"/>
    <w:rsid w:val="001F5949"/>
    <w:rsid w:val="00203883"/>
    <w:rsid w:val="00204FFB"/>
    <w:rsid w:val="002051FD"/>
    <w:rsid w:val="002068E4"/>
    <w:rsid w:val="002105C1"/>
    <w:rsid w:val="00214034"/>
    <w:rsid w:val="002158E5"/>
    <w:rsid w:val="00215A84"/>
    <w:rsid w:val="002203E2"/>
    <w:rsid w:val="00222A8D"/>
    <w:rsid w:val="00222B32"/>
    <w:rsid w:val="00232C09"/>
    <w:rsid w:val="00233C59"/>
    <w:rsid w:val="002358B7"/>
    <w:rsid w:val="00240318"/>
    <w:rsid w:val="00240E2C"/>
    <w:rsid w:val="00241934"/>
    <w:rsid w:val="00242591"/>
    <w:rsid w:val="00242890"/>
    <w:rsid w:val="00242AE3"/>
    <w:rsid w:val="002466C5"/>
    <w:rsid w:val="0025263B"/>
    <w:rsid w:val="00253EFF"/>
    <w:rsid w:val="00254FED"/>
    <w:rsid w:val="00256A7D"/>
    <w:rsid w:val="00257812"/>
    <w:rsid w:val="0026043C"/>
    <w:rsid w:val="00266473"/>
    <w:rsid w:val="00271C99"/>
    <w:rsid w:val="00271F58"/>
    <w:rsid w:val="00276BA9"/>
    <w:rsid w:val="00280635"/>
    <w:rsid w:val="00281C1E"/>
    <w:rsid w:val="00283A6C"/>
    <w:rsid w:val="002864DA"/>
    <w:rsid w:val="00286975"/>
    <w:rsid w:val="002927DE"/>
    <w:rsid w:val="002942ED"/>
    <w:rsid w:val="00295F7B"/>
    <w:rsid w:val="002960AB"/>
    <w:rsid w:val="00296860"/>
    <w:rsid w:val="002A047F"/>
    <w:rsid w:val="002B058B"/>
    <w:rsid w:val="002B14D6"/>
    <w:rsid w:val="002B17B7"/>
    <w:rsid w:val="002B1D81"/>
    <w:rsid w:val="002B224B"/>
    <w:rsid w:val="002B7DAB"/>
    <w:rsid w:val="002C25C3"/>
    <w:rsid w:val="002D427F"/>
    <w:rsid w:val="002D6109"/>
    <w:rsid w:val="002D63E6"/>
    <w:rsid w:val="002E0A00"/>
    <w:rsid w:val="002E1A55"/>
    <w:rsid w:val="002E2B5E"/>
    <w:rsid w:val="002E2E97"/>
    <w:rsid w:val="002E4429"/>
    <w:rsid w:val="002E5AF2"/>
    <w:rsid w:val="002E5CBA"/>
    <w:rsid w:val="002E74FC"/>
    <w:rsid w:val="002F1C72"/>
    <w:rsid w:val="002F2156"/>
    <w:rsid w:val="002F2D2C"/>
    <w:rsid w:val="002F3E20"/>
    <w:rsid w:val="002F4082"/>
    <w:rsid w:val="002F4204"/>
    <w:rsid w:val="002F5211"/>
    <w:rsid w:val="002F6B55"/>
    <w:rsid w:val="00303DD2"/>
    <w:rsid w:val="00304408"/>
    <w:rsid w:val="00305B8E"/>
    <w:rsid w:val="00305D3F"/>
    <w:rsid w:val="00307253"/>
    <w:rsid w:val="003108B9"/>
    <w:rsid w:val="00310EA9"/>
    <w:rsid w:val="00312451"/>
    <w:rsid w:val="00312EBD"/>
    <w:rsid w:val="00314B33"/>
    <w:rsid w:val="0031618D"/>
    <w:rsid w:val="003224F9"/>
    <w:rsid w:val="003225D1"/>
    <w:rsid w:val="00322CC5"/>
    <w:rsid w:val="00325397"/>
    <w:rsid w:val="003261B3"/>
    <w:rsid w:val="0033512C"/>
    <w:rsid w:val="00336585"/>
    <w:rsid w:val="00341B83"/>
    <w:rsid w:val="00342B86"/>
    <w:rsid w:val="0034498C"/>
    <w:rsid w:val="00347219"/>
    <w:rsid w:val="0034743A"/>
    <w:rsid w:val="00350481"/>
    <w:rsid w:val="003512F3"/>
    <w:rsid w:val="003520C3"/>
    <w:rsid w:val="00354E59"/>
    <w:rsid w:val="00355067"/>
    <w:rsid w:val="00355522"/>
    <w:rsid w:val="00356968"/>
    <w:rsid w:val="00360564"/>
    <w:rsid w:val="0036077B"/>
    <w:rsid w:val="00362304"/>
    <w:rsid w:val="00363125"/>
    <w:rsid w:val="00363A4A"/>
    <w:rsid w:val="003704AB"/>
    <w:rsid w:val="00371223"/>
    <w:rsid w:val="0037414E"/>
    <w:rsid w:val="003764A2"/>
    <w:rsid w:val="003764CC"/>
    <w:rsid w:val="003800EB"/>
    <w:rsid w:val="003829D2"/>
    <w:rsid w:val="0038592D"/>
    <w:rsid w:val="00386E6F"/>
    <w:rsid w:val="00387133"/>
    <w:rsid w:val="00387E23"/>
    <w:rsid w:val="003915E0"/>
    <w:rsid w:val="0039239A"/>
    <w:rsid w:val="00393C67"/>
    <w:rsid w:val="0039712A"/>
    <w:rsid w:val="003A49CD"/>
    <w:rsid w:val="003A57F6"/>
    <w:rsid w:val="003A6BED"/>
    <w:rsid w:val="003A6C89"/>
    <w:rsid w:val="003B113D"/>
    <w:rsid w:val="003B2733"/>
    <w:rsid w:val="003B6076"/>
    <w:rsid w:val="003B7461"/>
    <w:rsid w:val="003C1D05"/>
    <w:rsid w:val="003C24D5"/>
    <w:rsid w:val="003C267B"/>
    <w:rsid w:val="003C273F"/>
    <w:rsid w:val="003C3CBB"/>
    <w:rsid w:val="003C4856"/>
    <w:rsid w:val="003C54E8"/>
    <w:rsid w:val="003D05D2"/>
    <w:rsid w:val="003D1D36"/>
    <w:rsid w:val="003D3FF7"/>
    <w:rsid w:val="003D46CE"/>
    <w:rsid w:val="003D6001"/>
    <w:rsid w:val="003E150F"/>
    <w:rsid w:val="003E16D4"/>
    <w:rsid w:val="003E3F40"/>
    <w:rsid w:val="003E6933"/>
    <w:rsid w:val="003F03D7"/>
    <w:rsid w:val="003F28C4"/>
    <w:rsid w:val="003F3E81"/>
    <w:rsid w:val="003F40CB"/>
    <w:rsid w:val="00400220"/>
    <w:rsid w:val="00403324"/>
    <w:rsid w:val="00405EE9"/>
    <w:rsid w:val="0041013D"/>
    <w:rsid w:val="00412342"/>
    <w:rsid w:val="00412F05"/>
    <w:rsid w:val="004136BD"/>
    <w:rsid w:val="0041607A"/>
    <w:rsid w:val="00416542"/>
    <w:rsid w:val="00417240"/>
    <w:rsid w:val="004206BD"/>
    <w:rsid w:val="00424807"/>
    <w:rsid w:val="00425863"/>
    <w:rsid w:val="004271A2"/>
    <w:rsid w:val="004321BF"/>
    <w:rsid w:val="00432432"/>
    <w:rsid w:val="00432F35"/>
    <w:rsid w:val="0043487D"/>
    <w:rsid w:val="00435EEF"/>
    <w:rsid w:val="00440679"/>
    <w:rsid w:val="00442462"/>
    <w:rsid w:val="00442D85"/>
    <w:rsid w:val="004503DD"/>
    <w:rsid w:val="0045072B"/>
    <w:rsid w:val="00450B3D"/>
    <w:rsid w:val="004512CD"/>
    <w:rsid w:val="004626FE"/>
    <w:rsid w:val="00463F53"/>
    <w:rsid w:val="00465273"/>
    <w:rsid w:val="0046612E"/>
    <w:rsid w:val="00466861"/>
    <w:rsid w:val="00471EF7"/>
    <w:rsid w:val="00473C3E"/>
    <w:rsid w:val="00474440"/>
    <w:rsid w:val="00474D8A"/>
    <w:rsid w:val="00477979"/>
    <w:rsid w:val="00480D39"/>
    <w:rsid w:val="004875F3"/>
    <w:rsid w:val="004908AB"/>
    <w:rsid w:val="0049307E"/>
    <w:rsid w:val="00494405"/>
    <w:rsid w:val="00495A21"/>
    <w:rsid w:val="00495F1B"/>
    <w:rsid w:val="004A011E"/>
    <w:rsid w:val="004A1B2F"/>
    <w:rsid w:val="004A2C83"/>
    <w:rsid w:val="004A2F2A"/>
    <w:rsid w:val="004A5293"/>
    <w:rsid w:val="004A5A35"/>
    <w:rsid w:val="004A7AF8"/>
    <w:rsid w:val="004B2AD6"/>
    <w:rsid w:val="004B5C87"/>
    <w:rsid w:val="004C3AB1"/>
    <w:rsid w:val="004C3E7B"/>
    <w:rsid w:val="004C65AA"/>
    <w:rsid w:val="004D3018"/>
    <w:rsid w:val="004D4DD7"/>
    <w:rsid w:val="004D7C9C"/>
    <w:rsid w:val="004E25FD"/>
    <w:rsid w:val="004E6E8D"/>
    <w:rsid w:val="004E7091"/>
    <w:rsid w:val="004F1D4E"/>
    <w:rsid w:val="004F2648"/>
    <w:rsid w:val="004F69EA"/>
    <w:rsid w:val="0050117B"/>
    <w:rsid w:val="00501589"/>
    <w:rsid w:val="00501E77"/>
    <w:rsid w:val="00505757"/>
    <w:rsid w:val="0051242F"/>
    <w:rsid w:val="005205C8"/>
    <w:rsid w:val="005225FF"/>
    <w:rsid w:val="005230D6"/>
    <w:rsid w:val="00524276"/>
    <w:rsid w:val="00526EB9"/>
    <w:rsid w:val="0052743C"/>
    <w:rsid w:val="00527ECE"/>
    <w:rsid w:val="0053345A"/>
    <w:rsid w:val="00534429"/>
    <w:rsid w:val="00537189"/>
    <w:rsid w:val="00541635"/>
    <w:rsid w:val="00541AC8"/>
    <w:rsid w:val="00542CA4"/>
    <w:rsid w:val="0054644E"/>
    <w:rsid w:val="005521B1"/>
    <w:rsid w:val="0055252A"/>
    <w:rsid w:val="0055500A"/>
    <w:rsid w:val="00561745"/>
    <w:rsid w:val="00562EFB"/>
    <w:rsid w:val="00565697"/>
    <w:rsid w:val="00565AC5"/>
    <w:rsid w:val="0056713D"/>
    <w:rsid w:val="0057162E"/>
    <w:rsid w:val="0057379F"/>
    <w:rsid w:val="00574D86"/>
    <w:rsid w:val="00574EF5"/>
    <w:rsid w:val="00576E66"/>
    <w:rsid w:val="00577959"/>
    <w:rsid w:val="00584D52"/>
    <w:rsid w:val="00587D3D"/>
    <w:rsid w:val="005905CC"/>
    <w:rsid w:val="00593292"/>
    <w:rsid w:val="00593C35"/>
    <w:rsid w:val="00594A12"/>
    <w:rsid w:val="00594D45"/>
    <w:rsid w:val="00596608"/>
    <w:rsid w:val="005A0A22"/>
    <w:rsid w:val="005A1D51"/>
    <w:rsid w:val="005A37D4"/>
    <w:rsid w:val="005A58C3"/>
    <w:rsid w:val="005A6376"/>
    <w:rsid w:val="005B2825"/>
    <w:rsid w:val="005B3E24"/>
    <w:rsid w:val="005C03DD"/>
    <w:rsid w:val="005C0451"/>
    <w:rsid w:val="005C1731"/>
    <w:rsid w:val="005C3CAE"/>
    <w:rsid w:val="005C597D"/>
    <w:rsid w:val="005D073C"/>
    <w:rsid w:val="005D0769"/>
    <w:rsid w:val="005D3771"/>
    <w:rsid w:val="005D4630"/>
    <w:rsid w:val="005D6D51"/>
    <w:rsid w:val="005D7D79"/>
    <w:rsid w:val="005E3F54"/>
    <w:rsid w:val="005E65FE"/>
    <w:rsid w:val="005F1ECC"/>
    <w:rsid w:val="005F22AE"/>
    <w:rsid w:val="005F2851"/>
    <w:rsid w:val="005F367A"/>
    <w:rsid w:val="005F613F"/>
    <w:rsid w:val="005F71D3"/>
    <w:rsid w:val="006010A4"/>
    <w:rsid w:val="006047F7"/>
    <w:rsid w:val="0060639E"/>
    <w:rsid w:val="00606778"/>
    <w:rsid w:val="006129E9"/>
    <w:rsid w:val="006133B0"/>
    <w:rsid w:val="00615E52"/>
    <w:rsid w:val="006166BC"/>
    <w:rsid w:val="00627BF5"/>
    <w:rsid w:val="00632149"/>
    <w:rsid w:val="00633BB8"/>
    <w:rsid w:val="006346CE"/>
    <w:rsid w:val="00634B8B"/>
    <w:rsid w:val="006350EA"/>
    <w:rsid w:val="0063727D"/>
    <w:rsid w:val="006402FA"/>
    <w:rsid w:val="0064034E"/>
    <w:rsid w:val="00640764"/>
    <w:rsid w:val="006431C1"/>
    <w:rsid w:val="00645128"/>
    <w:rsid w:val="00646424"/>
    <w:rsid w:val="006464DB"/>
    <w:rsid w:val="006465F6"/>
    <w:rsid w:val="00646F9A"/>
    <w:rsid w:val="006475D1"/>
    <w:rsid w:val="0064781E"/>
    <w:rsid w:val="00647B35"/>
    <w:rsid w:val="0065583B"/>
    <w:rsid w:val="006569E2"/>
    <w:rsid w:val="006615A8"/>
    <w:rsid w:val="00663C99"/>
    <w:rsid w:val="00664E49"/>
    <w:rsid w:val="00666A4F"/>
    <w:rsid w:val="00670794"/>
    <w:rsid w:val="006708C8"/>
    <w:rsid w:val="0067174F"/>
    <w:rsid w:val="006729B2"/>
    <w:rsid w:val="00680001"/>
    <w:rsid w:val="00680035"/>
    <w:rsid w:val="006809E1"/>
    <w:rsid w:val="0068132E"/>
    <w:rsid w:val="00682CAB"/>
    <w:rsid w:val="0068387D"/>
    <w:rsid w:val="00684FB2"/>
    <w:rsid w:val="0069393F"/>
    <w:rsid w:val="00693B5A"/>
    <w:rsid w:val="00693E55"/>
    <w:rsid w:val="0069739F"/>
    <w:rsid w:val="006A15B2"/>
    <w:rsid w:val="006A2345"/>
    <w:rsid w:val="006A2809"/>
    <w:rsid w:val="006A2849"/>
    <w:rsid w:val="006A3418"/>
    <w:rsid w:val="006A3A46"/>
    <w:rsid w:val="006A419D"/>
    <w:rsid w:val="006A4F5B"/>
    <w:rsid w:val="006B0C01"/>
    <w:rsid w:val="006B1907"/>
    <w:rsid w:val="006B1BCC"/>
    <w:rsid w:val="006B385B"/>
    <w:rsid w:val="006B417F"/>
    <w:rsid w:val="006B4692"/>
    <w:rsid w:val="006C08B7"/>
    <w:rsid w:val="006C4C7C"/>
    <w:rsid w:val="006C53A5"/>
    <w:rsid w:val="006C623F"/>
    <w:rsid w:val="006D4791"/>
    <w:rsid w:val="006D4896"/>
    <w:rsid w:val="006D5B0B"/>
    <w:rsid w:val="006D6D42"/>
    <w:rsid w:val="006E15F6"/>
    <w:rsid w:val="006E4F0B"/>
    <w:rsid w:val="006E75AD"/>
    <w:rsid w:val="006E7C33"/>
    <w:rsid w:val="006F4DFE"/>
    <w:rsid w:val="0070042F"/>
    <w:rsid w:val="00701408"/>
    <w:rsid w:val="007041BE"/>
    <w:rsid w:val="00704CB1"/>
    <w:rsid w:val="00707C41"/>
    <w:rsid w:val="007129E5"/>
    <w:rsid w:val="00714787"/>
    <w:rsid w:val="007165F9"/>
    <w:rsid w:val="00721AC1"/>
    <w:rsid w:val="0072474B"/>
    <w:rsid w:val="007303F8"/>
    <w:rsid w:val="0073139E"/>
    <w:rsid w:val="00740092"/>
    <w:rsid w:val="0074042E"/>
    <w:rsid w:val="0074160F"/>
    <w:rsid w:val="00742268"/>
    <w:rsid w:val="007470D5"/>
    <w:rsid w:val="00750EB5"/>
    <w:rsid w:val="007546FB"/>
    <w:rsid w:val="00755E32"/>
    <w:rsid w:val="00761179"/>
    <w:rsid w:val="007643C2"/>
    <w:rsid w:val="007645C9"/>
    <w:rsid w:val="00764B2A"/>
    <w:rsid w:val="00766488"/>
    <w:rsid w:val="0077030D"/>
    <w:rsid w:val="0077045C"/>
    <w:rsid w:val="00770C0D"/>
    <w:rsid w:val="007723D7"/>
    <w:rsid w:val="007764E9"/>
    <w:rsid w:val="00777871"/>
    <w:rsid w:val="007807C9"/>
    <w:rsid w:val="00781F0D"/>
    <w:rsid w:val="007835BB"/>
    <w:rsid w:val="0078499A"/>
    <w:rsid w:val="00787E29"/>
    <w:rsid w:val="0079049F"/>
    <w:rsid w:val="00791340"/>
    <w:rsid w:val="007952BA"/>
    <w:rsid w:val="0079725D"/>
    <w:rsid w:val="007A0D21"/>
    <w:rsid w:val="007A3A7E"/>
    <w:rsid w:val="007A5B93"/>
    <w:rsid w:val="007A7B37"/>
    <w:rsid w:val="007B0506"/>
    <w:rsid w:val="007B5156"/>
    <w:rsid w:val="007B58C3"/>
    <w:rsid w:val="007B7FEE"/>
    <w:rsid w:val="007C0A9F"/>
    <w:rsid w:val="007C21B6"/>
    <w:rsid w:val="007C37B9"/>
    <w:rsid w:val="007C451C"/>
    <w:rsid w:val="007D1A9B"/>
    <w:rsid w:val="007D658F"/>
    <w:rsid w:val="007D6FEB"/>
    <w:rsid w:val="007E1C1E"/>
    <w:rsid w:val="007E369D"/>
    <w:rsid w:val="007E77E3"/>
    <w:rsid w:val="007E7C64"/>
    <w:rsid w:val="007F19E6"/>
    <w:rsid w:val="007F6A39"/>
    <w:rsid w:val="007F72E9"/>
    <w:rsid w:val="007F7727"/>
    <w:rsid w:val="00801344"/>
    <w:rsid w:val="00804023"/>
    <w:rsid w:val="00804E57"/>
    <w:rsid w:val="00804EC9"/>
    <w:rsid w:val="0081192B"/>
    <w:rsid w:val="00815BA8"/>
    <w:rsid w:val="008169CA"/>
    <w:rsid w:val="00817D9C"/>
    <w:rsid w:val="0082332B"/>
    <w:rsid w:val="0082372C"/>
    <w:rsid w:val="00824B4C"/>
    <w:rsid w:val="008314BE"/>
    <w:rsid w:val="00832D6A"/>
    <w:rsid w:val="008344D1"/>
    <w:rsid w:val="00835A3F"/>
    <w:rsid w:val="0084118B"/>
    <w:rsid w:val="008429A9"/>
    <w:rsid w:val="00847BFC"/>
    <w:rsid w:val="008508DE"/>
    <w:rsid w:val="00850F5A"/>
    <w:rsid w:val="00851BA5"/>
    <w:rsid w:val="00852DFF"/>
    <w:rsid w:val="00854E9E"/>
    <w:rsid w:val="00860080"/>
    <w:rsid w:val="00860D77"/>
    <w:rsid w:val="00862856"/>
    <w:rsid w:val="00863977"/>
    <w:rsid w:val="00866CE6"/>
    <w:rsid w:val="0086794D"/>
    <w:rsid w:val="00871749"/>
    <w:rsid w:val="008767C9"/>
    <w:rsid w:val="00876FF8"/>
    <w:rsid w:val="00877983"/>
    <w:rsid w:val="00877A27"/>
    <w:rsid w:val="00883AA8"/>
    <w:rsid w:val="008869DC"/>
    <w:rsid w:val="00886C0E"/>
    <w:rsid w:val="00887EEC"/>
    <w:rsid w:val="0089493E"/>
    <w:rsid w:val="00896C20"/>
    <w:rsid w:val="008978C0"/>
    <w:rsid w:val="008A010E"/>
    <w:rsid w:val="008A3497"/>
    <w:rsid w:val="008A34D1"/>
    <w:rsid w:val="008A521D"/>
    <w:rsid w:val="008A5E19"/>
    <w:rsid w:val="008B2FAD"/>
    <w:rsid w:val="008B31AC"/>
    <w:rsid w:val="008B3550"/>
    <w:rsid w:val="008B717C"/>
    <w:rsid w:val="008C237F"/>
    <w:rsid w:val="008C58AF"/>
    <w:rsid w:val="008C74B2"/>
    <w:rsid w:val="008D0BAE"/>
    <w:rsid w:val="008D4132"/>
    <w:rsid w:val="008E3EB5"/>
    <w:rsid w:val="008F1265"/>
    <w:rsid w:val="008F3243"/>
    <w:rsid w:val="008F4F62"/>
    <w:rsid w:val="008F5DDC"/>
    <w:rsid w:val="00900FD5"/>
    <w:rsid w:val="00901184"/>
    <w:rsid w:val="00902C05"/>
    <w:rsid w:val="00904119"/>
    <w:rsid w:val="009114B7"/>
    <w:rsid w:val="00911F7B"/>
    <w:rsid w:val="0091325D"/>
    <w:rsid w:val="00915DC7"/>
    <w:rsid w:val="009178EB"/>
    <w:rsid w:val="00921D39"/>
    <w:rsid w:val="00922CAF"/>
    <w:rsid w:val="00924B78"/>
    <w:rsid w:val="00931B89"/>
    <w:rsid w:val="009365D3"/>
    <w:rsid w:val="00942BF2"/>
    <w:rsid w:val="00942ED0"/>
    <w:rsid w:val="0094448F"/>
    <w:rsid w:val="00945A56"/>
    <w:rsid w:val="009464DE"/>
    <w:rsid w:val="00955970"/>
    <w:rsid w:val="0095645C"/>
    <w:rsid w:val="00956C77"/>
    <w:rsid w:val="00956F4C"/>
    <w:rsid w:val="00960BD6"/>
    <w:rsid w:val="009620C7"/>
    <w:rsid w:val="00965004"/>
    <w:rsid w:val="00965EF3"/>
    <w:rsid w:val="0096764A"/>
    <w:rsid w:val="00972AC2"/>
    <w:rsid w:val="00983C77"/>
    <w:rsid w:val="009844BE"/>
    <w:rsid w:val="00985FAD"/>
    <w:rsid w:val="0098625A"/>
    <w:rsid w:val="0099017F"/>
    <w:rsid w:val="00990F3F"/>
    <w:rsid w:val="00991B17"/>
    <w:rsid w:val="00993D43"/>
    <w:rsid w:val="00994308"/>
    <w:rsid w:val="00994AAA"/>
    <w:rsid w:val="009957E6"/>
    <w:rsid w:val="009A1C44"/>
    <w:rsid w:val="009A2541"/>
    <w:rsid w:val="009A280E"/>
    <w:rsid w:val="009A3B93"/>
    <w:rsid w:val="009B33EC"/>
    <w:rsid w:val="009B4088"/>
    <w:rsid w:val="009B79F5"/>
    <w:rsid w:val="009C2C3D"/>
    <w:rsid w:val="009C372D"/>
    <w:rsid w:val="009C634E"/>
    <w:rsid w:val="009C6D65"/>
    <w:rsid w:val="009D324F"/>
    <w:rsid w:val="009D44BB"/>
    <w:rsid w:val="009D4852"/>
    <w:rsid w:val="009D4EEA"/>
    <w:rsid w:val="009E08DE"/>
    <w:rsid w:val="009E1DDD"/>
    <w:rsid w:val="009E2724"/>
    <w:rsid w:val="009E2A9A"/>
    <w:rsid w:val="009E4ED6"/>
    <w:rsid w:val="009F063C"/>
    <w:rsid w:val="009F4D92"/>
    <w:rsid w:val="009F5804"/>
    <w:rsid w:val="009F7797"/>
    <w:rsid w:val="00A00197"/>
    <w:rsid w:val="00A02D91"/>
    <w:rsid w:val="00A043AE"/>
    <w:rsid w:val="00A0456A"/>
    <w:rsid w:val="00A046FA"/>
    <w:rsid w:val="00A04B9C"/>
    <w:rsid w:val="00A04C67"/>
    <w:rsid w:val="00A0693F"/>
    <w:rsid w:val="00A06DF2"/>
    <w:rsid w:val="00A11413"/>
    <w:rsid w:val="00A11AE2"/>
    <w:rsid w:val="00A1438C"/>
    <w:rsid w:val="00A23D28"/>
    <w:rsid w:val="00A24029"/>
    <w:rsid w:val="00A33E0F"/>
    <w:rsid w:val="00A3435F"/>
    <w:rsid w:val="00A3518A"/>
    <w:rsid w:val="00A36119"/>
    <w:rsid w:val="00A4212E"/>
    <w:rsid w:val="00A45352"/>
    <w:rsid w:val="00A47D34"/>
    <w:rsid w:val="00A505E7"/>
    <w:rsid w:val="00A519CD"/>
    <w:rsid w:val="00A52E65"/>
    <w:rsid w:val="00A53419"/>
    <w:rsid w:val="00A56D11"/>
    <w:rsid w:val="00A607FF"/>
    <w:rsid w:val="00A635D5"/>
    <w:rsid w:val="00A64151"/>
    <w:rsid w:val="00A658B1"/>
    <w:rsid w:val="00A66391"/>
    <w:rsid w:val="00A70EEE"/>
    <w:rsid w:val="00A76334"/>
    <w:rsid w:val="00A76A46"/>
    <w:rsid w:val="00A83990"/>
    <w:rsid w:val="00A8533B"/>
    <w:rsid w:val="00A937B0"/>
    <w:rsid w:val="00AA055B"/>
    <w:rsid w:val="00AA59D6"/>
    <w:rsid w:val="00AA6022"/>
    <w:rsid w:val="00AB2D46"/>
    <w:rsid w:val="00AB3166"/>
    <w:rsid w:val="00AB59E9"/>
    <w:rsid w:val="00AC259F"/>
    <w:rsid w:val="00AC2DFC"/>
    <w:rsid w:val="00AC641C"/>
    <w:rsid w:val="00AC6AC2"/>
    <w:rsid w:val="00AC796A"/>
    <w:rsid w:val="00AC7A6D"/>
    <w:rsid w:val="00AD010D"/>
    <w:rsid w:val="00AD1778"/>
    <w:rsid w:val="00AD45BD"/>
    <w:rsid w:val="00AD5A7C"/>
    <w:rsid w:val="00AD675D"/>
    <w:rsid w:val="00AE1574"/>
    <w:rsid w:val="00AE193A"/>
    <w:rsid w:val="00AE354E"/>
    <w:rsid w:val="00AE3EF8"/>
    <w:rsid w:val="00AE53FA"/>
    <w:rsid w:val="00AE6CBB"/>
    <w:rsid w:val="00AE6CEA"/>
    <w:rsid w:val="00AE6E35"/>
    <w:rsid w:val="00AF06A0"/>
    <w:rsid w:val="00AF08C3"/>
    <w:rsid w:val="00AF5A44"/>
    <w:rsid w:val="00AF6619"/>
    <w:rsid w:val="00AF7D1B"/>
    <w:rsid w:val="00B037E1"/>
    <w:rsid w:val="00B04015"/>
    <w:rsid w:val="00B04CC4"/>
    <w:rsid w:val="00B10985"/>
    <w:rsid w:val="00B12B27"/>
    <w:rsid w:val="00B12DF4"/>
    <w:rsid w:val="00B15BCA"/>
    <w:rsid w:val="00B16A2C"/>
    <w:rsid w:val="00B2097C"/>
    <w:rsid w:val="00B22CA3"/>
    <w:rsid w:val="00B24D92"/>
    <w:rsid w:val="00B253F0"/>
    <w:rsid w:val="00B25B56"/>
    <w:rsid w:val="00B30BAE"/>
    <w:rsid w:val="00B33666"/>
    <w:rsid w:val="00B37BFB"/>
    <w:rsid w:val="00B37E8E"/>
    <w:rsid w:val="00B53853"/>
    <w:rsid w:val="00B62E07"/>
    <w:rsid w:val="00B642E1"/>
    <w:rsid w:val="00B65D61"/>
    <w:rsid w:val="00B66A84"/>
    <w:rsid w:val="00B70AFB"/>
    <w:rsid w:val="00B70BE0"/>
    <w:rsid w:val="00B75417"/>
    <w:rsid w:val="00B759F1"/>
    <w:rsid w:val="00B80B30"/>
    <w:rsid w:val="00B847F6"/>
    <w:rsid w:val="00B94567"/>
    <w:rsid w:val="00BA3A37"/>
    <w:rsid w:val="00BA5501"/>
    <w:rsid w:val="00BA5EBC"/>
    <w:rsid w:val="00BA6540"/>
    <w:rsid w:val="00BA65BF"/>
    <w:rsid w:val="00BB27F6"/>
    <w:rsid w:val="00BB3BF4"/>
    <w:rsid w:val="00BB3F6C"/>
    <w:rsid w:val="00BB6C15"/>
    <w:rsid w:val="00BC02B4"/>
    <w:rsid w:val="00BC09D6"/>
    <w:rsid w:val="00BC1FD5"/>
    <w:rsid w:val="00BC2152"/>
    <w:rsid w:val="00BC41CD"/>
    <w:rsid w:val="00BC5FFD"/>
    <w:rsid w:val="00BC7248"/>
    <w:rsid w:val="00BD03A4"/>
    <w:rsid w:val="00BD07C7"/>
    <w:rsid w:val="00BD2E04"/>
    <w:rsid w:val="00BD3194"/>
    <w:rsid w:val="00BD38D2"/>
    <w:rsid w:val="00BD6C08"/>
    <w:rsid w:val="00BD712E"/>
    <w:rsid w:val="00BD7E5A"/>
    <w:rsid w:val="00BE03D7"/>
    <w:rsid w:val="00BE2364"/>
    <w:rsid w:val="00BE3EBB"/>
    <w:rsid w:val="00BE4BE9"/>
    <w:rsid w:val="00BE5B8D"/>
    <w:rsid w:val="00BE5D77"/>
    <w:rsid w:val="00BE7932"/>
    <w:rsid w:val="00BF0C73"/>
    <w:rsid w:val="00BF7719"/>
    <w:rsid w:val="00C006AC"/>
    <w:rsid w:val="00C0159A"/>
    <w:rsid w:val="00C01E48"/>
    <w:rsid w:val="00C0763F"/>
    <w:rsid w:val="00C14929"/>
    <w:rsid w:val="00C209AF"/>
    <w:rsid w:val="00C24A8E"/>
    <w:rsid w:val="00C25A20"/>
    <w:rsid w:val="00C304C7"/>
    <w:rsid w:val="00C31013"/>
    <w:rsid w:val="00C3732B"/>
    <w:rsid w:val="00C41ABB"/>
    <w:rsid w:val="00C41B29"/>
    <w:rsid w:val="00C43E48"/>
    <w:rsid w:val="00C503A7"/>
    <w:rsid w:val="00C504B8"/>
    <w:rsid w:val="00C50C86"/>
    <w:rsid w:val="00C519FB"/>
    <w:rsid w:val="00C562FB"/>
    <w:rsid w:val="00C60DCD"/>
    <w:rsid w:val="00C63F72"/>
    <w:rsid w:val="00C64491"/>
    <w:rsid w:val="00C65AD0"/>
    <w:rsid w:val="00C65C76"/>
    <w:rsid w:val="00C66164"/>
    <w:rsid w:val="00C722A7"/>
    <w:rsid w:val="00C761ED"/>
    <w:rsid w:val="00C77F6C"/>
    <w:rsid w:val="00C80310"/>
    <w:rsid w:val="00C81C6A"/>
    <w:rsid w:val="00C81FED"/>
    <w:rsid w:val="00C83A91"/>
    <w:rsid w:val="00C840C7"/>
    <w:rsid w:val="00C858EC"/>
    <w:rsid w:val="00C87EBB"/>
    <w:rsid w:val="00C90B0C"/>
    <w:rsid w:val="00C95DFB"/>
    <w:rsid w:val="00C9619B"/>
    <w:rsid w:val="00CA1910"/>
    <w:rsid w:val="00CA2627"/>
    <w:rsid w:val="00CA5411"/>
    <w:rsid w:val="00CA73CE"/>
    <w:rsid w:val="00CA7999"/>
    <w:rsid w:val="00CB20C2"/>
    <w:rsid w:val="00CB2B63"/>
    <w:rsid w:val="00CB4A32"/>
    <w:rsid w:val="00CB51FB"/>
    <w:rsid w:val="00CC1855"/>
    <w:rsid w:val="00CC269A"/>
    <w:rsid w:val="00CC4456"/>
    <w:rsid w:val="00CC5ADA"/>
    <w:rsid w:val="00CD2060"/>
    <w:rsid w:val="00CD2178"/>
    <w:rsid w:val="00CD2D59"/>
    <w:rsid w:val="00CD431D"/>
    <w:rsid w:val="00CD5412"/>
    <w:rsid w:val="00CD6D04"/>
    <w:rsid w:val="00CE3D08"/>
    <w:rsid w:val="00CE4828"/>
    <w:rsid w:val="00CE6218"/>
    <w:rsid w:val="00CF05C8"/>
    <w:rsid w:val="00CF1E51"/>
    <w:rsid w:val="00CF6024"/>
    <w:rsid w:val="00CF6551"/>
    <w:rsid w:val="00D025F7"/>
    <w:rsid w:val="00D12B6D"/>
    <w:rsid w:val="00D12F4F"/>
    <w:rsid w:val="00D14726"/>
    <w:rsid w:val="00D1766F"/>
    <w:rsid w:val="00D20FEC"/>
    <w:rsid w:val="00D24EDA"/>
    <w:rsid w:val="00D269B2"/>
    <w:rsid w:val="00D326EB"/>
    <w:rsid w:val="00D32E88"/>
    <w:rsid w:val="00D34DF0"/>
    <w:rsid w:val="00D37966"/>
    <w:rsid w:val="00D40BD1"/>
    <w:rsid w:val="00D411D3"/>
    <w:rsid w:val="00D414B1"/>
    <w:rsid w:val="00D4159E"/>
    <w:rsid w:val="00D41904"/>
    <w:rsid w:val="00D42558"/>
    <w:rsid w:val="00D42E2A"/>
    <w:rsid w:val="00D43BB2"/>
    <w:rsid w:val="00D44F33"/>
    <w:rsid w:val="00D45C7A"/>
    <w:rsid w:val="00D4685F"/>
    <w:rsid w:val="00D4697C"/>
    <w:rsid w:val="00D47668"/>
    <w:rsid w:val="00D47CC3"/>
    <w:rsid w:val="00D52D5C"/>
    <w:rsid w:val="00D55484"/>
    <w:rsid w:val="00D55602"/>
    <w:rsid w:val="00D6077C"/>
    <w:rsid w:val="00D61165"/>
    <w:rsid w:val="00D61C0E"/>
    <w:rsid w:val="00D62E0B"/>
    <w:rsid w:val="00D633F4"/>
    <w:rsid w:val="00D64F42"/>
    <w:rsid w:val="00D661D2"/>
    <w:rsid w:val="00D66CB0"/>
    <w:rsid w:val="00D73468"/>
    <w:rsid w:val="00D845B2"/>
    <w:rsid w:val="00D84FB5"/>
    <w:rsid w:val="00D85F41"/>
    <w:rsid w:val="00D87F04"/>
    <w:rsid w:val="00D90A81"/>
    <w:rsid w:val="00D90B81"/>
    <w:rsid w:val="00D90F82"/>
    <w:rsid w:val="00D9570F"/>
    <w:rsid w:val="00D95C9C"/>
    <w:rsid w:val="00D970BC"/>
    <w:rsid w:val="00DA03A0"/>
    <w:rsid w:val="00DA24D1"/>
    <w:rsid w:val="00DA24D8"/>
    <w:rsid w:val="00DA3D6F"/>
    <w:rsid w:val="00DA741F"/>
    <w:rsid w:val="00DA7C5B"/>
    <w:rsid w:val="00DB38D5"/>
    <w:rsid w:val="00DB3A71"/>
    <w:rsid w:val="00DB4A7F"/>
    <w:rsid w:val="00DB6599"/>
    <w:rsid w:val="00DC0E59"/>
    <w:rsid w:val="00DC1660"/>
    <w:rsid w:val="00DC6F9A"/>
    <w:rsid w:val="00DC7121"/>
    <w:rsid w:val="00DD0DF5"/>
    <w:rsid w:val="00DD5359"/>
    <w:rsid w:val="00DD6167"/>
    <w:rsid w:val="00DD71E1"/>
    <w:rsid w:val="00DD79EA"/>
    <w:rsid w:val="00DE4536"/>
    <w:rsid w:val="00DE4854"/>
    <w:rsid w:val="00DE52AE"/>
    <w:rsid w:val="00DE53D1"/>
    <w:rsid w:val="00DE56FA"/>
    <w:rsid w:val="00DE627D"/>
    <w:rsid w:val="00DF1A80"/>
    <w:rsid w:val="00DF1B54"/>
    <w:rsid w:val="00DF252F"/>
    <w:rsid w:val="00DF4DDF"/>
    <w:rsid w:val="00E001F1"/>
    <w:rsid w:val="00E01BAE"/>
    <w:rsid w:val="00E02DEB"/>
    <w:rsid w:val="00E034A4"/>
    <w:rsid w:val="00E04BDD"/>
    <w:rsid w:val="00E05C21"/>
    <w:rsid w:val="00E06F17"/>
    <w:rsid w:val="00E07A4C"/>
    <w:rsid w:val="00E168ED"/>
    <w:rsid w:val="00E21F5B"/>
    <w:rsid w:val="00E2421E"/>
    <w:rsid w:val="00E24B8B"/>
    <w:rsid w:val="00E25E14"/>
    <w:rsid w:val="00E26DCA"/>
    <w:rsid w:val="00E30A82"/>
    <w:rsid w:val="00E3162D"/>
    <w:rsid w:val="00E34E18"/>
    <w:rsid w:val="00E3581D"/>
    <w:rsid w:val="00E37F21"/>
    <w:rsid w:val="00E40624"/>
    <w:rsid w:val="00E4065D"/>
    <w:rsid w:val="00E44472"/>
    <w:rsid w:val="00E45603"/>
    <w:rsid w:val="00E504A8"/>
    <w:rsid w:val="00E519C6"/>
    <w:rsid w:val="00E5551B"/>
    <w:rsid w:val="00E559CB"/>
    <w:rsid w:val="00E571B4"/>
    <w:rsid w:val="00E626C0"/>
    <w:rsid w:val="00E65BB2"/>
    <w:rsid w:val="00E66C33"/>
    <w:rsid w:val="00E72889"/>
    <w:rsid w:val="00E74A89"/>
    <w:rsid w:val="00E766D0"/>
    <w:rsid w:val="00E82A83"/>
    <w:rsid w:val="00E83D15"/>
    <w:rsid w:val="00E87BA1"/>
    <w:rsid w:val="00E901EB"/>
    <w:rsid w:val="00E90E6A"/>
    <w:rsid w:val="00E924A7"/>
    <w:rsid w:val="00E93801"/>
    <w:rsid w:val="00E93FCB"/>
    <w:rsid w:val="00E94E4F"/>
    <w:rsid w:val="00E955B4"/>
    <w:rsid w:val="00E9597B"/>
    <w:rsid w:val="00E974D7"/>
    <w:rsid w:val="00EA14B3"/>
    <w:rsid w:val="00EA27AA"/>
    <w:rsid w:val="00EA33C7"/>
    <w:rsid w:val="00EA48F2"/>
    <w:rsid w:val="00EA5619"/>
    <w:rsid w:val="00EB04EF"/>
    <w:rsid w:val="00EB2E13"/>
    <w:rsid w:val="00EB38C6"/>
    <w:rsid w:val="00EB53D0"/>
    <w:rsid w:val="00EB5413"/>
    <w:rsid w:val="00EB5F0C"/>
    <w:rsid w:val="00EB61BE"/>
    <w:rsid w:val="00EC033A"/>
    <w:rsid w:val="00EC155B"/>
    <w:rsid w:val="00EC2932"/>
    <w:rsid w:val="00EC3857"/>
    <w:rsid w:val="00EC5DF6"/>
    <w:rsid w:val="00ED2B25"/>
    <w:rsid w:val="00ED50A8"/>
    <w:rsid w:val="00EE3822"/>
    <w:rsid w:val="00EE77BE"/>
    <w:rsid w:val="00EF3E93"/>
    <w:rsid w:val="00EF74BC"/>
    <w:rsid w:val="00F03656"/>
    <w:rsid w:val="00F05DBA"/>
    <w:rsid w:val="00F10140"/>
    <w:rsid w:val="00F13C28"/>
    <w:rsid w:val="00F14081"/>
    <w:rsid w:val="00F1478E"/>
    <w:rsid w:val="00F14DFB"/>
    <w:rsid w:val="00F1642E"/>
    <w:rsid w:val="00F165BD"/>
    <w:rsid w:val="00F17458"/>
    <w:rsid w:val="00F17CD1"/>
    <w:rsid w:val="00F22956"/>
    <w:rsid w:val="00F22973"/>
    <w:rsid w:val="00F244D7"/>
    <w:rsid w:val="00F2634F"/>
    <w:rsid w:val="00F270D4"/>
    <w:rsid w:val="00F32421"/>
    <w:rsid w:val="00F32471"/>
    <w:rsid w:val="00F32863"/>
    <w:rsid w:val="00F33053"/>
    <w:rsid w:val="00F332A7"/>
    <w:rsid w:val="00F35456"/>
    <w:rsid w:val="00F370B5"/>
    <w:rsid w:val="00F41949"/>
    <w:rsid w:val="00F41B8E"/>
    <w:rsid w:val="00F42594"/>
    <w:rsid w:val="00F433FE"/>
    <w:rsid w:val="00F435A1"/>
    <w:rsid w:val="00F44278"/>
    <w:rsid w:val="00F4701E"/>
    <w:rsid w:val="00F52F09"/>
    <w:rsid w:val="00F5409C"/>
    <w:rsid w:val="00F619DC"/>
    <w:rsid w:val="00F66405"/>
    <w:rsid w:val="00F666C2"/>
    <w:rsid w:val="00F7039D"/>
    <w:rsid w:val="00F7294A"/>
    <w:rsid w:val="00F72B70"/>
    <w:rsid w:val="00F734AB"/>
    <w:rsid w:val="00F7654C"/>
    <w:rsid w:val="00F77434"/>
    <w:rsid w:val="00F80CC0"/>
    <w:rsid w:val="00F83F7B"/>
    <w:rsid w:val="00F86D33"/>
    <w:rsid w:val="00F877C3"/>
    <w:rsid w:val="00F90119"/>
    <w:rsid w:val="00F90E73"/>
    <w:rsid w:val="00F9297B"/>
    <w:rsid w:val="00FA197D"/>
    <w:rsid w:val="00FA2113"/>
    <w:rsid w:val="00FA260F"/>
    <w:rsid w:val="00FA2AED"/>
    <w:rsid w:val="00FA4D73"/>
    <w:rsid w:val="00FA63DB"/>
    <w:rsid w:val="00FA69E4"/>
    <w:rsid w:val="00FA7229"/>
    <w:rsid w:val="00FA7576"/>
    <w:rsid w:val="00FB5780"/>
    <w:rsid w:val="00FB71E7"/>
    <w:rsid w:val="00FB77A8"/>
    <w:rsid w:val="00FC0CFA"/>
    <w:rsid w:val="00FC0DEA"/>
    <w:rsid w:val="00FC0E0C"/>
    <w:rsid w:val="00FC2807"/>
    <w:rsid w:val="00FC4938"/>
    <w:rsid w:val="00FC5292"/>
    <w:rsid w:val="00FC6CD2"/>
    <w:rsid w:val="00FD04FA"/>
    <w:rsid w:val="00FD0B74"/>
    <w:rsid w:val="00FE7291"/>
    <w:rsid w:val="00FF04FD"/>
    <w:rsid w:val="00FF1477"/>
    <w:rsid w:val="00FF4B41"/>
    <w:rsid w:val="00FF6028"/>
    <w:rsid w:val="00FF680C"/>
    <w:rsid w:val="00FF6A81"/>
    <w:rsid w:val="00FF768B"/>
    <w:rsid w:val="2CFB6A23"/>
    <w:rsid w:val="327B3E67"/>
    <w:rsid w:val="5306F0CB"/>
    <w:rsid w:val="5A6E8717"/>
    <w:rsid w:val="73D420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8603A"/>
  <w15:chartTrackingRefBased/>
  <w15:docId w15:val="{4569A436-5545-4402-AB52-B5658710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64"/>
    <w:rPr>
      <w:rFonts w:ascii="Arial" w:hAnsi="Arial"/>
      <w:sz w:val="24"/>
    </w:rPr>
  </w:style>
  <w:style w:type="paragraph" w:styleId="Heading1">
    <w:name w:val="heading 1"/>
    <w:basedOn w:val="ListParagraph"/>
    <w:link w:val="Heading1Char"/>
    <w:uiPriority w:val="9"/>
    <w:qFormat/>
    <w:rsid w:val="008D4132"/>
    <w:pPr>
      <w:keepNext/>
      <w:spacing w:line="240" w:lineRule="auto"/>
      <w:ind w:left="0"/>
      <w:contextualSpacing w:val="0"/>
      <w:outlineLvl w:val="0"/>
    </w:pPr>
    <w:rPr>
      <w:color w:val="347B9F"/>
      <w:sz w:val="48"/>
      <w:szCs w:val="48"/>
    </w:rPr>
  </w:style>
  <w:style w:type="paragraph" w:styleId="Heading2">
    <w:name w:val="heading 2"/>
    <w:basedOn w:val="Heading1"/>
    <w:link w:val="Heading2Char"/>
    <w:uiPriority w:val="9"/>
    <w:qFormat/>
    <w:rsid w:val="00BF7719"/>
    <w:pPr>
      <w:numPr>
        <w:ilvl w:val="1"/>
      </w:numPr>
      <w:spacing w:before="200"/>
      <w:ind w:left="851" w:hanging="851"/>
      <w:outlineLvl w:val="1"/>
    </w:pPr>
    <w:rPr>
      <w:sz w:val="36"/>
      <w:szCs w:val="36"/>
    </w:rPr>
  </w:style>
  <w:style w:type="paragraph" w:styleId="Heading3">
    <w:name w:val="heading 3"/>
    <w:basedOn w:val="Heading2"/>
    <w:next w:val="Normal"/>
    <w:link w:val="Heading3Char"/>
    <w:uiPriority w:val="9"/>
    <w:unhideWhenUsed/>
    <w:qFormat/>
    <w:rsid w:val="00BF7719"/>
    <w:pPr>
      <w:numPr>
        <w:ilvl w:val="2"/>
      </w:numPr>
      <w:ind w:left="851" w:hanging="851"/>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customStyle="1" w:styleId="Heading1Char">
    <w:name w:val="Heading 1 Char"/>
    <w:basedOn w:val="DefaultParagraphFont"/>
    <w:link w:val="Heading1"/>
    <w:uiPriority w:val="9"/>
    <w:rsid w:val="008D4132"/>
    <w:rPr>
      <w:rFonts w:ascii="Arial" w:hAnsi="Arial"/>
      <w:color w:val="347B9F"/>
      <w:sz w:val="48"/>
      <w:szCs w:val="48"/>
    </w:rPr>
  </w:style>
  <w:style w:type="character" w:customStyle="1" w:styleId="Heading2Char">
    <w:name w:val="Heading 2 Char"/>
    <w:basedOn w:val="DefaultParagraphFont"/>
    <w:link w:val="Heading2"/>
    <w:uiPriority w:val="9"/>
    <w:rsid w:val="00BF7719"/>
    <w:rPr>
      <w:rFonts w:ascii="Arial" w:hAnsi="Arial"/>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qFormat/>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BF7719"/>
    <w:rPr>
      <w:rFonts w:ascii="Arial" w:hAnsi="Arial"/>
      <w:sz w:val="28"/>
      <w:szCs w:val="28"/>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customStyle="1" w:styleId="xmsonormal">
    <w:name w:val="x_msonormal"/>
    <w:basedOn w:val="Normal"/>
    <w:rsid w:val="00505757"/>
    <w:pPr>
      <w:spacing w:after="0" w:line="240" w:lineRule="auto"/>
    </w:pPr>
    <w:rPr>
      <w:rFonts w:ascii="Aptos" w:hAnsi="Aptos" w:cs="Aptos"/>
      <w:szCs w:val="24"/>
      <w:lang w:eastAsia="en-AU"/>
    </w:rPr>
  </w:style>
  <w:style w:type="character" w:styleId="UnresolvedMention">
    <w:name w:val="Unresolved Mention"/>
    <w:basedOn w:val="DefaultParagraphFont"/>
    <w:uiPriority w:val="99"/>
    <w:semiHidden/>
    <w:unhideWhenUsed/>
    <w:rsid w:val="00527ECE"/>
    <w:rPr>
      <w:color w:val="605E5C"/>
      <w:shd w:val="clear" w:color="auto" w:fill="E1DFDD"/>
    </w:rPr>
  </w:style>
  <w:style w:type="paragraph" w:styleId="ListParagraph">
    <w:name w:val="List Paragraph"/>
    <w:basedOn w:val="Normal"/>
    <w:link w:val="ListParagraphChar"/>
    <w:uiPriority w:val="34"/>
    <w:qFormat/>
    <w:rsid w:val="00271C99"/>
    <w:pPr>
      <w:ind w:left="720"/>
      <w:contextualSpacing/>
    </w:pPr>
  </w:style>
  <w:style w:type="table" w:styleId="TableGrid">
    <w:name w:val="Table Grid"/>
    <w:basedOn w:val="TableNormal"/>
    <w:uiPriority w:val="59"/>
    <w:rsid w:val="0027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qFormat/>
    <w:rsid w:val="00BF7719"/>
    <w:pPr>
      <w:spacing w:before="40" w:after="40" w:line="240" w:lineRule="auto"/>
    </w:pPr>
    <w:rPr>
      <w:sz w:val="22"/>
    </w:rPr>
  </w:style>
  <w:style w:type="paragraph" w:customStyle="1" w:styleId="Tableheading">
    <w:name w:val="Table heading"/>
    <w:basedOn w:val="Normal"/>
    <w:qFormat/>
    <w:rsid w:val="00BF7719"/>
    <w:pPr>
      <w:spacing w:before="40" w:after="40" w:line="240" w:lineRule="auto"/>
    </w:pPr>
    <w:rPr>
      <w:b/>
      <w:bCs/>
      <w:sz w:val="22"/>
    </w:rPr>
  </w:style>
  <w:style w:type="paragraph" w:customStyle="1" w:styleId="Bodytextnumbered">
    <w:name w:val="Body text numbered"/>
    <w:basedOn w:val="Normal"/>
    <w:qFormat/>
    <w:rsid w:val="004F2648"/>
    <w:pPr>
      <w:keepLines/>
      <w:numPr>
        <w:numId w:val="30"/>
      </w:numPr>
      <w:spacing w:after="120"/>
    </w:pPr>
    <w:rPr>
      <w:sz w:val="22"/>
    </w:rPr>
  </w:style>
  <w:style w:type="paragraph" w:styleId="Title">
    <w:name w:val="Title"/>
    <w:basedOn w:val="Normal"/>
    <w:next w:val="Normal"/>
    <w:link w:val="TitleChar"/>
    <w:uiPriority w:val="10"/>
    <w:rsid w:val="00BF7719"/>
    <w:rPr>
      <w:sz w:val="72"/>
      <w:szCs w:val="72"/>
    </w:rPr>
  </w:style>
  <w:style w:type="character" w:customStyle="1" w:styleId="TitleChar">
    <w:name w:val="Title Char"/>
    <w:basedOn w:val="DefaultParagraphFont"/>
    <w:link w:val="Title"/>
    <w:uiPriority w:val="10"/>
    <w:rsid w:val="00BF7719"/>
    <w:rPr>
      <w:rFonts w:ascii="Arial" w:hAnsi="Arial"/>
      <w:sz w:val="72"/>
      <w:szCs w:val="72"/>
    </w:rPr>
  </w:style>
  <w:style w:type="paragraph" w:customStyle="1" w:styleId="Contents">
    <w:name w:val="Contents"/>
    <w:basedOn w:val="Normal"/>
    <w:qFormat/>
    <w:rsid w:val="00BF7719"/>
    <w:pPr>
      <w:spacing w:line="240" w:lineRule="auto"/>
    </w:pPr>
    <w:rPr>
      <w:sz w:val="48"/>
      <w:szCs w:val="48"/>
    </w:rPr>
  </w:style>
  <w:style w:type="paragraph" w:customStyle="1" w:styleId="Bodybullet">
    <w:name w:val="Body bullet"/>
    <w:basedOn w:val="ListParagraph"/>
    <w:qFormat/>
    <w:rsid w:val="0070042F"/>
    <w:pPr>
      <w:numPr>
        <w:numId w:val="12"/>
      </w:numPr>
      <w:spacing w:after="120"/>
      <w:ind w:left="924" w:hanging="357"/>
    </w:pPr>
    <w:rPr>
      <w:sz w:val="22"/>
    </w:rPr>
  </w:style>
  <w:style w:type="paragraph" w:styleId="TOCHeading">
    <w:name w:val="TOC Heading"/>
    <w:basedOn w:val="Heading1"/>
    <w:next w:val="Normal"/>
    <w:uiPriority w:val="39"/>
    <w:unhideWhenUsed/>
    <w:qFormat/>
    <w:rsid w:val="00C50C86"/>
    <w:pPr>
      <w:keepLines/>
      <w:spacing w:before="240" w:after="0" w:line="259" w:lineRule="auto"/>
      <w:outlineLvl w:val="9"/>
    </w:pPr>
    <w:rPr>
      <w:rFonts w:asciiTheme="majorHAnsi" w:eastAsiaTheme="majorEastAsia" w:hAnsiTheme="majorHAnsi" w:cstheme="majorBidi"/>
      <w:color w:val="365F91" w:themeColor="accent1" w:themeShade="BF"/>
      <w:sz w:val="32"/>
      <w:szCs w:val="32"/>
      <w:lang w:eastAsia="en-AU"/>
    </w:rPr>
  </w:style>
  <w:style w:type="paragraph" w:styleId="TOC1">
    <w:name w:val="toc 1"/>
    <w:basedOn w:val="Normal"/>
    <w:next w:val="Normal"/>
    <w:autoRedefine/>
    <w:uiPriority w:val="39"/>
    <w:unhideWhenUsed/>
    <w:rsid w:val="00387133"/>
    <w:pPr>
      <w:spacing w:after="100"/>
    </w:pPr>
  </w:style>
  <w:style w:type="paragraph" w:styleId="TOC2">
    <w:name w:val="toc 2"/>
    <w:basedOn w:val="Normal"/>
    <w:next w:val="Normal"/>
    <w:autoRedefine/>
    <w:uiPriority w:val="39"/>
    <w:unhideWhenUsed/>
    <w:rsid w:val="00387133"/>
    <w:pPr>
      <w:spacing w:after="100"/>
      <w:ind w:left="240"/>
    </w:pPr>
  </w:style>
  <w:style w:type="paragraph" w:styleId="TOC3">
    <w:name w:val="toc 3"/>
    <w:basedOn w:val="Normal"/>
    <w:next w:val="Normal"/>
    <w:autoRedefine/>
    <w:uiPriority w:val="39"/>
    <w:unhideWhenUsed/>
    <w:rsid w:val="00C50C86"/>
    <w:pPr>
      <w:spacing w:after="100"/>
      <w:ind w:left="480"/>
    </w:pPr>
  </w:style>
  <w:style w:type="paragraph" w:customStyle="1" w:styleId="Bodytextnumberedlevel2">
    <w:name w:val="Body text numbered level 2"/>
    <w:basedOn w:val="ListParagraph"/>
    <w:link w:val="Bodytextnumberedlevel2Char"/>
    <w:qFormat/>
    <w:rsid w:val="0070042F"/>
    <w:pPr>
      <w:numPr>
        <w:numId w:val="14"/>
      </w:numPr>
      <w:spacing w:after="120"/>
    </w:pPr>
    <w:rPr>
      <w:sz w:val="22"/>
    </w:rPr>
  </w:style>
  <w:style w:type="character" w:customStyle="1" w:styleId="ListParagraphChar">
    <w:name w:val="List Paragraph Char"/>
    <w:basedOn w:val="DefaultParagraphFont"/>
    <w:link w:val="ListParagraph"/>
    <w:uiPriority w:val="34"/>
    <w:rsid w:val="0070042F"/>
    <w:rPr>
      <w:rFonts w:ascii="Arial" w:hAnsi="Arial"/>
      <w:sz w:val="24"/>
    </w:rPr>
  </w:style>
  <w:style w:type="character" w:customStyle="1" w:styleId="Bodytextnumberedlevel2Char">
    <w:name w:val="Body text numbered level 2 Char"/>
    <w:basedOn w:val="ListParagraphChar"/>
    <w:link w:val="Bodytextnumberedlevel2"/>
    <w:rsid w:val="0070042F"/>
    <w:rPr>
      <w:rFonts w:ascii="Arial" w:hAnsi="Arial"/>
      <w:sz w:val="24"/>
    </w:rPr>
  </w:style>
  <w:style w:type="paragraph" w:customStyle="1" w:styleId="Bodytextnumberedlevel3">
    <w:name w:val="Body text numbered level 3"/>
    <w:basedOn w:val="Bodytextnumberedlevel2"/>
    <w:link w:val="Bodytextnumberedlevel3Char"/>
    <w:qFormat/>
    <w:rsid w:val="0070042F"/>
    <w:pPr>
      <w:keepLines/>
      <w:numPr>
        <w:ilvl w:val="1"/>
        <w:numId w:val="15"/>
      </w:numPr>
      <w:ind w:left="1701" w:hanging="425"/>
    </w:pPr>
  </w:style>
  <w:style w:type="character" w:customStyle="1" w:styleId="Bodytextnumberedlevel3Char">
    <w:name w:val="Body text numbered level 3 Char"/>
    <w:basedOn w:val="Bodytextnumberedlevel2Char"/>
    <w:link w:val="Bodytextnumberedlevel3"/>
    <w:rsid w:val="0070042F"/>
    <w:rPr>
      <w:rFonts w:ascii="Arial" w:hAnsi="Arial"/>
      <w:sz w:val="24"/>
    </w:rPr>
  </w:style>
  <w:style w:type="paragraph" w:customStyle="1" w:styleId="Numberedparagraph">
    <w:name w:val="Numbered paragraph"/>
    <w:basedOn w:val="ListParagraph"/>
    <w:link w:val="NumberedparagraphChar"/>
    <w:qFormat/>
    <w:rsid w:val="00C840C7"/>
    <w:pPr>
      <w:numPr>
        <w:numId w:val="16"/>
      </w:numPr>
      <w:spacing w:before="120" w:after="240"/>
      <w:contextualSpacing w:val="0"/>
    </w:pPr>
    <w:rPr>
      <w:rFonts w:cs="Arial"/>
      <w:sz w:val="22"/>
    </w:rPr>
  </w:style>
  <w:style w:type="character" w:customStyle="1" w:styleId="listnumberroundbracket">
    <w:name w:val="list_number_round_bracket"/>
    <w:basedOn w:val="DefaultParagraphFont"/>
    <w:rsid w:val="00CF6551"/>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Ch"/>
    <w:basedOn w:val="Normal"/>
    <w:link w:val="FootnoteTextChar"/>
    <w:uiPriority w:val="99"/>
    <w:unhideWhenUsed/>
    <w:qFormat/>
    <w:rsid w:val="00DD5359"/>
    <w:pPr>
      <w:spacing w:after="120" w:line="240" w:lineRule="auto"/>
    </w:pPr>
    <w:rPr>
      <w:rFonts w:eastAsiaTheme="minorEastAsia"/>
      <w:color w:val="000000" w:themeColor="text1"/>
      <w:sz w:val="20"/>
      <w:szCs w:val="24"/>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Ch Char"/>
    <w:basedOn w:val="DefaultParagraphFont"/>
    <w:link w:val="FootnoteText"/>
    <w:uiPriority w:val="99"/>
    <w:rsid w:val="00DD5359"/>
    <w:rPr>
      <w:rFonts w:ascii="Arial" w:eastAsiaTheme="minorEastAsia" w:hAnsi="Arial"/>
      <w:color w:val="000000" w:themeColor="text1"/>
      <w:sz w:val="20"/>
      <w:szCs w:val="24"/>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DD5359"/>
    <w:rPr>
      <w:vertAlign w:val="superscript"/>
    </w:rPr>
  </w:style>
  <w:style w:type="character" w:customStyle="1" w:styleId="NumberedparagraphChar">
    <w:name w:val="Numbered paragraph Char"/>
    <w:basedOn w:val="ListParagraphChar"/>
    <w:link w:val="Numberedparagraph"/>
    <w:rsid w:val="00DD5359"/>
    <w:rPr>
      <w:rFonts w:ascii="Arial" w:hAnsi="Arial" w:cs="Arial"/>
      <w:sz w:val="24"/>
    </w:rPr>
  </w:style>
  <w:style w:type="paragraph" w:customStyle="1" w:styleId="Bulletedlist">
    <w:name w:val="Bulleted list"/>
    <w:basedOn w:val="ListParagraph"/>
    <w:qFormat/>
    <w:rsid w:val="006708C8"/>
    <w:pPr>
      <w:numPr>
        <w:numId w:val="20"/>
      </w:numPr>
      <w:spacing w:after="240" w:line="240" w:lineRule="auto"/>
    </w:pPr>
    <w:rPr>
      <w:rFonts w:eastAsiaTheme="minorEastAsia" w:cs="Arial"/>
      <w:color w:val="000000" w:themeColor="text1"/>
      <w:sz w:val="22"/>
      <w:szCs w:val="24"/>
    </w:rPr>
  </w:style>
  <w:style w:type="character" w:customStyle="1" w:styleId="listnumber">
    <w:name w:val="listnumber"/>
    <w:basedOn w:val="DefaultParagraphFont"/>
    <w:rsid w:val="00BD712E"/>
  </w:style>
  <w:style w:type="character" w:styleId="Strong">
    <w:name w:val="Strong"/>
    <w:basedOn w:val="DefaultParagraphFont"/>
    <w:uiPriority w:val="22"/>
    <w:qFormat/>
    <w:rsid w:val="00342B86"/>
    <w:rPr>
      <w:b/>
      <w:bCs/>
    </w:rPr>
  </w:style>
  <w:style w:type="character" w:styleId="CommentReference">
    <w:name w:val="annotation reference"/>
    <w:basedOn w:val="DefaultParagraphFont"/>
    <w:uiPriority w:val="99"/>
    <w:semiHidden/>
    <w:unhideWhenUsed/>
    <w:rsid w:val="0041607A"/>
    <w:rPr>
      <w:sz w:val="16"/>
      <w:szCs w:val="16"/>
    </w:rPr>
  </w:style>
  <w:style w:type="paragraph" w:styleId="CommentText">
    <w:name w:val="annotation text"/>
    <w:basedOn w:val="Normal"/>
    <w:link w:val="CommentTextChar"/>
    <w:uiPriority w:val="99"/>
    <w:unhideWhenUsed/>
    <w:rsid w:val="0041607A"/>
    <w:pPr>
      <w:spacing w:line="240" w:lineRule="auto"/>
    </w:pPr>
    <w:rPr>
      <w:sz w:val="20"/>
      <w:szCs w:val="20"/>
    </w:rPr>
  </w:style>
  <w:style w:type="character" w:customStyle="1" w:styleId="CommentTextChar">
    <w:name w:val="Comment Text Char"/>
    <w:basedOn w:val="DefaultParagraphFont"/>
    <w:link w:val="CommentText"/>
    <w:uiPriority w:val="99"/>
    <w:rsid w:val="004160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607A"/>
    <w:rPr>
      <w:b/>
      <w:bCs/>
    </w:rPr>
  </w:style>
  <w:style w:type="character" w:customStyle="1" w:styleId="CommentSubjectChar">
    <w:name w:val="Comment Subject Char"/>
    <w:basedOn w:val="CommentTextChar"/>
    <w:link w:val="CommentSubject"/>
    <w:uiPriority w:val="99"/>
    <w:semiHidden/>
    <w:rsid w:val="0041607A"/>
    <w:rPr>
      <w:rFonts w:ascii="Arial" w:hAnsi="Arial"/>
      <w:b/>
      <w:bCs/>
      <w:sz w:val="20"/>
      <w:szCs w:val="20"/>
    </w:rPr>
  </w:style>
  <w:style w:type="character" w:styleId="Mention">
    <w:name w:val="Mention"/>
    <w:basedOn w:val="DefaultParagraphFont"/>
    <w:uiPriority w:val="99"/>
    <w:unhideWhenUsed/>
    <w:rsid w:val="0041607A"/>
    <w:rPr>
      <w:color w:val="2B579A"/>
      <w:shd w:val="clear" w:color="auto" w:fill="E1DFDD"/>
    </w:rPr>
  </w:style>
  <w:style w:type="character" w:styleId="FollowedHyperlink">
    <w:name w:val="FollowedHyperlink"/>
    <w:basedOn w:val="DefaultParagraphFont"/>
    <w:uiPriority w:val="99"/>
    <w:semiHidden/>
    <w:unhideWhenUsed/>
    <w:rsid w:val="00D40BD1"/>
    <w:rPr>
      <w:color w:val="800080" w:themeColor="followedHyperlink"/>
      <w:u w:val="single"/>
    </w:rPr>
  </w:style>
  <w:style w:type="paragraph" w:styleId="Revision">
    <w:name w:val="Revision"/>
    <w:hidden/>
    <w:uiPriority w:val="99"/>
    <w:semiHidden/>
    <w:rsid w:val="002D6109"/>
    <w:pPr>
      <w:spacing w:after="0" w:line="240" w:lineRule="auto"/>
    </w:pPr>
    <w:rPr>
      <w:rFonts w:ascii="Arial" w:hAnsi="Arial"/>
      <w:sz w:val="24"/>
    </w:rPr>
  </w:style>
  <w:style w:type="paragraph" w:customStyle="1" w:styleId="s9793a85b">
    <w:name w:val="s9793a85b"/>
    <w:basedOn w:val="Normal"/>
    <w:rsid w:val="008C74B2"/>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sbb9ee52a">
    <w:name w:val="sbb9ee52a"/>
    <w:basedOn w:val="DefaultParagraphFont"/>
    <w:rsid w:val="008C74B2"/>
  </w:style>
  <w:style w:type="character" w:customStyle="1" w:styleId="sa36b60a1">
    <w:name w:val="sa36b60a1"/>
    <w:basedOn w:val="DefaultParagraphFont"/>
    <w:rsid w:val="008C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04">
      <w:bodyDiv w:val="1"/>
      <w:marLeft w:val="0"/>
      <w:marRight w:val="0"/>
      <w:marTop w:val="0"/>
      <w:marBottom w:val="0"/>
      <w:divBdr>
        <w:top w:val="none" w:sz="0" w:space="0" w:color="auto"/>
        <w:left w:val="none" w:sz="0" w:space="0" w:color="auto"/>
        <w:bottom w:val="none" w:sz="0" w:space="0" w:color="auto"/>
        <w:right w:val="none" w:sz="0" w:space="0" w:color="auto"/>
      </w:divBdr>
      <w:divsChild>
        <w:div w:id="28489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26056">
      <w:bodyDiv w:val="1"/>
      <w:marLeft w:val="0"/>
      <w:marRight w:val="0"/>
      <w:marTop w:val="0"/>
      <w:marBottom w:val="0"/>
      <w:divBdr>
        <w:top w:val="none" w:sz="0" w:space="0" w:color="auto"/>
        <w:left w:val="none" w:sz="0" w:space="0" w:color="auto"/>
        <w:bottom w:val="none" w:sz="0" w:space="0" w:color="auto"/>
        <w:right w:val="none" w:sz="0" w:space="0" w:color="auto"/>
      </w:divBdr>
      <w:divsChild>
        <w:div w:id="359401640">
          <w:marLeft w:val="0"/>
          <w:marRight w:val="0"/>
          <w:marTop w:val="0"/>
          <w:marBottom w:val="0"/>
          <w:divBdr>
            <w:top w:val="none" w:sz="0" w:space="0" w:color="auto"/>
            <w:left w:val="none" w:sz="0" w:space="0" w:color="auto"/>
            <w:bottom w:val="none" w:sz="0" w:space="0" w:color="auto"/>
            <w:right w:val="none" w:sz="0" w:space="0" w:color="auto"/>
          </w:divBdr>
        </w:div>
        <w:div w:id="1166743454">
          <w:marLeft w:val="0"/>
          <w:marRight w:val="0"/>
          <w:marTop w:val="0"/>
          <w:marBottom w:val="0"/>
          <w:divBdr>
            <w:top w:val="none" w:sz="0" w:space="0" w:color="auto"/>
            <w:left w:val="none" w:sz="0" w:space="0" w:color="auto"/>
            <w:bottom w:val="none" w:sz="0" w:space="0" w:color="auto"/>
            <w:right w:val="none" w:sz="0" w:space="0" w:color="auto"/>
          </w:divBdr>
        </w:div>
      </w:divsChild>
    </w:div>
    <w:div w:id="348604375">
      <w:bodyDiv w:val="1"/>
      <w:marLeft w:val="0"/>
      <w:marRight w:val="0"/>
      <w:marTop w:val="0"/>
      <w:marBottom w:val="0"/>
      <w:divBdr>
        <w:top w:val="none" w:sz="0" w:space="0" w:color="auto"/>
        <w:left w:val="none" w:sz="0" w:space="0" w:color="auto"/>
        <w:bottom w:val="none" w:sz="0" w:space="0" w:color="auto"/>
        <w:right w:val="none" w:sz="0" w:space="0" w:color="auto"/>
      </w:divBdr>
      <w:divsChild>
        <w:div w:id="3403980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5681257">
              <w:blockQuote w:val="1"/>
              <w:marLeft w:val="600"/>
              <w:marRight w:val="0"/>
              <w:marTop w:val="120"/>
              <w:marBottom w:val="120"/>
              <w:divBdr>
                <w:top w:val="none" w:sz="0" w:space="0" w:color="auto"/>
                <w:left w:val="none" w:sz="0" w:space="0" w:color="auto"/>
                <w:bottom w:val="none" w:sz="0" w:space="0" w:color="auto"/>
                <w:right w:val="none" w:sz="0" w:space="0" w:color="auto"/>
              </w:divBdr>
            </w:div>
            <w:div w:id="15435177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21442381">
                  <w:blockQuote w:val="1"/>
                  <w:marLeft w:val="600"/>
                  <w:marRight w:val="0"/>
                  <w:marTop w:val="120"/>
                  <w:marBottom w:val="120"/>
                  <w:divBdr>
                    <w:top w:val="none" w:sz="0" w:space="0" w:color="auto"/>
                    <w:left w:val="none" w:sz="0" w:space="0" w:color="auto"/>
                    <w:bottom w:val="none" w:sz="0" w:space="0" w:color="auto"/>
                    <w:right w:val="none" w:sz="0" w:space="0" w:color="auto"/>
                  </w:divBdr>
                </w:div>
                <w:div w:id="17212000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14814193">
          <w:blockQuote w:val="1"/>
          <w:marLeft w:val="600"/>
          <w:marRight w:val="0"/>
          <w:marTop w:val="120"/>
          <w:marBottom w:val="120"/>
          <w:divBdr>
            <w:top w:val="none" w:sz="0" w:space="0" w:color="auto"/>
            <w:left w:val="none" w:sz="0" w:space="0" w:color="auto"/>
            <w:bottom w:val="none" w:sz="0" w:space="0" w:color="auto"/>
            <w:right w:val="none" w:sz="0" w:space="0" w:color="auto"/>
          </w:divBdr>
        </w:div>
        <w:div w:id="16554478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50960279">
      <w:bodyDiv w:val="1"/>
      <w:marLeft w:val="0"/>
      <w:marRight w:val="0"/>
      <w:marTop w:val="0"/>
      <w:marBottom w:val="0"/>
      <w:divBdr>
        <w:top w:val="none" w:sz="0" w:space="0" w:color="auto"/>
        <w:left w:val="none" w:sz="0" w:space="0" w:color="auto"/>
        <w:bottom w:val="none" w:sz="0" w:space="0" w:color="auto"/>
        <w:right w:val="none" w:sz="0" w:space="0" w:color="auto"/>
      </w:divBdr>
      <w:divsChild>
        <w:div w:id="674963806">
          <w:marLeft w:val="0"/>
          <w:marRight w:val="0"/>
          <w:marTop w:val="0"/>
          <w:marBottom w:val="0"/>
          <w:divBdr>
            <w:top w:val="none" w:sz="0" w:space="0" w:color="auto"/>
            <w:left w:val="none" w:sz="0" w:space="0" w:color="auto"/>
            <w:bottom w:val="none" w:sz="0" w:space="0" w:color="auto"/>
            <w:right w:val="none" w:sz="0" w:space="0" w:color="auto"/>
          </w:divBdr>
          <w:divsChild>
            <w:div w:id="907231081">
              <w:marLeft w:val="0"/>
              <w:marRight w:val="0"/>
              <w:marTop w:val="0"/>
              <w:marBottom w:val="0"/>
              <w:divBdr>
                <w:top w:val="none" w:sz="0" w:space="0" w:color="auto"/>
                <w:left w:val="none" w:sz="0" w:space="0" w:color="auto"/>
                <w:bottom w:val="none" w:sz="0" w:space="0" w:color="auto"/>
                <w:right w:val="none" w:sz="0" w:space="0" w:color="auto"/>
              </w:divBdr>
              <w:divsChild>
                <w:div w:id="1190024515">
                  <w:marLeft w:val="0"/>
                  <w:marRight w:val="0"/>
                  <w:marTop w:val="0"/>
                  <w:marBottom w:val="0"/>
                  <w:divBdr>
                    <w:top w:val="none" w:sz="0" w:space="0" w:color="auto"/>
                    <w:left w:val="none" w:sz="0" w:space="0" w:color="auto"/>
                    <w:bottom w:val="none" w:sz="0" w:space="0" w:color="auto"/>
                    <w:right w:val="none" w:sz="0" w:space="0" w:color="auto"/>
                  </w:divBdr>
                  <w:divsChild>
                    <w:div w:id="511847272">
                      <w:marLeft w:val="0"/>
                      <w:marRight w:val="0"/>
                      <w:marTop w:val="0"/>
                      <w:marBottom w:val="0"/>
                      <w:divBdr>
                        <w:top w:val="none" w:sz="0" w:space="0" w:color="auto"/>
                        <w:left w:val="none" w:sz="0" w:space="0" w:color="auto"/>
                        <w:bottom w:val="none" w:sz="0" w:space="0" w:color="auto"/>
                        <w:right w:val="none" w:sz="0" w:space="0" w:color="auto"/>
                      </w:divBdr>
                      <w:divsChild>
                        <w:div w:id="742725301">
                          <w:marLeft w:val="0"/>
                          <w:marRight w:val="0"/>
                          <w:marTop w:val="0"/>
                          <w:marBottom w:val="0"/>
                          <w:divBdr>
                            <w:top w:val="none" w:sz="0" w:space="0" w:color="auto"/>
                            <w:left w:val="none" w:sz="0" w:space="0" w:color="auto"/>
                            <w:bottom w:val="none" w:sz="0" w:space="0" w:color="auto"/>
                            <w:right w:val="none" w:sz="0" w:space="0" w:color="auto"/>
                          </w:divBdr>
                          <w:divsChild>
                            <w:div w:id="446193448">
                              <w:marLeft w:val="0"/>
                              <w:marRight w:val="0"/>
                              <w:marTop w:val="0"/>
                              <w:marBottom w:val="0"/>
                              <w:divBdr>
                                <w:top w:val="none" w:sz="0" w:space="0" w:color="auto"/>
                                <w:left w:val="none" w:sz="0" w:space="0" w:color="auto"/>
                                <w:bottom w:val="none" w:sz="0" w:space="0" w:color="auto"/>
                                <w:right w:val="none" w:sz="0" w:space="0" w:color="auto"/>
                              </w:divBdr>
                              <w:divsChild>
                                <w:div w:id="1282153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66767324">
                  <w:marLeft w:val="0"/>
                  <w:marRight w:val="0"/>
                  <w:marTop w:val="0"/>
                  <w:marBottom w:val="0"/>
                  <w:divBdr>
                    <w:top w:val="none" w:sz="0" w:space="0" w:color="auto"/>
                    <w:left w:val="none" w:sz="0" w:space="0" w:color="auto"/>
                    <w:bottom w:val="none" w:sz="0" w:space="0" w:color="auto"/>
                    <w:right w:val="none" w:sz="0" w:space="0" w:color="auto"/>
                  </w:divBdr>
                  <w:divsChild>
                    <w:div w:id="2763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19160">
      <w:bodyDiv w:val="1"/>
      <w:marLeft w:val="0"/>
      <w:marRight w:val="0"/>
      <w:marTop w:val="0"/>
      <w:marBottom w:val="0"/>
      <w:divBdr>
        <w:top w:val="none" w:sz="0" w:space="0" w:color="auto"/>
        <w:left w:val="none" w:sz="0" w:space="0" w:color="auto"/>
        <w:bottom w:val="none" w:sz="0" w:space="0" w:color="auto"/>
        <w:right w:val="none" w:sz="0" w:space="0" w:color="auto"/>
      </w:divBdr>
    </w:div>
    <w:div w:id="414597255">
      <w:bodyDiv w:val="1"/>
      <w:marLeft w:val="0"/>
      <w:marRight w:val="0"/>
      <w:marTop w:val="0"/>
      <w:marBottom w:val="0"/>
      <w:divBdr>
        <w:top w:val="none" w:sz="0" w:space="0" w:color="auto"/>
        <w:left w:val="none" w:sz="0" w:space="0" w:color="auto"/>
        <w:bottom w:val="none" w:sz="0" w:space="0" w:color="auto"/>
        <w:right w:val="none" w:sz="0" w:space="0" w:color="auto"/>
      </w:divBdr>
      <w:divsChild>
        <w:div w:id="511258648">
          <w:marLeft w:val="0"/>
          <w:marRight w:val="0"/>
          <w:marTop w:val="0"/>
          <w:marBottom w:val="0"/>
          <w:divBdr>
            <w:top w:val="none" w:sz="0" w:space="0" w:color="auto"/>
            <w:left w:val="none" w:sz="0" w:space="0" w:color="auto"/>
            <w:bottom w:val="none" w:sz="0" w:space="0" w:color="auto"/>
            <w:right w:val="none" w:sz="0" w:space="0" w:color="auto"/>
          </w:divBdr>
          <w:divsChild>
            <w:div w:id="114372549">
              <w:marLeft w:val="0"/>
              <w:marRight w:val="0"/>
              <w:marTop w:val="0"/>
              <w:marBottom w:val="0"/>
              <w:divBdr>
                <w:top w:val="none" w:sz="0" w:space="0" w:color="auto"/>
                <w:left w:val="none" w:sz="0" w:space="0" w:color="auto"/>
                <w:bottom w:val="none" w:sz="0" w:space="0" w:color="auto"/>
                <w:right w:val="none" w:sz="0" w:space="0" w:color="auto"/>
              </w:divBdr>
              <w:divsChild>
                <w:div w:id="64885036">
                  <w:marLeft w:val="0"/>
                  <w:marRight w:val="0"/>
                  <w:marTop w:val="0"/>
                  <w:marBottom w:val="0"/>
                  <w:divBdr>
                    <w:top w:val="none" w:sz="0" w:space="0" w:color="auto"/>
                    <w:left w:val="none" w:sz="0" w:space="0" w:color="auto"/>
                    <w:bottom w:val="none" w:sz="0" w:space="0" w:color="auto"/>
                    <w:right w:val="none" w:sz="0" w:space="0" w:color="auto"/>
                  </w:divBdr>
                  <w:divsChild>
                    <w:div w:id="136608149">
                      <w:marLeft w:val="0"/>
                      <w:marRight w:val="0"/>
                      <w:marTop w:val="0"/>
                      <w:marBottom w:val="0"/>
                      <w:divBdr>
                        <w:top w:val="none" w:sz="0" w:space="0" w:color="auto"/>
                        <w:left w:val="none" w:sz="0" w:space="0" w:color="auto"/>
                        <w:bottom w:val="none" w:sz="0" w:space="0" w:color="auto"/>
                        <w:right w:val="none" w:sz="0" w:space="0" w:color="auto"/>
                      </w:divBdr>
                      <w:divsChild>
                        <w:div w:id="513610290">
                          <w:marLeft w:val="0"/>
                          <w:marRight w:val="0"/>
                          <w:marTop w:val="0"/>
                          <w:marBottom w:val="0"/>
                          <w:divBdr>
                            <w:top w:val="none" w:sz="0" w:space="0" w:color="auto"/>
                            <w:left w:val="none" w:sz="0" w:space="0" w:color="auto"/>
                            <w:bottom w:val="none" w:sz="0" w:space="0" w:color="auto"/>
                            <w:right w:val="none" w:sz="0" w:space="0" w:color="auto"/>
                          </w:divBdr>
                          <w:divsChild>
                            <w:div w:id="918058650">
                              <w:marLeft w:val="0"/>
                              <w:marRight w:val="0"/>
                              <w:marTop w:val="0"/>
                              <w:marBottom w:val="0"/>
                              <w:divBdr>
                                <w:top w:val="none" w:sz="0" w:space="0" w:color="auto"/>
                                <w:left w:val="none" w:sz="0" w:space="0" w:color="auto"/>
                                <w:bottom w:val="none" w:sz="0" w:space="0" w:color="auto"/>
                                <w:right w:val="none" w:sz="0" w:space="0" w:color="auto"/>
                              </w:divBdr>
                              <w:divsChild>
                                <w:div w:id="430199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6051221">
                  <w:marLeft w:val="0"/>
                  <w:marRight w:val="0"/>
                  <w:marTop w:val="0"/>
                  <w:marBottom w:val="0"/>
                  <w:divBdr>
                    <w:top w:val="none" w:sz="0" w:space="0" w:color="auto"/>
                    <w:left w:val="none" w:sz="0" w:space="0" w:color="auto"/>
                    <w:bottom w:val="none" w:sz="0" w:space="0" w:color="auto"/>
                    <w:right w:val="none" w:sz="0" w:space="0" w:color="auto"/>
                  </w:divBdr>
                  <w:divsChild>
                    <w:div w:id="16258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03646">
      <w:bodyDiv w:val="1"/>
      <w:marLeft w:val="0"/>
      <w:marRight w:val="0"/>
      <w:marTop w:val="0"/>
      <w:marBottom w:val="0"/>
      <w:divBdr>
        <w:top w:val="none" w:sz="0" w:space="0" w:color="auto"/>
        <w:left w:val="none" w:sz="0" w:space="0" w:color="auto"/>
        <w:bottom w:val="none" w:sz="0" w:space="0" w:color="auto"/>
        <w:right w:val="none" w:sz="0" w:space="0" w:color="auto"/>
      </w:divBdr>
    </w:div>
    <w:div w:id="541140000">
      <w:bodyDiv w:val="1"/>
      <w:marLeft w:val="0"/>
      <w:marRight w:val="0"/>
      <w:marTop w:val="0"/>
      <w:marBottom w:val="0"/>
      <w:divBdr>
        <w:top w:val="none" w:sz="0" w:space="0" w:color="auto"/>
        <w:left w:val="none" w:sz="0" w:space="0" w:color="auto"/>
        <w:bottom w:val="none" w:sz="0" w:space="0" w:color="auto"/>
        <w:right w:val="none" w:sz="0" w:space="0" w:color="auto"/>
      </w:divBdr>
      <w:divsChild>
        <w:div w:id="18914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666979011">
      <w:bodyDiv w:val="1"/>
      <w:marLeft w:val="0"/>
      <w:marRight w:val="0"/>
      <w:marTop w:val="0"/>
      <w:marBottom w:val="0"/>
      <w:divBdr>
        <w:top w:val="none" w:sz="0" w:space="0" w:color="auto"/>
        <w:left w:val="none" w:sz="0" w:space="0" w:color="auto"/>
        <w:bottom w:val="none" w:sz="0" w:space="0" w:color="auto"/>
        <w:right w:val="none" w:sz="0" w:space="0" w:color="auto"/>
      </w:divBdr>
    </w:div>
    <w:div w:id="811604253">
      <w:bodyDiv w:val="1"/>
      <w:marLeft w:val="0"/>
      <w:marRight w:val="0"/>
      <w:marTop w:val="0"/>
      <w:marBottom w:val="0"/>
      <w:divBdr>
        <w:top w:val="none" w:sz="0" w:space="0" w:color="auto"/>
        <w:left w:val="none" w:sz="0" w:space="0" w:color="auto"/>
        <w:bottom w:val="none" w:sz="0" w:space="0" w:color="auto"/>
        <w:right w:val="none" w:sz="0" w:space="0" w:color="auto"/>
      </w:divBdr>
    </w:div>
    <w:div w:id="817575724">
      <w:bodyDiv w:val="1"/>
      <w:marLeft w:val="0"/>
      <w:marRight w:val="0"/>
      <w:marTop w:val="0"/>
      <w:marBottom w:val="0"/>
      <w:divBdr>
        <w:top w:val="none" w:sz="0" w:space="0" w:color="auto"/>
        <w:left w:val="none" w:sz="0" w:space="0" w:color="auto"/>
        <w:bottom w:val="none" w:sz="0" w:space="0" w:color="auto"/>
        <w:right w:val="none" w:sz="0" w:space="0" w:color="auto"/>
      </w:divBdr>
    </w:div>
    <w:div w:id="841972184">
      <w:bodyDiv w:val="1"/>
      <w:marLeft w:val="0"/>
      <w:marRight w:val="0"/>
      <w:marTop w:val="0"/>
      <w:marBottom w:val="0"/>
      <w:divBdr>
        <w:top w:val="none" w:sz="0" w:space="0" w:color="auto"/>
        <w:left w:val="none" w:sz="0" w:space="0" w:color="auto"/>
        <w:bottom w:val="none" w:sz="0" w:space="0" w:color="auto"/>
        <w:right w:val="none" w:sz="0" w:space="0" w:color="auto"/>
      </w:divBdr>
      <w:divsChild>
        <w:div w:id="760880985">
          <w:marLeft w:val="0"/>
          <w:marRight w:val="0"/>
          <w:marTop w:val="0"/>
          <w:marBottom w:val="0"/>
          <w:divBdr>
            <w:top w:val="none" w:sz="0" w:space="0" w:color="auto"/>
            <w:left w:val="none" w:sz="0" w:space="0" w:color="auto"/>
            <w:bottom w:val="none" w:sz="0" w:space="0" w:color="auto"/>
            <w:right w:val="none" w:sz="0" w:space="0" w:color="auto"/>
          </w:divBdr>
          <w:divsChild>
            <w:div w:id="845171435">
              <w:marLeft w:val="0"/>
              <w:marRight w:val="0"/>
              <w:marTop w:val="0"/>
              <w:marBottom w:val="0"/>
              <w:divBdr>
                <w:top w:val="none" w:sz="0" w:space="0" w:color="auto"/>
                <w:left w:val="none" w:sz="0" w:space="0" w:color="auto"/>
                <w:bottom w:val="none" w:sz="0" w:space="0" w:color="auto"/>
                <w:right w:val="none" w:sz="0" w:space="0" w:color="auto"/>
              </w:divBdr>
              <w:divsChild>
                <w:div w:id="742719794">
                  <w:marLeft w:val="0"/>
                  <w:marRight w:val="0"/>
                  <w:marTop w:val="0"/>
                  <w:marBottom w:val="0"/>
                  <w:divBdr>
                    <w:top w:val="none" w:sz="0" w:space="0" w:color="auto"/>
                    <w:left w:val="none" w:sz="0" w:space="0" w:color="auto"/>
                    <w:bottom w:val="none" w:sz="0" w:space="0" w:color="auto"/>
                    <w:right w:val="none" w:sz="0" w:space="0" w:color="auto"/>
                  </w:divBdr>
                  <w:divsChild>
                    <w:div w:id="1423332636">
                      <w:marLeft w:val="0"/>
                      <w:marRight w:val="0"/>
                      <w:marTop w:val="0"/>
                      <w:marBottom w:val="0"/>
                      <w:divBdr>
                        <w:top w:val="none" w:sz="0" w:space="0" w:color="auto"/>
                        <w:left w:val="none" w:sz="0" w:space="0" w:color="auto"/>
                        <w:bottom w:val="none" w:sz="0" w:space="0" w:color="auto"/>
                        <w:right w:val="none" w:sz="0" w:space="0" w:color="auto"/>
                      </w:divBdr>
                      <w:divsChild>
                        <w:div w:id="198973440">
                          <w:marLeft w:val="0"/>
                          <w:marRight w:val="0"/>
                          <w:marTop w:val="0"/>
                          <w:marBottom w:val="0"/>
                          <w:divBdr>
                            <w:top w:val="none" w:sz="0" w:space="0" w:color="auto"/>
                            <w:left w:val="none" w:sz="0" w:space="0" w:color="auto"/>
                            <w:bottom w:val="none" w:sz="0" w:space="0" w:color="auto"/>
                            <w:right w:val="none" w:sz="0" w:space="0" w:color="auto"/>
                          </w:divBdr>
                          <w:divsChild>
                            <w:div w:id="1807359412">
                              <w:marLeft w:val="0"/>
                              <w:marRight w:val="0"/>
                              <w:marTop w:val="0"/>
                              <w:marBottom w:val="0"/>
                              <w:divBdr>
                                <w:top w:val="none" w:sz="0" w:space="0" w:color="auto"/>
                                <w:left w:val="none" w:sz="0" w:space="0" w:color="auto"/>
                                <w:bottom w:val="none" w:sz="0" w:space="0" w:color="auto"/>
                                <w:right w:val="none" w:sz="0" w:space="0" w:color="auto"/>
                              </w:divBdr>
                              <w:divsChild>
                                <w:div w:id="64979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6161925">
                  <w:marLeft w:val="0"/>
                  <w:marRight w:val="0"/>
                  <w:marTop w:val="0"/>
                  <w:marBottom w:val="0"/>
                  <w:divBdr>
                    <w:top w:val="none" w:sz="0" w:space="0" w:color="auto"/>
                    <w:left w:val="none" w:sz="0" w:space="0" w:color="auto"/>
                    <w:bottom w:val="none" w:sz="0" w:space="0" w:color="auto"/>
                    <w:right w:val="none" w:sz="0" w:space="0" w:color="auto"/>
                  </w:divBdr>
                  <w:divsChild>
                    <w:div w:id="15020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3401">
      <w:bodyDiv w:val="1"/>
      <w:marLeft w:val="0"/>
      <w:marRight w:val="0"/>
      <w:marTop w:val="0"/>
      <w:marBottom w:val="0"/>
      <w:divBdr>
        <w:top w:val="none" w:sz="0" w:space="0" w:color="auto"/>
        <w:left w:val="none" w:sz="0" w:space="0" w:color="auto"/>
        <w:bottom w:val="none" w:sz="0" w:space="0" w:color="auto"/>
        <w:right w:val="none" w:sz="0" w:space="0" w:color="auto"/>
      </w:divBdr>
    </w:div>
    <w:div w:id="1280336220">
      <w:bodyDiv w:val="1"/>
      <w:marLeft w:val="0"/>
      <w:marRight w:val="0"/>
      <w:marTop w:val="0"/>
      <w:marBottom w:val="0"/>
      <w:divBdr>
        <w:top w:val="none" w:sz="0" w:space="0" w:color="auto"/>
        <w:left w:val="none" w:sz="0" w:space="0" w:color="auto"/>
        <w:bottom w:val="none" w:sz="0" w:space="0" w:color="auto"/>
        <w:right w:val="none" w:sz="0" w:space="0" w:color="auto"/>
      </w:divBdr>
      <w:divsChild>
        <w:div w:id="85854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4397">
      <w:bodyDiv w:val="1"/>
      <w:marLeft w:val="0"/>
      <w:marRight w:val="0"/>
      <w:marTop w:val="0"/>
      <w:marBottom w:val="0"/>
      <w:divBdr>
        <w:top w:val="none" w:sz="0" w:space="0" w:color="auto"/>
        <w:left w:val="none" w:sz="0" w:space="0" w:color="auto"/>
        <w:bottom w:val="none" w:sz="0" w:space="0" w:color="auto"/>
        <w:right w:val="none" w:sz="0" w:space="0" w:color="auto"/>
      </w:divBdr>
    </w:div>
    <w:div w:id="1347488570">
      <w:bodyDiv w:val="1"/>
      <w:marLeft w:val="0"/>
      <w:marRight w:val="0"/>
      <w:marTop w:val="0"/>
      <w:marBottom w:val="0"/>
      <w:divBdr>
        <w:top w:val="none" w:sz="0" w:space="0" w:color="auto"/>
        <w:left w:val="none" w:sz="0" w:space="0" w:color="auto"/>
        <w:bottom w:val="none" w:sz="0" w:space="0" w:color="auto"/>
        <w:right w:val="none" w:sz="0" w:space="0" w:color="auto"/>
      </w:divBdr>
    </w:div>
    <w:div w:id="1379158616">
      <w:bodyDiv w:val="1"/>
      <w:marLeft w:val="0"/>
      <w:marRight w:val="0"/>
      <w:marTop w:val="0"/>
      <w:marBottom w:val="0"/>
      <w:divBdr>
        <w:top w:val="none" w:sz="0" w:space="0" w:color="auto"/>
        <w:left w:val="none" w:sz="0" w:space="0" w:color="auto"/>
        <w:bottom w:val="none" w:sz="0" w:space="0" w:color="auto"/>
        <w:right w:val="none" w:sz="0" w:space="0" w:color="auto"/>
      </w:divBdr>
    </w:div>
    <w:div w:id="1396734513">
      <w:bodyDiv w:val="1"/>
      <w:marLeft w:val="0"/>
      <w:marRight w:val="0"/>
      <w:marTop w:val="0"/>
      <w:marBottom w:val="0"/>
      <w:divBdr>
        <w:top w:val="none" w:sz="0" w:space="0" w:color="auto"/>
        <w:left w:val="none" w:sz="0" w:space="0" w:color="auto"/>
        <w:bottom w:val="none" w:sz="0" w:space="0" w:color="auto"/>
        <w:right w:val="none" w:sz="0" w:space="0" w:color="auto"/>
      </w:divBdr>
    </w:div>
    <w:div w:id="1450395116">
      <w:bodyDiv w:val="1"/>
      <w:marLeft w:val="0"/>
      <w:marRight w:val="0"/>
      <w:marTop w:val="0"/>
      <w:marBottom w:val="0"/>
      <w:divBdr>
        <w:top w:val="none" w:sz="0" w:space="0" w:color="auto"/>
        <w:left w:val="none" w:sz="0" w:space="0" w:color="auto"/>
        <w:bottom w:val="none" w:sz="0" w:space="0" w:color="auto"/>
        <w:right w:val="none" w:sz="0" w:space="0" w:color="auto"/>
      </w:divBdr>
      <w:divsChild>
        <w:div w:id="39427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237242">
      <w:bodyDiv w:val="1"/>
      <w:marLeft w:val="0"/>
      <w:marRight w:val="0"/>
      <w:marTop w:val="0"/>
      <w:marBottom w:val="0"/>
      <w:divBdr>
        <w:top w:val="none" w:sz="0" w:space="0" w:color="auto"/>
        <w:left w:val="none" w:sz="0" w:space="0" w:color="auto"/>
        <w:bottom w:val="none" w:sz="0" w:space="0" w:color="auto"/>
        <w:right w:val="none" w:sz="0" w:space="0" w:color="auto"/>
      </w:divBdr>
    </w:div>
    <w:div w:id="1796024212">
      <w:bodyDiv w:val="1"/>
      <w:marLeft w:val="0"/>
      <w:marRight w:val="0"/>
      <w:marTop w:val="0"/>
      <w:marBottom w:val="0"/>
      <w:divBdr>
        <w:top w:val="none" w:sz="0" w:space="0" w:color="auto"/>
        <w:left w:val="none" w:sz="0" w:space="0" w:color="auto"/>
        <w:bottom w:val="none" w:sz="0" w:space="0" w:color="auto"/>
        <w:right w:val="none" w:sz="0" w:space="0" w:color="auto"/>
      </w:divBdr>
    </w:div>
    <w:div w:id="1825389278">
      <w:bodyDiv w:val="1"/>
      <w:marLeft w:val="0"/>
      <w:marRight w:val="0"/>
      <w:marTop w:val="0"/>
      <w:marBottom w:val="0"/>
      <w:divBdr>
        <w:top w:val="none" w:sz="0" w:space="0" w:color="auto"/>
        <w:left w:val="none" w:sz="0" w:space="0" w:color="auto"/>
        <w:bottom w:val="none" w:sz="0" w:space="0" w:color="auto"/>
        <w:right w:val="none" w:sz="0" w:space="0" w:color="auto"/>
      </w:divBdr>
    </w:div>
    <w:div w:id="1901673567">
      <w:bodyDiv w:val="1"/>
      <w:marLeft w:val="0"/>
      <w:marRight w:val="0"/>
      <w:marTop w:val="0"/>
      <w:marBottom w:val="0"/>
      <w:divBdr>
        <w:top w:val="none" w:sz="0" w:space="0" w:color="auto"/>
        <w:left w:val="none" w:sz="0" w:space="0" w:color="auto"/>
        <w:bottom w:val="none" w:sz="0" w:space="0" w:color="auto"/>
        <w:right w:val="none" w:sz="0" w:space="0" w:color="auto"/>
      </w:divBdr>
    </w:div>
    <w:div w:id="1941983717">
      <w:bodyDiv w:val="1"/>
      <w:marLeft w:val="0"/>
      <w:marRight w:val="0"/>
      <w:marTop w:val="0"/>
      <w:marBottom w:val="0"/>
      <w:divBdr>
        <w:top w:val="none" w:sz="0" w:space="0" w:color="auto"/>
        <w:left w:val="none" w:sz="0" w:space="0" w:color="auto"/>
        <w:bottom w:val="none" w:sz="0" w:space="0" w:color="auto"/>
        <w:right w:val="none" w:sz="0" w:space="0" w:color="auto"/>
      </w:divBdr>
    </w:div>
    <w:div w:id="2025664196">
      <w:bodyDiv w:val="1"/>
      <w:marLeft w:val="0"/>
      <w:marRight w:val="0"/>
      <w:marTop w:val="0"/>
      <w:marBottom w:val="0"/>
      <w:divBdr>
        <w:top w:val="none" w:sz="0" w:space="0" w:color="auto"/>
        <w:left w:val="none" w:sz="0" w:space="0" w:color="auto"/>
        <w:bottom w:val="none" w:sz="0" w:space="0" w:color="auto"/>
        <w:right w:val="none" w:sz="0" w:space="0" w:color="auto"/>
      </w:divBdr>
    </w:div>
    <w:div w:id="20434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qldhrc.sharepoint.com/QHRCAssets/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13" ma:contentTypeDescription="Create a new document." ma:contentTypeScope="" ma:versionID="cc8b8631d351c69949bf78ef296b9d35">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aee2c19fc15d505978572c06be6cbe50"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arahssubs xmlns="9ce53bef-e5d1-4308-a048-986453adcb2d">
      <UserInfo>
        <DisplayName/>
        <AccountId xsi:nil="true"/>
        <AccountType/>
      </UserInfo>
    </Sarahssubs>
    <SubmissionTo xmlns="9ce53bef-e5d1-4308-a048-986453adcb2d" xsi:nil="true"/>
    <Filenumber xmlns="a9ec758c-7b29-4bbd-836f-c599af6fef2b">LP2025005A</Filenumber>
    <lcf76f155ced4ddcb4097134ff3c332f xmlns="9ce53bef-e5d1-4308-a048-986453adcb2d">
      <Terms xmlns="http://schemas.microsoft.com/office/infopath/2007/PartnerControls"/>
    </lcf76f155ced4ddcb4097134ff3c332f>
    <_dlc_DocId xmlns="a9ec758c-7b29-4bbd-836f-c599af6fef2b">CS3F356C3TDS-1011335364-8101</_dlc_DocId>
    <_dlc_DocIdUrl xmlns="a9ec758c-7b29-4bbd-836f-c599af6fef2b">
      <Url>https://qldhrc.sharepoint.com/sites/LegalResearchandPolicy/_layouts/15/DocIdRedir.aspx?ID=CS3F356C3TDS-1011335364-8101</Url>
      <Description>CS3F356C3TDS-1011335364-8101</Description>
    </_dlc_DocIdUrl>
  </documentManagement>
</p:properties>
</file>

<file path=customXml/itemProps1.xml><?xml version="1.0" encoding="utf-8"?>
<ds:datastoreItem xmlns:ds="http://schemas.openxmlformats.org/officeDocument/2006/customXml" ds:itemID="{B370D15E-1774-4105-A495-809900982F9D}">
  <ds:schemaRefs>
    <ds:schemaRef ds:uri="http://schemas.microsoft.com/sharepoint/v3/contenttype/forms"/>
  </ds:schemaRefs>
</ds:datastoreItem>
</file>

<file path=customXml/itemProps2.xml><?xml version="1.0" encoding="utf-8"?>
<ds:datastoreItem xmlns:ds="http://schemas.openxmlformats.org/officeDocument/2006/customXml" ds:itemID="{BA627545-83AA-4467-B9CA-D306D50F3FE7}">
  <ds:schemaRefs>
    <ds:schemaRef ds:uri="http://schemas.microsoft.com/sharepoint/events"/>
  </ds:schemaRefs>
</ds:datastoreItem>
</file>

<file path=customXml/itemProps3.xml><?xml version="1.0" encoding="utf-8"?>
<ds:datastoreItem xmlns:ds="http://schemas.openxmlformats.org/officeDocument/2006/customXml" ds:itemID="{58842274-EEEE-40DD-8A96-2D5DECCC4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872DD-1574-47E5-98DF-3915A5EF3579}">
  <ds:schemaRefs>
    <ds:schemaRef ds:uri="http://schemas.openxmlformats.org/officeDocument/2006/bibliography"/>
  </ds:schemaRefs>
</ds:datastoreItem>
</file>

<file path=customXml/itemProps5.xml><?xml version="1.0" encoding="utf-8"?>
<ds:datastoreItem xmlns:ds="http://schemas.openxmlformats.org/officeDocument/2006/customXml" ds:itemID="{703BD9C9-4CC0-4817-9F24-BD332DAA65D4}">
  <ds:schemaRefs>
    <ds:schemaRef ds:uri="http://schemas.microsoft.com/office/2006/metadata/properties"/>
    <ds:schemaRef ds:uri="http://schemas.microsoft.com/office/infopath/2007/PartnerControls"/>
    <ds:schemaRef ds:uri="9ce53bef-e5d1-4308-a048-986453adcb2d"/>
    <ds:schemaRef ds:uri="a9ec758c-7b29-4bbd-836f-c599af6fef2b"/>
  </ds:schemaRefs>
</ds:datastoreItem>
</file>

<file path=docProps/app.xml><?xml version="1.0" encoding="utf-8"?>
<Properties xmlns="http://schemas.openxmlformats.org/officeDocument/2006/extended-properties" xmlns:vt="http://schemas.openxmlformats.org/officeDocument/2006/docPropsVTypes">
  <Template>QHRC%20submission%20template</Template>
  <TotalTime>1762</TotalTime>
  <Pages>14</Pages>
  <Words>3802</Words>
  <Characters>21677</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25429</CharactersWithSpaces>
  <SharedDoc>false</SharedDoc>
  <HLinks>
    <vt:vector size="78" baseType="variant">
      <vt:variant>
        <vt:i4>1507389</vt:i4>
      </vt:variant>
      <vt:variant>
        <vt:i4>74</vt:i4>
      </vt:variant>
      <vt:variant>
        <vt:i4>0</vt:i4>
      </vt:variant>
      <vt:variant>
        <vt:i4>5</vt:i4>
      </vt:variant>
      <vt:variant>
        <vt:lpwstr/>
      </vt:variant>
      <vt:variant>
        <vt:lpwstr>_Toc204594212</vt:lpwstr>
      </vt:variant>
      <vt:variant>
        <vt:i4>1507389</vt:i4>
      </vt:variant>
      <vt:variant>
        <vt:i4>68</vt:i4>
      </vt:variant>
      <vt:variant>
        <vt:i4>0</vt:i4>
      </vt:variant>
      <vt:variant>
        <vt:i4>5</vt:i4>
      </vt:variant>
      <vt:variant>
        <vt:lpwstr/>
      </vt:variant>
      <vt:variant>
        <vt:lpwstr>_Toc204594211</vt:lpwstr>
      </vt:variant>
      <vt:variant>
        <vt:i4>1507389</vt:i4>
      </vt:variant>
      <vt:variant>
        <vt:i4>62</vt:i4>
      </vt:variant>
      <vt:variant>
        <vt:i4>0</vt:i4>
      </vt:variant>
      <vt:variant>
        <vt:i4>5</vt:i4>
      </vt:variant>
      <vt:variant>
        <vt:lpwstr/>
      </vt:variant>
      <vt:variant>
        <vt:lpwstr>_Toc204594210</vt:lpwstr>
      </vt:variant>
      <vt:variant>
        <vt:i4>1441853</vt:i4>
      </vt:variant>
      <vt:variant>
        <vt:i4>56</vt:i4>
      </vt:variant>
      <vt:variant>
        <vt:i4>0</vt:i4>
      </vt:variant>
      <vt:variant>
        <vt:i4>5</vt:i4>
      </vt:variant>
      <vt:variant>
        <vt:lpwstr/>
      </vt:variant>
      <vt:variant>
        <vt:lpwstr>_Toc204594209</vt:lpwstr>
      </vt:variant>
      <vt:variant>
        <vt:i4>1441853</vt:i4>
      </vt:variant>
      <vt:variant>
        <vt:i4>50</vt:i4>
      </vt:variant>
      <vt:variant>
        <vt:i4>0</vt:i4>
      </vt:variant>
      <vt:variant>
        <vt:i4>5</vt:i4>
      </vt:variant>
      <vt:variant>
        <vt:lpwstr/>
      </vt:variant>
      <vt:variant>
        <vt:lpwstr>_Toc204594208</vt:lpwstr>
      </vt:variant>
      <vt:variant>
        <vt:i4>1441853</vt:i4>
      </vt:variant>
      <vt:variant>
        <vt:i4>44</vt:i4>
      </vt:variant>
      <vt:variant>
        <vt:i4>0</vt:i4>
      </vt:variant>
      <vt:variant>
        <vt:i4>5</vt:i4>
      </vt:variant>
      <vt:variant>
        <vt:lpwstr/>
      </vt:variant>
      <vt:variant>
        <vt:lpwstr>_Toc204594207</vt:lpwstr>
      </vt:variant>
      <vt:variant>
        <vt:i4>1441853</vt:i4>
      </vt:variant>
      <vt:variant>
        <vt:i4>38</vt:i4>
      </vt:variant>
      <vt:variant>
        <vt:i4>0</vt:i4>
      </vt:variant>
      <vt:variant>
        <vt:i4>5</vt:i4>
      </vt:variant>
      <vt:variant>
        <vt:lpwstr/>
      </vt:variant>
      <vt:variant>
        <vt:lpwstr>_Toc204594206</vt:lpwstr>
      </vt:variant>
      <vt:variant>
        <vt:i4>1441853</vt:i4>
      </vt:variant>
      <vt:variant>
        <vt:i4>32</vt:i4>
      </vt:variant>
      <vt:variant>
        <vt:i4>0</vt:i4>
      </vt:variant>
      <vt:variant>
        <vt:i4>5</vt:i4>
      </vt:variant>
      <vt:variant>
        <vt:lpwstr/>
      </vt:variant>
      <vt:variant>
        <vt:lpwstr>_Toc204594205</vt:lpwstr>
      </vt:variant>
      <vt:variant>
        <vt:i4>1441853</vt:i4>
      </vt:variant>
      <vt:variant>
        <vt:i4>26</vt:i4>
      </vt:variant>
      <vt:variant>
        <vt:i4>0</vt:i4>
      </vt:variant>
      <vt:variant>
        <vt:i4>5</vt:i4>
      </vt:variant>
      <vt:variant>
        <vt:lpwstr/>
      </vt:variant>
      <vt:variant>
        <vt:lpwstr>_Toc204594204</vt:lpwstr>
      </vt:variant>
      <vt:variant>
        <vt:i4>1441853</vt:i4>
      </vt:variant>
      <vt:variant>
        <vt:i4>20</vt:i4>
      </vt:variant>
      <vt:variant>
        <vt:i4>0</vt:i4>
      </vt:variant>
      <vt:variant>
        <vt:i4>5</vt:i4>
      </vt:variant>
      <vt:variant>
        <vt:lpwstr/>
      </vt:variant>
      <vt:variant>
        <vt:lpwstr>_Toc204594203</vt:lpwstr>
      </vt:variant>
      <vt:variant>
        <vt:i4>1441853</vt:i4>
      </vt:variant>
      <vt:variant>
        <vt:i4>14</vt:i4>
      </vt:variant>
      <vt:variant>
        <vt:i4>0</vt:i4>
      </vt:variant>
      <vt:variant>
        <vt:i4>5</vt:i4>
      </vt:variant>
      <vt:variant>
        <vt:lpwstr/>
      </vt:variant>
      <vt:variant>
        <vt:lpwstr>_Toc204594202</vt:lpwstr>
      </vt:variant>
      <vt:variant>
        <vt:i4>1441853</vt:i4>
      </vt:variant>
      <vt:variant>
        <vt:i4>8</vt:i4>
      </vt:variant>
      <vt:variant>
        <vt:i4>0</vt:i4>
      </vt:variant>
      <vt:variant>
        <vt:i4>5</vt:i4>
      </vt:variant>
      <vt:variant>
        <vt:lpwstr/>
      </vt:variant>
      <vt:variant>
        <vt:lpwstr>_Toc204594201</vt:lpwstr>
      </vt:variant>
      <vt:variant>
        <vt:i4>1441853</vt:i4>
      </vt:variant>
      <vt:variant>
        <vt:i4>2</vt:i4>
      </vt:variant>
      <vt:variant>
        <vt:i4>0</vt:i4>
      </vt:variant>
      <vt:variant>
        <vt:i4>5</vt:i4>
      </vt:variant>
      <vt:variant>
        <vt:lpwstr/>
      </vt:variant>
      <vt:variant>
        <vt:lpwstr>_Toc204594200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2025-07-20T11:24:00Z</dcterms:created>
  <dcterms:modified xsi:type="dcterms:W3CDTF">2025-07-31T03:11:00Z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xd_ProgID">
    <vt:lpwstr/>
  </property>
  <property fmtid="{D5CDD505-2E9C-101B-9397-08002B2CF9AE}" pid="4" name="_dlc_DocId">
    <vt:lpwstr>MXEKDN6VVZUS-1035446974-35</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dlc_DocIdUrl">
    <vt:lpwstr>https://qldhrc.sharepoint.com/sites/CorporateServices/_layouts/15/DocIdRedir.aspx?ID=MXEKDN6VVZUS-1035446974-35, MXEKDN6VVZUS-1035446974-35</vt:lpwstr>
  </property>
  <property fmtid="{D5CDD505-2E9C-101B-9397-08002B2CF9AE}" pid="10" name="xd_Signature">
    <vt:bool>false</vt:bool>
  </property>
  <property fmtid="{D5CDD505-2E9C-101B-9397-08002B2CF9AE}" pid="11" name="Topic">
    <vt:lpwstr>23;#Communication|65eed94a-19dd-4f6d-b0b7-775f465a526c</vt:lpwstr>
  </property>
  <property fmtid="{D5CDD505-2E9C-101B-9397-08002B2CF9AE}" pid="12" name="BusinessArea">
    <vt:lpwstr>19;#Performance ＆ People|b35e691a-f004-44d8-9f7f-495e0f2916b4</vt:lpwstr>
  </property>
  <property fmtid="{D5CDD505-2E9C-101B-9397-08002B2CF9AE}" pid="13" name="Order">
    <vt:r8>4500</vt:r8>
  </property>
  <property fmtid="{D5CDD505-2E9C-101B-9397-08002B2CF9AE}" pid="14" name="o8a2670e2ee54e7ba26c3956e9c24a96">
    <vt:lpwstr>Performance ＆ People|b35e691a-f004-44d8-9f7f-495e0f2916b4</vt:lpwstr>
  </property>
  <property fmtid="{D5CDD505-2E9C-101B-9397-08002B2CF9AE}" pid="15" name="i9eb08ac34eb4f289356b6dc0053c513">
    <vt:lpwstr>Communication|65eed94a-19dd-4f6d-b0b7-775f465a526c</vt:lpwstr>
  </property>
  <property fmtid="{D5CDD505-2E9C-101B-9397-08002B2CF9AE}" pid="16" name="Owner">
    <vt:lpwstr>43;#Anh Bui</vt:lpwstr>
  </property>
  <property fmtid="{D5CDD505-2E9C-101B-9397-08002B2CF9AE}" pid="17" name="SME">
    <vt:lpwstr>10;#Kat Sekar</vt:lpwstr>
  </property>
  <property fmtid="{D5CDD505-2E9C-101B-9397-08002B2CF9AE}" pid="18" name="oa9fbd0508de436da13dc19a72853b3f">
    <vt:lpwstr>Template|aaf00d10-84d3-4180-ba8b-d16ef7e37900</vt:lpwstr>
  </property>
  <property fmtid="{D5CDD505-2E9C-101B-9397-08002B2CF9AE}" pid="19" name="_dlc_DocIdItemGuid">
    <vt:lpwstr>ed283a5d-4fad-474c-901f-fa96e3d3e269</vt:lpwstr>
  </property>
  <property fmtid="{D5CDD505-2E9C-101B-9397-08002B2CF9AE}" pid="20" name="DocumentType">
    <vt:lpwstr>15;#Template|aaf00d10-84d3-4180-ba8b-d16ef7e37900</vt:lpwstr>
  </property>
  <property fmtid="{D5CDD505-2E9C-101B-9397-08002B2CF9AE}" pid="21" name="TaxCatchAll">
    <vt:lpwstr>15;#Template|aaf00d10-84d3-4180-ba8b-d16ef7e37900</vt:lpwstr>
  </property>
  <property fmtid="{D5CDD505-2E9C-101B-9397-08002B2CF9AE}" pid="22" name="g18f092eaa554abcb943f50973cc4433">
    <vt:lpwstr/>
  </property>
  <property fmtid="{D5CDD505-2E9C-101B-9397-08002B2CF9AE}" pid="23" name="MediaServiceImageTags">
    <vt:lpwstr/>
  </property>
  <property fmtid="{D5CDD505-2E9C-101B-9397-08002B2CF9AE}" pid="24" name="QHRCKeywords">
    <vt:lpwstr/>
  </property>
</Properties>
</file>