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816DD" w14:textId="1C9B59CD" w:rsidR="00CF4EA3" w:rsidRDefault="00BA48AD" w:rsidP="00CF4EA3">
      <w:pPr>
        <w:contextualSpacing/>
      </w:pPr>
      <w:r>
        <w:t>12 October 2026</w:t>
      </w:r>
    </w:p>
    <w:p w14:paraId="471C0194" w14:textId="77777777" w:rsidR="00BA48AD" w:rsidRDefault="00BA48AD" w:rsidP="00CF4EA3">
      <w:pPr>
        <w:contextualSpacing/>
      </w:pPr>
    </w:p>
    <w:p w14:paraId="1421D5AF" w14:textId="77777777" w:rsidR="00CF4EA3" w:rsidRDefault="00CF4EA3" w:rsidP="00CF4EA3">
      <w:pPr>
        <w:contextualSpacing/>
      </w:pPr>
      <w:r>
        <w:t xml:space="preserve">Primary Industries and Resources Committee </w:t>
      </w:r>
    </w:p>
    <w:p w14:paraId="710F534B" w14:textId="77777777" w:rsidR="00CF4EA3" w:rsidRDefault="00CF4EA3" w:rsidP="00CF4EA3">
      <w:pPr>
        <w:contextualSpacing/>
      </w:pPr>
      <w:r w:rsidRPr="00A13218">
        <w:t>Parliament House</w:t>
      </w:r>
      <w:r w:rsidRPr="00A13218">
        <w:br/>
        <w:t>George Street</w:t>
      </w:r>
      <w:r w:rsidRPr="00A13218">
        <w:br/>
        <w:t>Brisbane Qld 4001</w:t>
      </w:r>
    </w:p>
    <w:p w14:paraId="73FB5157" w14:textId="77777777" w:rsidR="00CF4EA3" w:rsidRDefault="00CF4EA3" w:rsidP="00CF4EA3">
      <w:pPr>
        <w:contextualSpacing/>
      </w:pPr>
    </w:p>
    <w:p w14:paraId="0B6C626E" w14:textId="77777777" w:rsidR="00CF4EA3" w:rsidRDefault="00CF4EA3" w:rsidP="00CF4EA3">
      <w:pPr>
        <w:contextualSpacing/>
      </w:pPr>
    </w:p>
    <w:p w14:paraId="5808D81F" w14:textId="77777777" w:rsidR="00CF4EA3" w:rsidRDefault="00CF4EA3" w:rsidP="00CF4EA3">
      <w:pPr>
        <w:contextualSpacing/>
      </w:pPr>
      <w:r>
        <w:t>Dear Committee,</w:t>
      </w:r>
    </w:p>
    <w:p w14:paraId="66580602" w14:textId="77777777" w:rsidR="00CF4EA3" w:rsidRPr="00C05E2C" w:rsidRDefault="00CF4EA3" w:rsidP="00CF4EA3">
      <w:pPr>
        <w:pStyle w:val="Heading1"/>
      </w:pPr>
      <w:r>
        <w:t>Mineral Resources and Other Legislation Amendment Bill 2026</w:t>
      </w:r>
    </w:p>
    <w:p w14:paraId="59EB7861" w14:textId="77777777" w:rsidR="00CF4EA3" w:rsidRPr="007E0F81" w:rsidRDefault="00CF4EA3" w:rsidP="00CF4EA3">
      <w:pPr>
        <w:keepLines w:val="0"/>
        <w:spacing w:before="0" w:after="160" w:line="278" w:lineRule="auto"/>
        <w:rPr>
          <w:rFonts w:eastAsia="Aptos" w:cs="Arial"/>
          <w:kern w:val="2"/>
          <w14:ligatures w14:val="standardContextual"/>
        </w:rPr>
      </w:pPr>
      <w:r w:rsidRPr="007E0F81">
        <w:rPr>
          <w:rFonts w:eastAsia="Aptos" w:cs="Arial"/>
          <w:kern w:val="2"/>
          <w14:ligatures w14:val="standardContextual"/>
        </w:rPr>
        <w:t xml:space="preserve">Thank you for the opportunity to provide a submission to the </w:t>
      </w:r>
      <w:r>
        <w:rPr>
          <w:rFonts w:eastAsia="Aptos" w:cs="Arial"/>
          <w:kern w:val="2"/>
          <w14:ligatures w14:val="standardContextual"/>
        </w:rPr>
        <w:t>Primary Industries and Resources Committee</w:t>
      </w:r>
      <w:r w:rsidRPr="007E0F81">
        <w:rPr>
          <w:rFonts w:eastAsia="Aptos" w:cs="Arial"/>
          <w:kern w:val="2"/>
          <w14:ligatures w14:val="standardContextual"/>
        </w:rPr>
        <w:t>'</w:t>
      </w:r>
      <w:r>
        <w:rPr>
          <w:rFonts w:eastAsia="Aptos" w:cs="Arial"/>
          <w:kern w:val="2"/>
          <w14:ligatures w14:val="standardContextual"/>
        </w:rPr>
        <w:t>s</w:t>
      </w:r>
      <w:r w:rsidRPr="007E0F81">
        <w:rPr>
          <w:rFonts w:eastAsia="Aptos" w:cs="Arial"/>
          <w:kern w:val="2"/>
          <w14:ligatures w14:val="standardContextual"/>
        </w:rPr>
        <w:t xml:space="preserve"> inquiry into the </w:t>
      </w:r>
      <w:r>
        <w:rPr>
          <w:rFonts w:eastAsia="Aptos" w:cs="Arial"/>
          <w:i/>
          <w:iCs/>
          <w:kern w:val="2"/>
          <w14:ligatures w14:val="standardContextual"/>
        </w:rPr>
        <w:t>Mineral Resources and Other Legislation Amendment Bill 2026</w:t>
      </w:r>
      <w:r w:rsidRPr="007E0F81">
        <w:rPr>
          <w:rFonts w:eastAsia="Aptos" w:cs="Arial"/>
          <w:kern w:val="2"/>
          <w14:ligatures w14:val="standardContextual"/>
        </w:rPr>
        <w:t xml:space="preserve"> (the Bill).</w:t>
      </w:r>
    </w:p>
    <w:p w14:paraId="39761288" w14:textId="77777777" w:rsidR="00CF4EA3" w:rsidRPr="007E0F81" w:rsidRDefault="00CF4EA3" w:rsidP="00CF4EA3">
      <w:pPr>
        <w:keepLines w:val="0"/>
        <w:spacing w:before="0" w:after="160" w:line="278" w:lineRule="auto"/>
        <w:rPr>
          <w:rFonts w:eastAsia="Aptos" w:cs="Arial"/>
          <w:kern w:val="2"/>
          <w14:ligatures w14:val="standardContextual"/>
        </w:rPr>
      </w:pPr>
      <w:r w:rsidRPr="007E0F81">
        <w:rPr>
          <w:rFonts w:eastAsia="Aptos" w:cs="Arial"/>
          <w:kern w:val="2"/>
          <w14:ligatures w14:val="standardContextual"/>
        </w:rPr>
        <w:t xml:space="preserve">The Queensland Human Rights Commission (the Commission) is an independent statutory body established under the </w:t>
      </w:r>
      <w:r w:rsidRPr="007E0F81">
        <w:rPr>
          <w:rFonts w:eastAsia="Aptos" w:cs="Arial"/>
          <w:i/>
          <w:iCs/>
          <w:kern w:val="2"/>
          <w14:ligatures w14:val="standardContextual"/>
        </w:rPr>
        <w:t>Anti-Discrimination Act 1991</w:t>
      </w:r>
      <w:r w:rsidRPr="007E0F81">
        <w:rPr>
          <w:rFonts w:eastAsia="Aptos" w:cs="Arial"/>
          <w:kern w:val="2"/>
          <w14:ligatures w14:val="standardContextual"/>
        </w:rPr>
        <w:t xml:space="preserve"> with functions under that Act and the </w:t>
      </w:r>
      <w:r w:rsidRPr="007E0F81">
        <w:rPr>
          <w:rFonts w:eastAsia="Aptos" w:cs="Arial"/>
          <w:i/>
          <w:iCs/>
          <w:kern w:val="2"/>
          <w14:ligatures w14:val="standardContextual"/>
        </w:rPr>
        <w:t>Human Rights Act 2019</w:t>
      </w:r>
      <w:r w:rsidRPr="007E0F81">
        <w:rPr>
          <w:rFonts w:eastAsia="Aptos" w:cs="Arial"/>
          <w:kern w:val="2"/>
          <w14:ligatures w14:val="standardContextual"/>
        </w:rPr>
        <w:t xml:space="preserve"> (Human Rights Act)</w:t>
      </w:r>
      <w:r>
        <w:rPr>
          <w:rFonts w:eastAsia="Aptos" w:cs="Arial"/>
          <w:kern w:val="2"/>
          <w14:ligatures w14:val="standardContextual"/>
        </w:rPr>
        <w:t xml:space="preserve"> including to </w:t>
      </w:r>
      <w:r w:rsidRPr="007E0F81">
        <w:rPr>
          <w:rFonts w:eastAsia="Aptos" w:cs="Arial"/>
          <w:kern w:val="2"/>
          <w14:ligatures w14:val="standardContextual"/>
        </w:rPr>
        <w:t>promote the understanding, acceptance and public discussion of human rights in Queensland.</w:t>
      </w:r>
    </w:p>
    <w:p w14:paraId="01B1B776" w14:textId="77777777" w:rsidR="00CF4EA3" w:rsidRPr="007E0F81" w:rsidRDefault="00CF4EA3" w:rsidP="00CF4EA3">
      <w:pPr>
        <w:keepLines w:val="0"/>
        <w:spacing w:before="0" w:after="160" w:line="278" w:lineRule="auto"/>
        <w:rPr>
          <w:rFonts w:eastAsia="Aptos" w:cs="Arial"/>
          <w:b/>
          <w:bCs/>
          <w:kern w:val="2"/>
          <w14:ligatures w14:val="standardContextual"/>
        </w:rPr>
      </w:pPr>
      <w:r w:rsidRPr="007E0F81">
        <w:rPr>
          <w:rFonts w:eastAsia="Aptos" w:cs="Arial"/>
          <w:b/>
          <w:bCs/>
          <w:kern w:val="2"/>
          <w14:ligatures w14:val="standardContextual"/>
        </w:rPr>
        <w:t>Summary</w:t>
      </w:r>
    </w:p>
    <w:p w14:paraId="19D7EB5B" w14:textId="77777777" w:rsidR="00CF4EA3" w:rsidRPr="007E0F81" w:rsidRDefault="00CF4EA3" w:rsidP="00CF4EA3">
      <w:pPr>
        <w:keepLines w:val="0"/>
        <w:spacing w:before="0" w:after="160" w:line="278" w:lineRule="auto"/>
        <w:rPr>
          <w:rFonts w:eastAsia="Aptos" w:cs="Arial"/>
          <w:kern w:val="2"/>
          <w14:ligatures w14:val="standardContextual"/>
        </w:rPr>
      </w:pPr>
      <w:r w:rsidRPr="007E0F81">
        <w:rPr>
          <w:rFonts w:eastAsia="Aptos" w:cs="Arial"/>
          <w:kern w:val="2"/>
          <w14:ligatures w14:val="standardContextual"/>
        </w:rPr>
        <w:t>The Commission acknowledges the Bill's</w:t>
      </w:r>
      <w:r>
        <w:rPr>
          <w:rFonts w:eastAsia="Aptos" w:cs="Arial"/>
          <w:kern w:val="2"/>
          <w14:ligatures w14:val="standardContextual"/>
        </w:rPr>
        <w:t xml:space="preserve"> </w:t>
      </w:r>
      <w:r w:rsidRPr="007E0F81">
        <w:rPr>
          <w:rFonts w:eastAsia="Aptos" w:cs="Arial"/>
          <w:kern w:val="2"/>
          <w14:ligatures w14:val="standardContextual"/>
        </w:rPr>
        <w:t xml:space="preserve">objective </w:t>
      </w:r>
      <w:r>
        <w:rPr>
          <w:rFonts w:eastAsia="Aptos" w:cs="Arial"/>
          <w:kern w:val="2"/>
          <w14:ligatures w14:val="standardContextual"/>
        </w:rPr>
        <w:t xml:space="preserve">is to create a more efficient framework for the assessment of mining lease </w:t>
      </w:r>
      <w:r w:rsidRPr="002D593E">
        <w:rPr>
          <w:rFonts w:eastAsia="Aptos" w:cs="Arial"/>
          <w:kern w:val="2"/>
          <w14:ligatures w14:val="standardContextual"/>
        </w:rPr>
        <w:t>applications (MLAs) and associated environmental authority applications (EAs).</w:t>
      </w:r>
    </w:p>
    <w:p w14:paraId="0B6CD276" w14:textId="77777777" w:rsidR="00CF4EA3" w:rsidRDefault="00CF4EA3" w:rsidP="00CF4EA3">
      <w:pPr>
        <w:keepLines w:val="0"/>
        <w:spacing w:before="0" w:after="160" w:line="278" w:lineRule="auto"/>
        <w:rPr>
          <w:rFonts w:eastAsia="Aptos" w:cs="Arial"/>
          <w:kern w:val="2"/>
          <w14:ligatures w14:val="standardContextual"/>
        </w:rPr>
      </w:pPr>
      <w:r w:rsidRPr="007E0F81">
        <w:rPr>
          <w:rFonts w:eastAsia="Aptos" w:cs="Arial"/>
          <w:kern w:val="2"/>
          <w14:ligatures w14:val="standardContextual"/>
        </w:rPr>
        <w:t>Consistent with its statutory role, the Commission does not take a position on the policy objectives underpinning the Bill. Rather, the Commission's comments are directed to aspects of the proposed legislative framework that have implications for the protection of human rig</w:t>
      </w:r>
      <w:permStart w:id="1320092613" w:edGrp="everyone"/>
      <w:permEnd w:id="1320092613"/>
      <w:r w:rsidRPr="007E0F81">
        <w:rPr>
          <w:rFonts w:eastAsia="Aptos" w:cs="Arial"/>
          <w:kern w:val="2"/>
          <w14:ligatures w14:val="standardContextual"/>
        </w:rPr>
        <w:t>hts.</w:t>
      </w:r>
    </w:p>
    <w:p w14:paraId="68D2BF86" w14:textId="77777777" w:rsidR="00CF4EA3" w:rsidRPr="007E0F81" w:rsidRDefault="00CF4EA3" w:rsidP="00CF4EA3">
      <w:pPr>
        <w:keepLines w:val="0"/>
        <w:spacing w:before="0" w:after="160" w:line="278" w:lineRule="auto"/>
        <w:rPr>
          <w:rFonts w:eastAsia="Aptos" w:cs="Arial"/>
          <w:kern w:val="2"/>
          <w14:ligatures w14:val="standardContextual"/>
        </w:rPr>
      </w:pPr>
      <w:r>
        <w:rPr>
          <w:rFonts w:eastAsiaTheme="minorEastAsia" w:cs="Arial"/>
          <w:szCs w:val="24"/>
        </w:rPr>
        <w:t>The B</w:t>
      </w:r>
      <w:r w:rsidRPr="005A50E9">
        <w:rPr>
          <w:rFonts w:eastAsiaTheme="minorEastAsia" w:cs="Arial"/>
          <w:szCs w:val="24"/>
        </w:rPr>
        <w:t xml:space="preserve">ill is the latest in a series of bills that have </w:t>
      </w:r>
      <w:r w:rsidRPr="001868D7">
        <w:rPr>
          <w:rFonts w:eastAsiaTheme="minorEastAsia" w:cs="Arial"/>
          <w:szCs w:val="24"/>
        </w:rPr>
        <w:t xml:space="preserve">recently been passed </w:t>
      </w:r>
      <w:r>
        <w:rPr>
          <w:rFonts w:eastAsiaTheme="minorEastAsia" w:cs="Arial"/>
          <w:szCs w:val="24"/>
        </w:rPr>
        <w:t xml:space="preserve">which are </w:t>
      </w:r>
      <w:r w:rsidRPr="001868D7">
        <w:rPr>
          <w:rFonts w:eastAsiaTheme="minorEastAsia" w:cs="Arial"/>
          <w:szCs w:val="24"/>
        </w:rPr>
        <w:t>aimed at accelerating resource, project</w:t>
      </w:r>
      <w:r>
        <w:rPr>
          <w:rFonts w:eastAsiaTheme="minorEastAsia" w:cs="Arial"/>
          <w:szCs w:val="24"/>
        </w:rPr>
        <w:t>,</w:t>
      </w:r>
      <w:r w:rsidRPr="001868D7">
        <w:rPr>
          <w:rFonts w:eastAsiaTheme="minorEastAsia" w:cs="Arial"/>
          <w:szCs w:val="24"/>
        </w:rPr>
        <w:t xml:space="preserve"> and development approvals in Queensland.</w:t>
      </w:r>
      <w:r w:rsidRPr="001868D7">
        <w:rPr>
          <w:rStyle w:val="FootnoteReference"/>
          <w:rFonts w:eastAsiaTheme="minorEastAsia" w:cs="Arial"/>
          <w:szCs w:val="24"/>
        </w:rPr>
        <w:footnoteReference w:id="1"/>
      </w:r>
    </w:p>
    <w:p w14:paraId="780A5C88" w14:textId="77777777" w:rsidR="00CF4EA3" w:rsidRPr="007E0F81" w:rsidRDefault="00CF4EA3" w:rsidP="00CF4EA3">
      <w:pPr>
        <w:keepLines w:val="0"/>
        <w:spacing w:before="0" w:after="160" w:line="278" w:lineRule="auto"/>
        <w:rPr>
          <w:rFonts w:eastAsia="Aptos" w:cs="Arial"/>
          <w:kern w:val="2"/>
          <w14:ligatures w14:val="standardContextual"/>
        </w:rPr>
      </w:pPr>
      <w:r w:rsidRPr="007E0F81">
        <w:rPr>
          <w:rFonts w:eastAsia="Aptos" w:cs="Arial"/>
          <w:kern w:val="2"/>
          <w14:ligatures w14:val="standardContextual"/>
        </w:rPr>
        <w:t xml:space="preserve">The Commission's observations </w:t>
      </w:r>
      <w:r>
        <w:rPr>
          <w:rFonts w:eastAsia="Aptos" w:cs="Arial"/>
          <w:kern w:val="2"/>
          <w14:ligatures w14:val="standardContextual"/>
        </w:rPr>
        <w:t xml:space="preserve">regarding the Bill </w:t>
      </w:r>
      <w:r w:rsidRPr="007E0F81">
        <w:rPr>
          <w:rFonts w:eastAsia="Aptos" w:cs="Arial"/>
          <w:kern w:val="2"/>
          <w14:ligatures w14:val="standardContextual"/>
        </w:rPr>
        <w:t>are limited to t</w:t>
      </w:r>
      <w:r>
        <w:rPr>
          <w:rFonts w:eastAsia="Aptos" w:cs="Arial"/>
          <w:kern w:val="2"/>
          <w14:ligatures w14:val="standardContextual"/>
        </w:rPr>
        <w:t>wo</w:t>
      </w:r>
      <w:r w:rsidRPr="007E0F81">
        <w:rPr>
          <w:rFonts w:eastAsia="Aptos" w:cs="Arial"/>
          <w:kern w:val="2"/>
          <w14:ligatures w14:val="standardContextual"/>
        </w:rPr>
        <w:t xml:space="preserve"> matters:</w:t>
      </w:r>
    </w:p>
    <w:p w14:paraId="408CB9FA" w14:textId="77777777" w:rsidR="00CF4EA3" w:rsidRPr="007E0F81" w:rsidRDefault="00CF4EA3" w:rsidP="00CF4EA3">
      <w:pPr>
        <w:keepLines w:val="0"/>
        <w:numPr>
          <w:ilvl w:val="0"/>
          <w:numId w:val="34"/>
        </w:numPr>
        <w:spacing w:before="0" w:after="160" w:line="278" w:lineRule="auto"/>
        <w:rPr>
          <w:rFonts w:eastAsia="Aptos" w:cs="Arial"/>
          <w:kern w:val="2"/>
          <w14:ligatures w14:val="standardContextual"/>
        </w:rPr>
      </w:pPr>
      <w:r>
        <w:rPr>
          <w:rFonts w:eastAsia="Aptos" w:cs="Arial"/>
          <w:kern w:val="2"/>
          <w14:ligatures w14:val="standardContextual"/>
        </w:rPr>
        <w:t>t</w:t>
      </w:r>
      <w:r w:rsidRPr="007E0F81">
        <w:rPr>
          <w:rFonts w:eastAsia="Aptos" w:cs="Arial"/>
          <w:kern w:val="2"/>
          <w14:ligatures w14:val="standardContextual"/>
        </w:rPr>
        <w:t>he</w:t>
      </w:r>
      <w:r>
        <w:rPr>
          <w:rFonts w:eastAsia="Aptos" w:cs="Arial"/>
          <w:kern w:val="2"/>
          <w14:ligatures w14:val="standardContextual"/>
        </w:rPr>
        <w:t xml:space="preserve"> proposal to restrict</w:t>
      </w:r>
      <w:r w:rsidRPr="00E62D10">
        <w:rPr>
          <w:rFonts w:eastAsia="Aptos" w:cs="Arial"/>
          <w:kern w:val="2"/>
          <w14:ligatures w14:val="standardContextual"/>
        </w:rPr>
        <w:t xml:space="preserve"> who can </w:t>
      </w:r>
      <w:r w:rsidRPr="005E7BCF">
        <w:rPr>
          <w:rFonts w:eastAsia="Aptos" w:cs="Arial"/>
          <w:kern w:val="2"/>
          <w14:ligatures w14:val="standardContextual"/>
        </w:rPr>
        <w:t>object to MLAs and for EAs to ‘eligible entities’; and</w:t>
      </w:r>
      <w:r>
        <w:rPr>
          <w:rFonts w:eastAsia="Aptos" w:cs="Arial"/>
          <w:kern w:val="2"/>
          <w14:ligatures w14:val="standardContextual"/>
        </w:rPr>
        <w:t xml:space="preserve"> </w:t>
      </w:r>
    </w:p>
    <w:p w14:paraId="71C78D4D" w14:textId="77777777" w:rsidR="00CF4EA3" w:rsidRDefault="00CF4EA3" w:rsidP="00CF4EA3">
      <w:pPr>
        <w:keepLines w:val="0"/>
        <w:numPr>
          <w:ilvl w:val="0"/>
          <w:numId w:val="34"/>
        </w:numPr>
        <w:spacing w:before="0" w:after="160" w:line="278" w:lineRule="auto"/>
        <w:rPr>
          <w:rFonts w:eastAsia="Aptos" w:cs="Arial"/>
          <w:kern w:val="2"/>
          <w14:ligatures w14:val="standardContextual"/>
        </w:rPr>
      </w:pPr>
      <w:r>
        <w:rPr>
          <w:rFonts w:eastAsia="Aptos" w:cs="Arial"/>
          <w:kern w:val="2"/>
          <w14:ligatures w14:val="standardContextual"/>
        </w:rPr>
        <w:t xml:space="preserve">the proposed restriction on objections proceeding to the Land Court. </w:t>
      </w:r>
    </w:p>
    <w:p w14:paraId="0706FB39" w14:textId="77777777" w:rsidR="00CF4EA3" w:rsidRDefault="00CF4EA3" w:rsidP="00CF4EA3">
      <w:pPr>
        <w:keepLines w:val="0"/>
        <w:spacing w:before="0" w:after="160" w:line="278" w:lineRule="auto"/>
        <w:rPr>
          <w:rFonts w:eastAsia="Aptos" w:cs="Arial"/>
          <w:kern w:val="2"/>
          <w14:ligatures w14:val="standardContextual"/>
        </w:rPr>
      </w:pPr>
      <w:r w:rsidRPr="007E0F81">
        <w:rPr>
          <w:rFonts w:eastAsia="Aptos" w:cs="Arial"/>
          <w:kern w:val="2"/>
          <w14:ligatures w14:val="standardContextual"/>
        </w:rPr>
        <w:t>The Commission recommends that the Committee consider:</w:t>
      </w:r>
    </w:p>
    <w:p w14:paraId="6F4F7469" w14:textId="1AD5616B" w:rsidR="00CF4EA3" w:rsidRPr="00CF4EA3" w:rsidRDefault="00CF4EA3" w:rsidP="00CF4EA3">
      <w:pPr>
        <w:pStyle w:val="ListParagraph"/>
        <w:keepLines w:val="0"/>
        <w:numPr>
          <w:ilvl w:val="0"/>
          <w:numId w:val="37"/>
        </w:numPr>
        <w:spacing w:before="0" w:after="160" w:line="278" w:lineRule="auto"/>
        <w:rPr>
          <w:rFonts w:eastAsia="Aptos" w:cs="Arial"/>
          <w:kern w:val="2"/>
          <w14:ligatures w14:val="standardContextual"/>
        </w:rPr>
      </w:pPr>
      <w:r>
        <w:lastRenderedPageBreak/>
        <w:t>whether the meaning o</w:t>
      </w:r>
      <w:r w:rsidRPr="008A5BBC">
        <w:t>f</w:t>
      </w:r>
      <w:r>
        <w:t xml:space="preserve"> ‘affected person’</w:t>
      </w:r>
      <w:r w:rsidRPr="008A5BBC">
        <w:t xml:space="preserve"> should be expanded to </w:t>
      </w:r>
      <w:r w:rsidRPr="00B60298">
        <w:t>expressly</w:t>
      </w:r>
      <w:r>
        <w:t xml:space="preserve"> </w:t>
      </w:r>
      <w:r w:rsidRPr="008A5BBC">
        <w:t xml:space="preserve">capture all Aboriginal and Torres Strait Islander peoples with relevant interests, </w:t>
      </w:r>
      <w:r>
        <w:t xml:space="preserve">to better protect both the </w:t>
      </w:r>
      <w:r w:rsidRPr="00F853B1">
        <w:t>cultural rights of Aboriginal and Torres Strait Islander peoples and the</w:t>
      </w:r>
      <w:r>
        <w:t xml:space="preserve">ir </w:t>
      </w:r>
      <w:r w:rsidRPr="00F853B1">
        <w:t>right to equality before the law</w:t>
      </w:r>
      <w:r>
        <w:t xml:space="preserve"> </w:t>
      </w:r>
      <w:r w:rsidRPr="00CF4EA3">
        <w:rPr>
          <w:rFonts w:eastAsia="Aptos" w:cs="Arial"/>
          <w:kern w:val="2"/>
          <w14:ligatures w14:val="standardContextual"/>
        </w:rPr>
        <w:t>(</w:t>
      </w:r>
      <w:r w:rsidRPr="00CF4EA3">
        <w:rPr>
          <w:rFonts w:eastAsia="Aptos" w:cs="Arial"/>
          <w:b/>
          <w:bCs/>
          <w:kern w:val="2"/>
          <w14:ligatures w14:val="standardContextual"/>
        </w:rPr>
        <w:t>Recommendation 1</w:t>
      </w:r>
      <w:r w:rsidRPr="00CF4EA3">
        <w:rPr>
          <w:rFonts w:eastAsia="Aptos" w:cs="Arial"/>
          <w:kern w:val="2"/>
          <w14:ligatures w14:val="standardContextual"/>
        </w:rPr>
        <w:t>).</w:t>
      </w:r>
    </w:p>
    <w:p w14:paraId="5631D495" w14:textId="77777777" w:rsidR="00CF4EA3" w:rsidRPr="007E0F81" w:rsidRDefault="00CF4EA3" w:rsidP="00CF4EA3">
      <w:pPr>
        <w:keepLines w:val="0"/>
        <w:numPr>
          <w:ilvl w:val="1"/>
          <w:numId w:val="35"/>
        </w:numPr>
        <w:spacing w:before="0" w:after="160" w:line="278" w:lineRule="auto"/>
        <w:rPr>
          <w:rFonts w:eastAsia="Aptos" w:cs="Arial"/>
          <w:kern w:val="2"/>
          <w14:ligatures w14:val="standardContextual"/>
        </w:rPr>
      </w:pPr>
      <w:r>
        <w:rPr>
          <w:rFonts w:eastAsia="Aptos" w:cs="Arial"/>
          <w:kern w:val="2"/>
          <w14:ligatures w14:val="standardContextual"/>
        </w:rPr>
        <w:t xml:space="preserve">alternatively, whether the Bill should be amended to include a legislative note to the definition of ‘affected person’ which makes clear the definition includes Aboriginal and Torres Strait Islander peoples who hold exclusive native title in the defined eligibility zone. </w:t>
      </w:r>
      <w:r w:rsidRPr="007E0F81">
        <w:rPr>
          <w:rFonts w:eastAsia="Aptos" w:cs="Arial"/>
          <w:kern w:val="2"/>
          <w14:ligatures w14:val="standardContextual"/>
        </w:rPr>
        <w:t>(</w:t>
      </w:r>
      <w:r w:rsidRPr="007E0F81">
        <w:rPr>
          <w:rFonts w:eastAsia="Aptos" w:cs="Arial"/>
          <w:b/>
          <w:bCs/>
          <w:kern w:val="2"/>
          <w14:ligatures w14:val="standardContextual"/>
        </w:rPr>
        <w:t>Recommendation 1</w:t>
      </w:r>
      <w:r>
        <w:rPr>
          <w:rFonts w:eastAsia="Aptos" w:cs="Arial"/>
          <w:b/>
          <w:bCs/>
          <w:kern w:val="2"/>
          <w14:ligatures w14:val="standardContextual"/>
        </w:rPr>
        <w:t>A</w:t>
      </w:r>
      <w:r w:rsidRPr="007E0F81">
        <w:rPr>
          <w:rFonts w:eastAsia="Aptos" w:cs="Arial"/>
          <w:kern w:val="2"/>
          <w14:ligatures w14:val="standardContextual"/>
        </w:rPr>
        <w:t>)</w:t>
      </w:r>
      <w:r>
        <w:rPr>
          <w:rFonts w:eastAsia="Aptos" w:cs="Arial"/>
          <w:kern w:val="2"/>
          <w14:ligatures w14:val="standardContextual"/>
        </w:rPr>
        <w:t>.</w:t>
      </w:r>
    </w:p>
    <w:p w14:paraId="50B53C75" w14:textId="77777777" w:rsidR="00CF4EA3" w:rsidRDefault="00CF4EA3" w:rsidP="00CF4EA3">
      <w:pPr>
        <w:keepLines w:val="0"/>
        <w:numPr>
          <w:ilvl w:val="0"/>
          <w:numId w:val="35"/>
        </w:numPr>
        <w:spacing w:before="0" w:after="160" w:line="278" w:lineRule="auto"/>
        <w:rPr>
          <w:rFonts w:eastAsia="Aptos" w:cs="Arial"/>
          <w:kern w:val="2"/>
          <w14:ligatures w14:val="standardContextual"/>
        </w:rPr>
      </w:pPr>
      <w:r>
        <w:rPr>
          <w:rFonts w:eastAsia="Aptos" w:cs="Arial"/>
          <w:kern w:val="2"/>
          <w14:ligatures w14:val="standardContextual"/>
        </w:rPr>
        <w:t xml:space="preserve">rather than restricting objections proceedings to the Land </w:t>
      </w:r>
      <w:r w:rsidRPr="001A6E46">
        <w:rPr>
          <w:rFonts w:eastAsia="Aptos" w:cs="Arial"/>
          <w:kern w:val="2"/>
          <w14:ligatures w14:val="standardContextual"/>
        </w:rPr>
        <w:t>Court</w:t>
      </w:r>
      <w:r>
        <w:rPr>
          <w:rFonts w:eastAsia="Aptos" w:cs="Arial"/>
          <w:kern w:val="2"/>
          <w14:ligatures w14:val="standardContextual"/>
        </w:rPr>
        <w:t>,</w:t>
      </w:r>
      <w:r w:rsidRPr="00FC4F31">
        <w:rPr>
          <w:rFonts w:eastAsia="Aptos" w:cs="Arial"/>
          <w:kern w:val="2"/>
          <w14:ligatures w14:val="standardContextual"/>
        </w:rPr>
        <w:t xml:space="preserve"> </w:t>
      </w:r>
      <w:r w:rsidRPr="001A6E46">
        <w:rPr>
          <w:rFonts w:eastAsia="Aptos" w:cs="Arial"/>
          <w:kern w:val="2"/>
          <w14:ligatures w14:val="standardContextual"/>
        </w:rPr>
        <w:t>whether</w:t>
      </w:r>
      <w:r>
        <w:rPr>
          <w:rFonts w:eastAsia="Aptos" w:cs="Arial"/>
          <w:kern w:val="2"/>
          <w14:ligatures w14:val="standardContextual"/>
        </w:rPr>
        <w:t xml:space="preserve"> maintaining the current objections process but providing further guidance to the Land Court on when hearings may be appropriately dealt with on the papers, would be equally as effective in achieving the aim of a more efficient framework </w:t>
      </w:r>
      <w:r w:rsidRPr="007E0F81">
        <w:rPr>
          <w:rFonts w:eastAsia="Aptos" w:cs="Arial"/>
          <w:kern w:val="2"/>
          <w14:ligatures w14:val="standardContextual"/>
        </w:rPr>
        <w:t>(</w:t>
      </w:r>
      <w:r w:rsidRPr="007E0F81">
        <w:rPr>
          <w:rFonts w:eastAsia="Aptos" w:cs="Arial"/>
          <w:b/>
          <w:bCs/>
          <w:kern w:val="2"/>
          <w14:ligatures w14:val="standardContextual"/>
        </w:rPr>
        <w:t>Recommendation 2</w:t>
      </w:r>
      <w:r w:rsidRPr="007E0F81">
        <w:rPr>
          <w:rFonts w:eastAsia="Aptos" w:cs="Arial"/>
          <w:kern w:val="2"/>
          <w14:ligatures w14:val="standardContextual"/>
        </w:rPr>
        <w:t>).</w:t>
      </w:r>
    </w:p>
    <w:p w14:paraId="53DD36A9" w14:textId="77777777" w:rsidR="00CF4EA3" w:rsidRPr="007E0F81" w:rsidRDefault="00CF4EA3" w:rsidP="00CF4EA3">
      <w:pPr>
        <w:keepLines w:val="0"/>
        <w:spacing w:before="0" w:after="160" w:line="278" w:lineRule="auto"/>
        <w:rPr>
          <w:rFonts w:eastAsia="Aptos" w:cs="Arial"/>
          <w:b/>
          <w:bCs/>
          <w:kern w:val="2"/>
          <w14:ligatures w14:val="standardContextual"/>
        </w:rPr>
      </w:pPr>
      <w:r>
        <w:rPr>
          <w:rFonts w:eastAsia="Aptos" w:cs="Arial"/>
          <w:b/>
          <w:bCs/>
          <w:kern w:val="2"/>
          <w14:ligatures w14:val="standardContextual"/>
        </w:rPr>
        <w:t xml:space="preserve">Proposed restrictions on who can </w:t>
      </w:r>
      <w:r w:rsidRPr="00E0020B">
        <w:rPr>
          <w:rFonts w:eastAsia="Aptos" w:cs="Arial"/>
          <w:b/>
          <w:bCs/>
          <w:kern w:val="2"/>
          <w14:ligatures w14:val="standardContextual"/>
        </w:rPr>
        <w:t>object to MLAs and EAs</w:t>
      </w:r>
      <w:r>
        <w:rPr>
          <w:rFonts w:eastAsia="Aptos" w:cs="Arial"/>
          <w:b/>
          <w:bCs/>
          <w:kern w:val="2"/>
          <w14:ligatures w14:val="standardContextual"/>
        </w:rPr>
        <w:t xml:space="preserve"> </w:t>
      </w:r>
    </w:p>
    <w:p w14:paraId="6886C949" w14:textId="77777777" w:rsidR="00CF4EA3" w:rsidRDefault="00CF4EA3" w:rsidP="00CF4EA3">
      <w:pPr>
        <w:keepLines w:val="0"/>
        <w:spacing w:before="0" w:after="160" w:line="278" w:lineRule="auto"/>
        <w:rPr>
          <w:rFonts w:eastAsia="Aptos" w:cs="Arial"/>
          <w:kern w:val="2"/>
          <w14:ligatures w14:val="standardContextual"/>
        </w:rPr>
      </w:pPr>
      <w:r w:rsidRPr="007E0F81">
        <w:rPr>
          <w:rFonts w:eastAsia="Aptos" w:cs="Arial"/>
          <w:kern w:val="2"/>
          <w14:ligatures w14:val="standardContextual"/>
        </w:rPr>
        <w:t>The Bill proposes to</w:t>
      </w:r>
      <w:r>
        <w:rPr>
          <w:rFonts w:eastAsia="Aptos" w:cs="Arial"/>
          <w:kern w:val="2"/>
          <w14:ligatures w14:val="standardContextual"/>
        </w:rPr>
        <w:t xml:space="preserve"> restrict </w:t>
      </w:r>
      <w:r w:rsidRPr="00E0020B">
        <w:rPr>
          <w:rFonts w:eastAsia="Aptos" w:cs="Arial"/>
          <w:kern w:val="2"/>
          <w14:ligatures w14:val="standardContextual"/>
        </w:rPr>
        <w:t>objectors to MLAs and EAs to ‘eligible entities’</w:t>
      </w:r>
      <w:r>
        <w:rPr>
          <w:rFonts w:eastAsia="Aptos" w:cs="Arial"/>
          <w:kern w:val="2"/>
          <w14:ligatures w14:val="standardContextual"/>
        </w:rPr>
        <w:t>. An ‘eligible entity’ will be one which</w:t>
      </w:r>
      <w:r w:rsidRPr="00E0020B">
        <w:rPr>
          <w:rFonts w:eastAsia="Aptos" w:cs="Arial"/>
          <w:kern w:val="2"/>
          <w14:ligatures w14:val="standardContextual"/>
        </w:rPr>
        <w:t xml:space="preserve"> comprises ‘affected persons’ or owners or occupiers of land within a defined eligibility zone of 125km (being the area outside the boundary of the ML). </w:t>
      </w:r>
    </w:p>
    <w:p w14:paraId="15E4D1D6" w14:textId="77777777" w:rsidR="00CF4EA3" w:rsidRDefault="00CF4EA3" w:rsidP="00CF4EA3">
      <w:pPr>
        <w:keepLines w:val="0"/>
        <w:spacing w:before="0" w:after="160" w:line="278" w:lineRule="auto"/>
        <w:rPr>
          <w:rFonts w:eastAsia="Aptos" w:cs="Arial"/>
          <w:kern w:val="2"/>
          <w14:ligatures w14:val="standardContextual"/>
        </w:rPr>
      </w:pPr>
      <w:r w:rsidRPr="00E0020B">
        <w:rPr>
          <w:rFonts w:eastAsia="Aptos" w:cs="Arial"/>
          <w:kern w:val="2"/>
          <w14:ligatures w14:val="standardContextual"/>
        </w:rPr>
        <w:t>While</w:t>
      </w:r>
      <w:r>
        <w:rPr>
          <w:rFonts w:eastAsia="Aptos" w:cs="Arial"/>
          <w:kern w:val="2"/>
          <w14:ligatures w14:val="standardContextual"/>
        </w:rPr>
        <w:t xml:space="preserve"> exclusive native title holders are not listed in the definition of ‘affected person’, the Explanatory Notes for the Bill provides that s 10 of the </w:t>
      </w:r>
      <w:r>
        <w:rPr>
          <w:rFonts w:eastAsia="Aptos" w:cs="Arial"/>
          <w:i/>
          <w:iCs/>
          <w:kern w:val="2"/>
          <w14:ligatures w14:val="standardContextual"/>
        </w:rPr>
        <w:t xml:space="preserve">Racial Discrimination Act 1975 </w:t>
      </w:r>
      <w:r>
        <w:rPr>
          <w:rFonts w:eastAsia="Aptos" w:cs="Arial"/>
          <w:kern w:val="2"/>
          <w14:ligatures w14:val="standardContextual"/>
        </w:rPr>
        <w:t>(Cth) requires for the definition to be interpreted as including holders of exclusive native title.</w:t>
      </w:r>
      <w:r>
        <w:rPr>
          <w:rStyle w:val="FootnoteReference"/>
          <w:rFonts w:eastAsia="Aptos" w:cs="Arial"/>
          <w:kern w:val="2"/>
          <w14:ligatures w14:val="standardContextual"/>
        </w:rPr>
        <w:footnoteReference w:id="2"/>
      </w:r>
      <w:r>
        <w:rPr>
          <w:rFonts w:eastAsia="Aptos" w:cs="Arial"/>
          <w:kern w:val="2"/>
          <w14:ligatures w14:val="standardContextual"/>
        </w:rPr>
        <w:t xml:space="preserve"> However, this interpretation is not outlined within the Bill itself.  </w:t>
      </w:r>
    </w:p>
    <w:p w14:paraId="0652A9D4" w14:textId="77777777" w:rsidR="00CF4EA3" w:rsidRPr="007E0F81" w:rsidRDefault="00CF4EA3" w:rsidP="00CF4EA3">
      <w:pPr>
        <w:keepLines w:val="0"/>
        <w:spacing w:before="0" w:after="160" w:line="278" w:lineRule="auto"/>
        <w:rPr>
          <w:rFonts w:eastAsia="Aptos" w:cs="Arial"/>
        </w:rPr>
      </w:pPr>
      <w:r>
        <w:rPr>
          <w:rFonts w:eastAsia="Aptos" w:cs="Arial"/>
          <w:kern w:val="2"/>
          <w14:ligatures w14:val="standardContextual"/>
        </w:rPr>
        <w:t>This</w:t>
      </w:r>
      <w:r w:rsidRPr="007E0F81">
        <w:rPr>
          <w:rFonts w:eastAsia="Aptos" w:cs="Arial"/>
          <w:kern w:val="2"/>
          <w14:ligatures w14:val="standardContextual"/>
        </w:rPr>
        <w:t xml:space="preserve"> </w:t>
      </w:r>
      <w:r>
        <w:rPr>
          <w:rFonts w:eastAsia="Aptos" w:cs="Arial"/>
          <w:kern w:val="2"/>
          <w14:ligatures w14:val="standardContextual"/>
        </w:rPr>
        <w:t xml:space="preserve">narrow interpretation of ‘affected person’ </w:t>
      </w:r>
      <w:r w:rsidRPr="25A9CF1D">
        <w:rPr>
          <w:rFonts w:eastAsia="Aptos" w:cs="Arial"/>
        </w:rPr>
        <w:t>may have implications for Aboriginal and Torres Strait Islander peoples and warrants consideration.</w:t>
      </w:r>
    </w:p>
    <w:p w14:paraId="2C49EE80" w14:textId="77777777" w:rsidR="00CF4EA3" w:rsidRDefault="00CF4EA3" w:rsidP="00CF4EA3">
      <w:pPr>
        <w:keepLines w:val="0"/>
        <w:spacing w:before="0" w:after="160" w:line="278" w:lineRule="auto"/>
        <w:rPr>
          <w:rFonts w:eastAsiaTheme="minorEastAsia" w:cs="Arial"/>
        </w:rPr>
      </w:pPr>
      <w:r w:rsidRPr="25A9CF1D">
        <w:rPr>
          <w:rFonts w:eastAsiaTheme="minorEastAsia" w:cs="Arial"/>
        </w:rPr>
        <w:t>Section 28</w:t>
      </w:r>
      <w:r>
        <w:rPr>
          <w:rFonts w:eastAsiaTheme="minorEastAsia" w:cs="Arial"/>
        </w:rPr>
        <w:t>,</w:t>
      </w:r>
      <w:r w:rsidRPr="25A9CF1D">
        <w:rPr>
          <w:rFonts w:eastAsiaTheme="minorEastAsia" w:cs="Arial"/>
        </w:rPr>
        <w:t xml:space="preserve"> Human R</w:t>
      </w:r>
      <w:r>
        <w:rPr>
          <w:rFonts w:eastAsiaTheme="minorEastAsia" w:cs="Arial"/>
        </w:rPr>
        <w:t>i</w:t>
      </w:r>
      <w:r w:rsidRPr="25A9CF1D">
        <w:rPr>
          <w:rFonts w:eastAsiaTheme="minorEastAsia" w:cs="Arial"/>
        </w:rPr>
        <w:t>ghts Act protects the distinct cultural rights held by Aboriginal and Torres Strait Islander peoples.</w:t>
      </w:r>
      <w:r w:rsidRPr="25A9CF1D">
        <w:rPr>
          <w:rStyle w:val="FootnoteReference"/>
          <w:rFonts w:eastAsiaTheme="minorEastAsia" w:cs="Arial"/>
        </w:rPr>
        <w:footnoteReference w:id="3"/>
      </w:r>
      <w:r w:rsidRPr="25A9CF1D">
        <w:rPr>
          <w:rFonts w:eastAsiaTheme="minorEastAsia" w:cs="Arial"/>
        </w:rPr>
        <w:t xml:space="preserve"> In particular, section 28(2)(d)-(e) provides the entitlement to not be denied the right to maintain and strengthen the distinctive spiritual, material and economic relationship with the land with which they have a connection and the right to conserve and protect the environment. </w:t>
      </w:r>
    </w:p>
    <w:p w14:paraId="2B4F7F17" w14:textId="77777777" w:rsidR="00CF4EA3" w:rsidRDefault="00CF4EA3" w:rsidP="00CF4EA3">
      <w:pPr>
        <w:keepLines w:val="0"/>
        <w:spacing w:before="0" w:after="160" w:line="278" w:lineRule="auto"/>
        <w:rPr>
          <w:rFonts w:eastAsiaTheme="minorEastAsia" w:cs="Arial"/>
        </w:rPr>
      </w:pPr>
      <w:r>
        <w:rPr>
          <w:rFonts w:eastAsiaTheme="minorEastAsia" w:cs="Arial"/>
        </w:rPr>
        <w:t xml:space="preserve">This connection is not dependent on residency through notions such </w:t>
      </w:r>
      <w:r w:rsidRPr="00546DAB">
        <w:rPr>
          <w:rFonts w:eastAsiaTheme="minorEastAsia" w:cs="Arial"/>
        </w:rPr>
        <w:t>as ownership or occupation.</w:t>
      </w:r>
      <w:r w:rsidRPr="00546DAB">
        <w:rPr>
          <w:rStyle w:val="FootnoteReference"/>
          <w:rFonts w:eastAsiaTheme="minorEastAsia" w:cs="Arial"/>
        </w:rPr>
        <w:footnoteReference w:id="4"/>
      </w:r>
      <w:r>
        <w:rPr>
          <w:rFonts w:eastAsiaTheme="minorEastAsia" w:cs="Arial"/>
        </w:rPr>
        <w:t xml:space="preserve"> It is also not dependent on whether native title is held by Aboriginal and Torres Strait Islander peoples (including whether the native title that is held is exclusive or non-exclusive). The rights protected by section 28 of the Human Rights Act are broader than what is bestowed on native title holders.</w:t>
      </w:r>
      <w:r>
        <w:rPr>
          <w:rStyle w:val="FootnoteReference"/>
          <w:rFonts w:eastAsiaTheme="minorEastAsia" w:cs="Arial"/>
        </w:rPr>
        <w:footnoteReference w:id="5"/>
      </w:r>
      <w:r>
        <w:rPr>
          <w:rFonts w:eastAsiaTheme="minorEastAsia" w:cs="Arial"/>
        </w:rPr>
        <w:t xml:space="preserve">   </w:t>
      </w:r>
    </w:p>
    <w:p w14:paraId="23CB5FFC" w14:textId="77777777" w:rsidR="00CF4EA3" w:rsidRPr="002F6F05" w:rsidRDefault="00CF4EA3" w:rsidP="00CF4EA3">
      <w:pPr>
        <w:keepLines w:val="0"/>
        <w:spacing w:after="120"/>
      </w:pPr>
      <w:r w:rsidRPr="00CF7233">
        <w:rPr>
          <w:rFonts w:eastAsiaTheme="minorEastAsia" w:cs="Arial"/>
        </w:rPr>
        <w:t>By way of example, the Wangan and Jagalingou People have been found to not hold native</w:t>
      </w:r>
      <w:r>
        <w:t xml:space="preserve"> title in relation to the land or waters including the Doongmabulla Springs,</w:t>
      </w:r>
      <w:r>
        <w:rPr>
          <w:rStyle w:val="FootnoteReference"/>
        </w:rPr>
        <w:footnoteReference w:id="6"/>
      </w:r>
      <w:r>
        <w:t xml:space="preserve"> but may nevertheless hold cultural rights in relation to the Springs under section 28 of the Human Rights Act (whether they do is a matter of fact which is still before the courts).</w:t>
      </w:r>
      <w:r>
        <w:rPr>
          <w:rStyle w:val="FootnoteReference"/>
        </w:rPr>
        <w:footnoteReference w:id="7"/>
      </w:r>
      <w:r>
        <w:t xml:space="preserve"> The current narrow interpretation of ‘affected </w:t>
      </w:r>
      <w:r>
        <w:lastRenderedPageBreak/>
        <w:t>person’</w:t>
      </w:r>
      <w:r w:rsidRPr="008A0040">
        <w:t xml:space="preserve">, </w:t>
      </w:r>
      <w:r>
        <w:t>would operate to preclude the</w:t>
      </w:r>
      <w:r w:rsidRPr="008A0040">
        <w:t xml:space="preserve"> Wangan and Jagalingou People from objecting to MLAs</w:t>
      </w:r>
      <w:r>
        <w:t xml:space="preserve"> or EAs on land which holds cultural importance to them.</w:t>
      </w:r>
    </w:p>
    <w:p w14:paraId="4C2E1D17" w14:textId="77777777" w:rsidR="00CF4EA3" w:rsidRDefault="00CF4EA3" w:rsidP="00CF4EA3">
      <w:pPr>
        <w:keepLines w:val="0"/>
        <w:spacing w:after="120"/>
      </w:pPr>
      <w:r>
        <w:t>Further, i</w:t>
      </w:r>
      <w:r w:rsidRPr="002F6F05">
        <w:t xml:space="preserve">n </w:t>
      </w:r>
      <w:r w:rsidRPr="25A9CF1D">
        <w:rPr>
          <w:i/>
          <w:iCs/>
        </w:rPr>
        <w:t>Ailsa Roy v Australia</w:t>
      </w:r>
      <w:r w:rsidRPr="00A02F13">
        <w:t>,</w:t>
      </w:r>
      <w:r w:rsidRPr="00A02F13">
        <w:rPr>
          <w:rStyle w:val="FootnoteReference"/>
        </w:rPr>
        <w:footnoteReference w:id="8"/>
      </w:r>
      <w:r w:rsidRPr="25A9CF1D">
        <w:rPr>
          <w:i/>
          <w:iCs/>
        </w:rPr>
        <w:t xml:space="preserve"> </w:t>
      </w:r>
      <w:r w:rsidRPr="002F6F05">
        <w:t xml:space="preserve">an elder of the Wunna Nyiyaparli, was unable to participate in native title proceedings over traditional lands which were ultimately granted to another Indigenous </w:t>
      </w:r>
      <w:r>
        <w:t>p</w:t>
      </w:r>
      <w:r w:rsidRPr="002F6F05">
        <w:t>eople, empowering them to negotiate mining concessions.</w:t>
      </w:r>
      <w:r>
        <w:t xml:space="preserve"> Consequently,</w:t>
      </w:r>
      <w:r w:rsidRPr="002F6F05">
        <w:t xml:space="preserve"> it </w:t>
      </w:r>
      <w:r>
        <w:t>was</w:t>
      </w:r>
      <w:r w:rsidRPr="002F6F05">
        <w:t xml:space="preserve"> impossible for the Wunna Nyiyaparli to keep looking after culturally important areas on their traditional lands. </w:t>
      </w:r>
      <w:r w:rsidRPr="00B35F63">
        <w:t>The</w:t>
      </w:r>
      <w:r>
        <w:t xml:space="preserve"> Human Rights</w:t>
      </w:r>
      <w:r w:rsidRPr="00B35F63">
        <w:t xml:space="preserve"> </w:t>
      </w:r>
      <w:r>
        <w:t xml:space="preserve">Committee considered the State party </w:t>
      </w:r>
      <w:r w:rsidRPr="002A618D">
        <w:t xml:space="preserve">should review the mining concessions </w:t>
      </w:r>
      <w:r>
        <w:t xml:space="preserve">that had </w:t>
      </w:r>
      <w:r w:rsidRPr="002A618D">
        <w:t xml:space="preserve">already </w:t>
      </w:r>
      <w:r>
        <w:t xml:space="preserve">been </w:t>
      </w:r>
      <w:r w:rsidRPr="002A618D">
        <w:t>granted, to evaluate whether modification</w:t>
      </w:r>
      <w:r>
        <w:t>s</w:t>
      </w:r>
      <w:r w:rsidRPr="002A618D">
        <w:t xml:space="preserve"> </w:t>
      </w:r>
      <w:r>
        <w:t xml:space="preserve">were </w:t>
      </w:r>
      <w:r w:rsidRPr="002A618D">
        <w:t>necessary to preserve the survival of the Wunna Nyiyaparli.</w:t>
      </w:r>
      <w:r w:rsidRPr="00A02F13">
        <w:rPr>
          <w:rStyle w:val="FootnoteReference"/>
        </w:rPr>
        <w:footnoteReference w:id="9"/>
      </w:r>
      <w:r w:rsidRPr="002A618D">
        <w:t xml:space="preserve"> </w:t>
      </w:r>
    </w:p>
    <w:p w14:paraId="201ECD54" w14:textId="77777777" w:rsidR="00CF4EA3" w:rsidRPr="008B66C5" w:rsidRDefault="00CF4EA3" w:rsidP="00CF4EA3">
      <w:pPr>
        <w:keepLines w:val="0"/>
        <w:spacing w:before="0" w:after="160" w:line="278" w:lineRule="auto"/>
      </w:pPr>
      <w:r w:rsidRPr="007E0F81">
        <w:rPr>
          <w:rFonts w:eastAsia="Aptos" w:cs="Arial"/>
          <w:kern w:val="2"/>
          <w14:ligatures w14:val="standardContextual"/>
        </w:rPr>
        <w:t xml:space="preserve">The </w:t>
      </w:r>
      <w:r>
        <w:rPr>
          <w:rFonts w:eastAsia="Aptos" w:cs="Arial"/>
          <w:kern w:val="2"/>
          <w14:ligatures w14:val="standardContextual"/>
        </w:rPr>
        <w:t>Committee may wish to consider whether</w:t>
      </w:r>
      <w:r w:rsidRPr="007E0F81">
        <w:rPr>
          <w:rFonts w:eastAsia="Aptos" w:cs="Arial"/>
          <w:kern w:val="2"/>
          <w14:ligatures w14:val="standardContextual"/>
        </w:rPr>
        <w:t xml:space="preserve"> </w:t>
      </w:r>
      <w:r>
        <w:rPr>
          <w:rFonts w:eastAsia="Aptos" w:cs="Arial"/>
          <w:kern w:val="2"/>
          <w14:ligatures w14:val="standardContextual"/>
        </w:rPr>
        <w:t xml:space="preserve">expanding the </w:t>
      </w:r>
      <w:r>
        <w:t>mea</w:t>
      </w:r>
      <w:r w:rsidRPr="00E01440">
        <w:t>ning of ‘affected</w:t>
      </w:r>
      <w:r>
        <w:t xml:space="preserve"> person’ </w:t>
      </w:r>
      <w:r w:rsidRPr="00F853B1">
        <w:t xml:space="preserve">to </w:t>
      </w:r>
      <w:r>
        <w:t xml:space="preserve">expressly </w:t>
      </w:r>
      <w:r w:rsidRPr="00F853B1">
        <w:t xml:space="preserve">capture all Aboriginal and Torres Strait Islander peoples </w:t>
      </w:r>
      <w:r>
        <w:t xml:space="preserve">with relevant interests would better protect both the </w:t>
      </w:r>
      <w:r w:rsidRPr="00F853B1">
        <w:t>cultural rights of Aboriginal and Torres Strait Islander peoples and the right to equality before the law</w:t>
      </w:r>
      <w:r>
        <w:t xml:space="preserve"> </w:t>
      </w:r>
      <w:r w:rsidRPr="007E0F81">
        <w:rPr>
          <w:rFonts w:eastAsia="Aptos" w:cs="Arial"/>
          <w:kern w:val="2"/>
          <w14:ligatures w14:val="standardContextual"/>
        </w:rPr>
        <w:t>(</w:t>
      </w:r>
      <w:r w:rsidRPr="007E0F81">
        <w:rPr>
          <w:rFonts w:eastAsia="Aptos" w:cs="Arial"/>
          <w:b/>
          <w:bCs/>
          <w:kern w:val="2"/>
          <w14:ligatures w14:val="standardContextual"/>
        </w:rPr>
        <w:t>Recommendation 1</w:t>
      </w:r>
      <w:r w:rsidRPr="007E0F81">
        <w:rPr>
          <w:rFonts w:eastAsia="Aptos" w:cs="Arial"/>
          <w:kern w:val="2"/>
          <w14:ligatures w14:val="standardContextual"/>
        </w:rPr>
        <w:t>).</w:t>
      </w:r>
    </w:p>
    <w:p w14:paraId="58B7DE6A" w14:textId="77777777" w:rsidR="00CF4EA3" w:rsidRDefault="00CF4EA3" w:rsidP="00CF4EA3">
      <w:pPr>
        <w:keepLines w:val="0"/>
        <w:spacing w:before="0" w:after="160" w:line="278" w:lineRule="auto"/>
        <w:rPr>
          <w:rFonts w:eastAsia="Aptos" w:cs="Arial"/>
          <w:kern w:val="2"/>
          <w14:ligatures w14:val="standardContextual"/>
        </w:rPr>
      </w:pPr>
      <w:r>
        <w:rPr>
          <w:rFonts w:eastAsia="Aptos" w:cs="Arial"/>
          <w:kern w:val="2"/>
          <w14:ligatures w14:val="standardContextual"/>
        </w:rPr>
        <w:t xml:space="preserve">If this recommendation is not adopted, the Committee may wish to consider whether the Bill should be amended to include a legislative note to the definition of ‘affected person’ which makes clear the definition includes Aboriginal and Torres Strait Islander peoples who hold exclusive native title in the defined </w:t>
      </w:r>
      <w:r w:rsidRPr="00F67234">
        <w:rPr>
          <w:rFonts w:eastAsia="Aptos" w:cs="Arial"/>
          <w:kern w:val="2"/>
          <w14:ligatures w14:val="standardContextual"/>
        </w:rPr>
        <w:t xml:space="preserve">eligibility zone. </w:t>
      </w:r>
      <w:r>
        <w:rPr>
          <w:rFonts w:eastAsia="Aptos" w:cs="Arial"/>
          <w:kern w:val="2"/>
          <w14:ligatures w14:val="standardContextual"/>
        </w:rPr>
        <w:t>This would ensure the law is sufficiently certain and precise</w:t>
      </w:r>
      <w:r w:rsidRPr="00F67234">
        <w:rPr>
          <w:rFonts w:eastAsia="Aptos" w:cs="Arial"/>
          <w:kern w:val="2"/>
          <w14:ligatures w14:val="standardContextual"/>
        </w:rPr>
        <w:t>.</w:t>
      </w:r>
      <w:r w:rsidRPr="00F67234">
        <w:rPr>
          <w:rStyle w:val="FootnoteReference"/>
          <w:rFonts w:eastAsia="Aptos" w:cs="Arial"/>
          <w:kern w:val="2"/>
          <w14:ligatures w14:val="standardContextual"/>
        </w:rPr>
        <w:footnoteReference w:id="10"/>
      </w:r>
      <w:r>
        <w:rPr>
          <w:rFonts w:eastAsia="Aptos" w:cs="Arial"/>
          <w:kern w:val="2"/>
          <w14:ligatures w14:val="standardContextual"/>
        </w:rPr>
        <w:t xml:space="preserve"> </w:t>
      </w:r>
      <w:r w:rsidRPr="00F67234">
        <w:rPr>
          <w:rFonts w:eastAsia="Aptos" w:cs="Arial"/>
          <w:kern w:val="2"/>
          <w14:ligatures w14:val="standardContextual"/>
        </w:rPr>
        <w:t>(</w:t>
      </w:r>
      <w:r w:rsidRPr="00F67234">
        <w:rPr>
          <w:rFonts w:eastAsia="Aptos" w:cs="Arial"/>
          <w:b/>
          <w:bCs/>
          <w:kern w:val="2"/>
          <w14:ligatures w14:val="standardContextual"/>
        </w:rPr>
        <w:t>Recommendation 1A</w:t>
      </w:r>
      <w:r w:rsidRPr="00F67234">
        <w:rPr>
          <w:rFonts w:eastAsia="Aptos" w:cs="Arial"/>
          <w:kern w:val="2"/>
          <w14:ligatures w14:val="standardContextual"/>
        </w:rPr>
        <w:t xml:space="preserve">). </w:t>
      </w:r>
    </w:p>
    <w:p w14:paraId="20DC6C9D" w14:textId="77777777" w:rsidR="00CF4EA3" w:rsidRPr="007E0F81" w:rsidRDefault="00CF4EA3" w:rsidP="00CF4EA3">
      <w:pPr>
        <w:keepLines w:val="0"/>
        <w:spacing w:before="0" w:after="160" w:line="278" w:lineRule="auto"/>
        <w:rPr>
          <w:rFonts w:eastAsia="Aptos" w:cs="Arial"/>
          <w:b/>
          <w:bCs/>
          <w:kern w:val="2"/>
          <w14:ligatures w14:val="standardContextual"/>
        </w:rPr>
      </w:pPr>
      <w:r>
        <w:rPr>
          <w:rFonts w:eastAsia="Aptos" w:cs="Arial"/>
          <w:b/>
          <w:bCs/>
          <w:kern w:val="2"/>
          <w14:ligatures w14:val="standardContextual"/>
        </w:rPr>
        <w:t xml:space="preserve">Proposed restrictions on objections proceeding to the Land Court </w:t>
      </w:r>
    </w:p>
    <w:p w14:paraId="433F9049" w14:textId="77777777" w:rsidR="00CF4EA3" w:rsidRDefault="00CF4EA3" w:rsidP="00CF4EA3">
      <w:pPr>
        <w:keepLines w:val="0"/>
        <w:spacing w:before="0" w:after="160" w:line="278" w:lineRule="auto"/>
        <w:rPr>
          <w:rFonts w:eastAsia="Aptos" w:cs="Arial"/>
          <w:kern w:val="2"/>
          <w14:ligatures w14:val="standardContextual"/>
        </w:rPr>
      </w:pPr>
      <w:r w:rsidRPr="007E0F81">
        <w:rPr>
          <w:rFonts w:eastAsia="Aptos" w:cs="Arial"/>
          <w:kern w:val="2"/>
          <w14:ligatures w14:val="standardContextual"/>
        </w:rPr>
        <w:t xml:space="preserve">The Bill proposes </w:t>
      </w:r>
      <w:r>
        <w:rPr>
          <w:rFonts w:eastAsia="Aptos" w:cs="Arial"/>
          <w:kern w:val="2"/>
          <w14:ligatures w14:val="standardContextual"/>
        </w:rPr>
        <w:t>to:</w:t>
      </w:r>
    </w:p>
    <w:p w14:paraId="788F24C5" w14:textId="77777777" w:rsidR="00CF4EA3" w:rsidRPr="007935E4" w:rsidRDefault="00CF4EA3" w:rsidP="00CF4EA3">
      <w:pPr>
        <w:pStyle w:val="ListParagraph"/>
        <w:keepLines w:val="0"/>
        <w:numPr>
          <w:ilvl w:val="0"/>
          <w:numId w:val="36"/>
        </w:numPr>
        <w:spacing w:before="0" w:after="160" w:line="278" w:lineRule="auto"/>
        <w:rPr>
          <w:rFonts w:eastAsia="Aptos" w:cs="Arial"/>
          <w:kern w:val="2"/>
          <w14:ligatures w14:val="standardContextual"/>
        </w:rPr>
      </w:pPr>
      <w:r>
        <w:rPr>
          <w:rFonts w:eastAsia="Aptos" w:cs="Arial"/>
          <w:kern w:val="2"/>
          <w14:ligatures w14:val="standardContextual"/>
        </w:rPr>
        <w:t>prevent</w:t>
      </w:r>
      <w:r w:rsidRPr="007935E4">
        <w:rPr>
          <w:rFonts w:eastAsia="Aptos" w:cs="Arial"/>
          <w:kern w:val="2"/>
          <w14:ligatures w14:val="standardContextual"/>
        </w:rPr>
        <w:t xml:space="preserve"> </w:t>
      </w:r>
      <w:r>
        <w:t xml:space="preserve">all objections </w:t>
      </w:r>
      <w:r w:rsidRPr="001172D3">
        <w:t>to MLAs and EAs</w:t>
      </w:r>
      <w:r>
        <w:t xml:space="preserve"> from automatically proceeding to the Land Court with the </w:t>
      </w:r>
      <w:r w:rsidRPr="00441C83">
        <w:t xml:space="preserve">Minister </w:t>
      </w:r>
      <w:r w:rsidRPr="003C6FF9">
        <w:t>or</w:t>
      </w:r>
      <w:r w:rsidRPr="00441C83">
        <w:t xml:space="preserve"> administering authority</w:t>
      </w:r>
      <w:r>
        <w:t xml:space="preserve">, respectively, </w:t>
      </w:r>
      <w:r w:rsidRPr="00441C83">
        <w:t>to retain discretion on which objections should proceed to hearing;</w:t>
      </w:r>
      <w:r>
        <w:t xml:space="preserve"> and </w:t>
      </w:r>
    </w:p>
    <w:p w14:paraId="26829B1F" w14:textId="77777777" w:rsidR="00CF4EA3" w:rsidRPr="00245A3E" w:rsidRDefault="00CF4EA3" w:rsidP="00CF4EA3">
      <w:pPr>
        <w:pStyle w:val="ListParagraph"/>
        <w:keepLines w:val="0"/>
        <w:numPr>
          <w:ilvl w:val="0"/>
          <w:numId w:val="36"/>
        </w:numPr>
        <w:spacing w:before="0" w:after="160" w:line="278" w:lineRule="auto"/>
        <w:rPr>
          <w:rFonts w:eastAsia="Aptos" w:cs="Arial"/>
          <w:kern w:val="2"/>
          <w14:ligatures w14:val="standardContextual"/>
        </w:rPr>
      </w:pPr>
      <w:r w:rsidRPr="00245A3E">
        <w:t>preventing the Land Court from hearing any objections for standard or variation applications for EAs for MLs.</w:t>
      </w:r>
    </w:p>
    <w:p w14:paraId="7B85A9FB" w14:textId="77777777" w:rsidR="00CF4EA3" w:rsidRDefault="00CF4EA3" w:rsidP="00CF4EA3">
      <w:pPr>
        <w:keepLines w:val="0"/>
        <w:spacing w:after="120"/>
      </w:pPr>
      <w:r>
        <w:rPr>
          <w:rFonts w:eastAsia="Aptos" w:cs="Arial"/>
          <w:kern w:val="2"/>
          <w14:ligatures w14:val="standardContextual"/>
        </w:rPr>
        <w:t xml:space="preserve">Presently, the Land Court is required to hear all objections before making a recommendation to the Minister or </w:t>
      </w:r>
      <w:r w:rsidRPr="001252D8">
        <w:rPr>
          <w:rFonts w:eastAsia="Aptos" w:cs="Arial"/>
          <w:kern w:val="2"/>
          <w14:ligatures w14:val="standardContextual"/>
        </w:rPr>
        <w:t>administering authority on</w:t>
      </w:r>
      <w:r>
        <w:rPr>
          <w:rFonts w:eastAsia="Aptos" w:cs="Arial"/>
          <w:kern w:val="2"/>
          <w14:ligatures w14:val="standardContextual"/>
        </w:rPr>
        <w:t xml:space="preserve"> the</w:t>
      </w:r>
      <w:r w:rsidRPr="001252D8">
        <w:rPr>
          <w:rFonts w:eastAsia="Aptos" w:cs="Arial"/>
          <w:kern w:val="2"/>
          <w14:ligatures w14:val="standardContextual"/>
        </w:rPr>
        <w:t xml:space="preserve"> MLA or EA. The</w:t>
      </w:r>
      <w:r>
        <w:rPr>
          <w:rFonts w:eastAsia="Aptos" w:cs="Arial"/>
          <w:kern w:val="2"/>
          <w14:ligatures w14:val="standardContextual"/>
        </w:rPr>
        <w:t xml:space="preserve"> proposed amendments restrict the Land Court’s jurisdiction and in effect, the ability to independently assess, through expert evidence, any concerns that have been raised by objectors. </w:t>
      </w:r>
    </w:p>
    <w:p w14:paraId="51D70B74" w14:textId="77777777" w:rsidR="00CF4EA3" w:rsidRDefault="00CF4EA3" w:rsidP="00CF4EA3">
      <w:pPr>
        <w:keepLines w:val="0"/>
        <w:spacing w:after="120"/>
      </w:pPr>
      <w:r>
        <w:rPr>
          <w:rFonts w:eastAsia="Aptos" w:cs="Arial"/>
          <w:kern w:val="2"/>
          <w14:ligatures w14:val="standardContextual"/>
        </w:rPr>
        <w:t xml:space="preserve">The proposed amendments </w:t>
      </w:r>
      <w:r>
        <w:t>limit t</w:t>
      </w:r>
      <w:r w:rsidRPr="00F853B1">
        <w:t xml:space="preserve">he right to fair </w:t>
      </w:r>
      <w:r>
        <w:t>hearing.</w:t>
      </w:r>
      <w:r>
        <w:rPr>
          <w:rStyle w:val="FootnoteReference"/>
        </w:rPr>
        <w:footnoteReference w:id="11"/>
      </w:r>
      <w:r>
        <w:t xml:space="preserve"> There is also a risk that prioritising the expedition of mining projects may lead to the acceleration of climate change.  That is because the removal of the Land Court’s jurisdiction results in the inability to independently assess the impacts a </w:t>
      </w:r>
      <w:r>
        <w:lastRenderedPageBreak/>
        <w:t>project may have on the environment (including with regards to any expert evidence on greenhouse gas emissions and climate change).</w:t>
      </w:r>
      <w:r>
        <w:rPr>
          <w:rStyle w:val="FootnoteReference"/>
        </w:rPr>
        <w:footnoteReference w:id="12"/>
      </w:r>
      <w:r>
        <w:t xml:space="preserve">  </w:t>
      </w:r>
    </w:p>
    <w:p w14:paraId="41DF31FD" w14:textId="77777777" w:rsidR="00CF4EA3" w:rsidRDefault="00CF4EA3" w:rsidP="00CF4EA3">
      <w:pPr>
        <w:keepLines w:val="0"/>
        <w:spacing w:after="120"/>
      </w:pPr>
      <w:r>
        <w:t>The Government has acknowledged that Queensland is the most disaster impacted State in our nation and is susceptible to a variety of hazards including flooding, severe weather, cyclones and bushfires.</w:t>
      </w:r>
      <w:r>
        <w:rPr>
          <w:rStyle w:val="FootnoteReference"/>
        </w:rPr>
        <w:footnoteReference w:id="13"/>
      </w:r>
      <w:r>
        <w:t xml:space="preserve"> The Government has also acknowledged that climate change has increased the frequency and severity of extreme weather events.</w:t>
      </w:r>
      <w:r>
        <w:rPr>
          <w:rStyle w:val="FootnoteReference"/>
        </w:rPr>
        <w:footnoteReference w:id="14"/>
      </w:r>
      <w:r>
        <w:t xml:space="preserve"> </w:t>
      </w:r>
    </w:p>
    <w:p w14:paraId="2A8D9060" w14:textId="77777777" w:rsidR="00CF4EA3" w:rsidRPr="00F853B1" w:rsidRDefault="00CF4EA3" w:rsidP="00CF4EA3">
      <w:pPr>
        <w:keepLines w:val="0"/>
        <w:spacing w:after="120"/>
      </w:pPr>
      <w:r>
        <w:t>These climate change impacts limit t</w:t>
      </w:r>
      <w:r w:rsidRPr="00F853B1">
        <w:t>he right to life, privacy and home, protection of children, equality</w:t>
      </w:r>
      <w:r>
        <w:t>,</w:t>
      </w:r>
      <w:r w:rsidRPr="00F853B1">
        <w:t xml:space="preserve"> and property</w:t>
      </w:r>
      <w:r>
        <w:t>.</w:t>
      </w:r>
      <w:r w:rsidRPr="00F853B1">
        <w:rPr>
          <w:rStyle w:val="FootnoteReference"/>
        </w:rPr>
        <w:footnoteReference w:id="15"/>
      </w:r>
      <w:r>
        <w:t xml:space="preserve"> Aboriginal and Torres Strait Islander peoples may also be disproportionately affected through climate change.</w:t>
      </w:r>
      <w:r>
        <w:rPr>
          <w:rStyle w:val="FootnoteReference"/>
        </w:rPr>
        <w:footnoteReference w:id="16"/>
      </w:r>
      <w:r>
        <w:t xml:space="preserve"> The United Nations Human Rights Committee has found that climate change in the Torres Strait has eroded traditional lands and resources used for cultural practices.</w:t>
      </w:r>
      <w:r>
        <w:rPr>
          <w:rStyle w:val="FootnoteReference"/>
        </w:rPr>
        <w:footnoteReference w:id="17"/>
      </w:r>
    </w:p>
    <w:p w14:paraId="13E88812" w14:textId="77777777" w:rsidR="00CF4EA3" w:rsidRDefault="00CF4EA3" w:rsidP="00CF4EA3">
      <w:pPr>
        <w:keepLines w:val="0"/>
        <w:spacing w:before="0" w:after="160" w:line="278" w:lineRule="auto"/>
        <w:rPr>
          <w:rFonts w:eastAsia="Aptos" w:cs="Arial"/>
          <w:kern w:val="2"/>
          <w14:ligatures w14:val="standardContextual"/>
        </w:rPr>
      </w:pPr>
      <w:r w:rsidRPr="007E0F81">
        <w:rPr>
          <w:rFonts w:eastAsia="Aptos" w:cs="Arial"/>
          <w:kern w:val="2"/>
          <w14:ligatures w14:val="standardContextual"/>
        </w:rPr>
        <w:t>The Commission suggests the Committee consider</w:t>
      </w:r>
      <w:r>
        <w:rPr>
          <w:rFonts w:eastAsia="Aptos" w:cs="Arial"/>
          <w:kern w:val="2"/>
          <w14:ligatures w14:val="standardContextual"/>
        </w:rPr>
        <w:t xml:space="preserve"> </w:t>
      </w:r>
      <w:r w:rsidRPr="001A6E46">
        <w:rPr>
          <w:rFonts w:eastAsia="Aptos" w:cs="Arial"/>
          <w:kern w:val="2"/>
          <w14:ligatures w14:val="standardContextual"/>
        </w:rPr>
        <w:t>whether</w:t>
      </w:r>
      <w:r>
        <w:rPr>
          <w:rFonts w:eastAsia="Aptos" w:cs="Arial"/>
          <w:kern w:val="2"/>
          <w14:ligatures w14:val="standardContextual"/>
        </w:rPr>
        <w:t xml:space="preserve"> maintaining the current objections process but providing further guidance to the Land Court on when hearings may be appropriately dealt with on the papers, may be equally as effective in achieving the aim of a more efficient </w:t>
      </w:r>
      <w:r w:rsidRPr="007F4E69">
        <w:rPr>
          <w:rFonts w:eastAsia="Aptos" w:cs="Arial"/>
          <w:kern w:val="2"/>
          <w14:ligatures w14:val="standardContextual"/>
        </w:rPr>
        <w:t>framework</w:t>
      </w:r>
      <w:r>
        <w:rPr>
          <w:rFonts w:eastAsia="Aptos" w:cs="Arial"/>
          <w:kern w:val="2"/>
          <w14:ligatures w14:val="standardContextual"/>
        </w:rPr>
        <w:t xml:space="preserve"> while being less restrictive of human rights</w:t>
      </w:r>
      <w:r w:rsidRPr="25A9CF1D">
        <w:rPr>
          <w:rFonts w:eastAsia="Aptos" w:cs="Arial"/>
        </w:rPr>
        <w:t xml:space="preserve"> (</w:t>
      </w:r>
      <w:r w:rsidRPr="25A9CF1D">
        <w:rPr>
          <w:rFonts w:eastAsia="Aptos" w:cs="Arial"/>
          <w:b/>
          <w:bCs/>
        </w:rPr>
        <w:t>Recommendation 2</w:t>
      </w:r>
      <w:r w:rsidRPr="25A9CF1D">
        <w:rPr>
          <w:rFonts w:eastAsia="Aptos" w:cs="Arial"/>
        </w:rPr>
        <w:t xml:space="preserve">). </w:t>
      </w:r>
    </w:p>
    <w:p w14:paraId="5AB8E22B" w14:textId="77777777" w:rsidR="00CF4EA3" w:rsidRDefault="00CF4EA3" w:rsidP="00CF4EA3">
      <w:pPr>
        <w:keepLines w:val="0"/>
        <w:spacing w:before="0" w:after="160" w:line="278" w:lineRule="auto"/>
        <w:rPr>
          <w:rFonts w:eastAsia="Aptos" w:cs="Arial"/>
          <w:kern w:val="2"/>
          <w14:ligatures w14:val="standardContextual"/>
        </w:rPr>
      </w:pPr>
      <w:r>
        <w:rPr>
          <w:rFonts w:eastAsia="Aptos" w:cs="Arial"/>
          <w:kern w:val="2"/>
          <w14:ligatures w14:val="standardContextual"/>
        </w:rPr>
        <w:t>Alternatively, the Committee may wish to consider the Queensland Law Reform Commission’s Mining Lease Objections Review,</w:t>
      </w:r>
      <w:r>
        <w:rPr>
          <w:rStyle w:val="FootnoteReference"/>
          <w:rFonts w:eastAsia="Aptos" w:cs="Arial"/>
          <w:kern w:val="2"/>
          <w14:ligatures w14:val="standardContextual"/>
        </w:rPr>
        <w:footnoteReference w:id="18"/>
      </w:r>
      <w:r>
        <w:rPr>
          <w:rFonts w:eastAsia="Aptos" w:cs="Arial"/>
          <w:kern w:val="2"/>
          <w14:ligatures w14:val="standardContextual"/>
        </w:rPr>
        <w:t xml:space="preserve"> as this may inform the Committee’s view on the reform necessary to ensure amendments lead to efficiency while </w:t>
      </w:r>
      <w:r w:rsidRPr="0070263C">
        <w:rPr>
          <w:rFonts w:eastAsia="Aptos" w:cs="Arial"/>
          <w:kern w:val="2"/>
          <w14:ligatures w14:val="standardContextual"/>
        </w:rPr>
        <w:t xml:space="preserve">also protecting and promoting the human rights </w:t>
      </w:r>
      <w:r w:rsidRPr="004577F4">
        <w:rPr>
          <w:rFonts w:eastAsia="Aptos" w:cs="Arial"/>
          <w:kern w:val="2"/>
          <w14:ligatures w14:val="standardContextual"/>
        </w:rPr>
        <w:t>of all Queenslanders.</w:t>
      </w:r>
      <w:r>
        <w:rPr>
          <w:rFonts w:eastAsia="Aptos" w:cs="Arial"/>
          <w:kern w:val="2"/>
          <w14:ligatures w14:val="standardContextual"/>
        </w:rPr>
        <w:t xml:space="preserve">  </w:t>
      </w:r>
    </w:p>
    <w:p w14:paraId="01C97E57" w14:textId="77777777" w:rsidR="00CF4EA3" w:rsidRPr="007E0F81" w:rsidRDefault="00CF4EA3" w:rsidP="00CF4EA3">
      <w:pPr>
        <w:keepLines w:val="0"/>
        <w:spacing w:before="0" w:after="160" w:line="278" w:lineRule="auto"/>
        <w:rPr>
          <w:rFonts w:eastAsia="Aptos" w:cs="Arial"/>
          <w:kern w:val="2"/>
          <w14:ligatures w14:val="standardContextual"/>
        </w:rPr>
      </w:pPr>
      <w:r w:rsidRPr="007E0F81">
        <w:rPr>
          <w:rFonts w:eastAsia="Aptos" w:cs="Arial"/>
          <w:kern w:val="2"/>
          <w14:ligatures w14:val="standardContextual"/>
        </w:rPr>
        <w:t>The Commission is grateful for the opportunity to contribute to the inquiry.</w:t>
      </w:r>
    </w:p>
    <w:p w14:paraId="2A00869B" w14:textId="77777777" w:rsidR="00CF4EA3" w:rsidRPr="00731693" w:rsidRDefault="00CF4EA3" w:rsidP="00CF4EA3">
      <w:pPr>
        <w:keepLines w:val="0"/>
        <w:spacing w:before="0" w:after="160" w:line="278" w:lineRule="auto"/>
        <w:rPr>
          <w:rFonts w:eastAsia="Aptos" w:cs="Arial"/>
          <w:kern w:val="2"/>
          <w14:ligatures w14:val="standardContextual"/>
        </w:rPr>
      </w:pPr>
      <w:r w:rsidRPr="007E0F81">
        <w:rPr>
          <w:rFonts w:eastAsia="Aptos" w:cs="Arial"/>
          <w:kern w:val="2"/>
          <w14:ligatures w14:val="standardContextual"/>
        </w:rPr>
        <w:t>Yours sincerely,</w:t>
      </w:r>
    </w:p>
    <w:p w14:paraId="7138A839" w14:textId="77777777" w:rsidR="00CF4EA3" w:rsidRPr="005A4E3C" w:rsidRDefault="00CF4EA3" w:rsidP="00CF4EA3">
      <w:pPr>
        <w:keepLines w:val="0"/>
        <w:spacing w:before="0" w:after="0" w:line="278" w:lineRule="auto"/>
        <w:rPr>
          <w:rFonts w:eastAsia="Aptos" w:cs="Arial"/>
          <w:kern w:val="2"/>
          <w:sz w:val="24"/>
          <w:szCs w:val="24"/>
          <w14:ligatures w14:val="standardContextual"/>
        </w:rPr>
      </w:pPr>
      <w:r w:rsidRPr="00731693">
        <w:rPr>
          <w:rFonts w:eastAsia="Aptos" w:cs="Arial"/>
          <w:noProof/>
          <w:kern w:val="2"/>
          <w:sz w:val="24"/>
          <w:szCs w:val="24"/>
          <w14:ligatures w14:val="standardContextual"/>
        </w:rPr>
        <w:drawing>
          <wp:inline distT="0" distB="0" distL="0" distR="0" wp14:anchorId="335C64EA" wp14:editId="7A982C7C">
            <wp:extent cx="1000074" cy="666750"/>
            <wp:effectExtent l="0" t="0" r="0" b="0"/>
            <wp:docPr id="13972422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6795" cy="671231"/>
                    </a:xfrm>
                    <a:prstGeom prst="rect">
                      <a:avLst/>
                    </a:prstGeom>
                    <a:noFill/>
                    <a:ln>
                      <a:noFill/>
                    </a:ln>
                  </pic:spPr>
                </pic:pic>
              </a:graphicData>
            </a:graphic>
          </wp:inline>
        </w:drawing>
      </w:r>
      <w:r w:rsidRPr="005A4E3C">
        <w:rPr>
          <w:rFonts w:eastAsia="Aptos" w:cs="Arial"/>
          <w:kern w:val="2"/>
          <w:sz w:val="24"/>
          <w:szCs w:val="24"/>
          <w14:ligatures w14:val="standardContextual"/>
        </w:rPr>
        <w:br/>
      </w:r>
      <w:r w:rsidRPr="005A4E3C">
        <w:rPr>
          <w:rFonts w:eastAsia="Aptos" w:cs="Arial"/>
          <w:b/>
          <w:bCs/>
          <w:kern w:val="2"/>
          <w:sz w:val="24"/>
          <w:szCs w:val="24"/>
          <w14:ligatures w14:val="standardContextual"/>
        </w:rPr>
        <w:t>Deborah Platz</w:t>
      </w:r>
    </w:p>
    <w:p w14:paraId="4A49253D" w14:textId="7A7B7E3E" w:rsidR="00D94B26" w:rsidRPr="00A84EB5" w:rsidRDefault="00CF4EA3" w:rsidP="00A84EB5">
      <w:pPr>
        <w:keepLines w:val="0"/>
        <w:spacing w:before="0" w:after="160" w:line="278" w:lineRule="auto"/>
        <w:rPr>
          <w:rFonts w:eastAsia="Aptos" w:cs="Arial"/>
          <w:kern w:val="2"/>
          <w:sz w:val="24"/>
          <w:szCs w:val="24"/>
          <w14:ligatures w14:val="standardContextual"/>
        </w:rPr>
      </w:pPr>
      <w:r w:rsidRPr="005A4E3C">
        <w:rPr>
          <w:rFonts w:eastAsia="Aptos" w:cs="Arial"/>
          <w:b/>
          <w:bCs/>
          <w:kern w:val="2"/>
          <w:sz w:val="24"/>
          <w:szCs w:val="24"/>
          <w14:ligatures w14:val="standardContextual"/>
        </w:rPr>
        <w:t>Commissione</w:t>
      </w:r>
      <w:r>
        <w:rPr>
          <w:rFonts w:eastAsia="Aptos" w:cs="Arial"/>
          <w:b/>
          <w:bCs/>
          <w:kern w:val="2"/>
          <w:sz w:val="24"/>
          <w:szCs w:val="24"/>
          <w14:ligatures w14:val="standardContextual"/>
        </w:rPr>
        <w:t>r</w:t>
      </w:r>
      <w:permStart w:id="2025602458" w:edGrp="everyone"/>
      <w:permEnd w:id="2025602458"/>
    </w:p>
    <w:sectPr w:rsidR="00D94B26" w:rsidRPr="00A84EB5" w:rsidSect="00CC0288">
      <w:headerReference w:type="default" r:id="rId13"/>
      <w:footerReference w:type="default" r:id="rId14"/>
      <w:headerReference w:type="first" r:id="rId15"/>
      <w:footerReference w:type="first" r:id="rId16"/>
      <w:pgSz w:w="11906" w:h="16838" w:code="9"/>
      <w:pgMar w:top="1021" w:right="1134" w:bottom="1701" w:left="1021" w:header="454"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3C14D" w14:textId="77777777" w:rsidR="00376FC8" w:rsidRDefault="00376FC8" w:rsidP="00304408">
      <w:pPr>
        <w:spacing w:after="0" w:line="240" w:lineRule="auto"/>
      </w:pPr>
      <w:r>
        <w:separator/>
      </w:r>
    </w:p>
  </w:endnote>
  <w:endnote w:type="continuationSeparator" w:id="0">
    <w:p w14:paraId="36C4359F" w14:textId="77777777" w:rsidR="00376FC8" w:rsidRDefault="00376FC8" w:rsidP="00304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0306962"/>
      <w:docPartObj>
        <w:docPartGallery w:val="Page Numbers (Bottom of Page)"/>
        <w:docPartUnique/>
      </w:docPartObj>
    </w:sdtPr>
    <w:sdtEndPr/>
    <w:sdtContent>
      <w:p w14:paraId="0D2DD743" w14:textId="77777777" w:rsidR="00AC7B11" w:rsidRDefault="00D54F47" w:rsidP="00AC7B11">
        <w:pPr>
          <w:pStyle w:val="Footer"/>
          <w:jc w:val="right"/>
        </w:pPr>
        <w:r>
          <w:fldChar w:fldCharType="begin"/>
        </w:r>
        <w:r>
          <w:instrText>PAGE   \* MERGEFORMAT</w:instrText>
        </w:r>
        <w:r>
          <w:fldChar w:fldCharType="separate"/>
        </w:r>
        <w:r>
          <w:rPr>
            <w:lang w:val="en-GB"/>
          </w:rPr>
          <w:t>2</w:t>
        </w:r>
        <w:r>
          <w:fldChar w:fldCharType="end"/>
        </w:r>
      </w:p>
      <w:p w14:paraId="32A7CAE1" w14:textId="77777777" w:rsidR="00BC7248" w:rsidRDefault="00DA77DD" w:rsidP="00AC31A2">
        <w:pPr>
          <w:pStyle w:val="Footer"/>
          <w:tabs>
            <w:tab w:val="left" w:pos="1790"/>
            <w:tab w:val="right" w:pos="9751"/>
          </w:tabs>
        </w:pPr>
        <w:r>
          <w:tab/>
        </w:r>
        <w:r>
          <w:tab/>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A8DE5" w14:textId="77777777" w:rsidR="00BC7248" w:rsidRDefault="00026FA2" w:rsidP="000C13C7">
    <w:pPr>
      <w:pStyle w:val="Footer"/>
      <w:tabs>
        <w:tab w:val="clear" w:pos="4513"/>
        <w:tab w:val="clear" w:pos="9026"/>
      </w:tabs>
    </w:pPr>
    <w:r>
      <w:rPr>
        <w:noProof/>
      </w:rPr>
      <w:drawing>
        <wp:anchor distT="0" distB="0" distL="114300" distR="114300" simplePos="0" relativeHeight="251658240" behindDoc="0" locked="0" layoutInCell="1" allowOverlap="1" wp14:anchorId="0A5BE793" wp14:editId="70A97806">
          <wp:simplePos x="0" y="0"/>
          <wp:positionH relativeFrom="column">
            <wp:posOffset>-635635</wp:posOffset>
          </wp:positionH>
          <wp:positionV relativeFrom="page">
            <wp:posOffset>9488170</wp:posOffset>
          </wp:positionV>
          <wp:extent cx="7522210" cy="1198245"/>
          <wp:effectExtent l="0" t="0" r="0" b="0"/>
          <wp:wrapTopAndBottom/>
          <wp:docPr id="729413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413926" name="Picture 729413926"/>
                  <pic:cNvPicPr/>
                </pic:nvPicPr>
                <pic:blipFill>
                  <a:blip r:embed="rId1">
                    <a:extLst>
                      <a:ext uri="{28A0092B-C50C-407E-A947-70E740481C1C}">
                        <a14:useLocalDpi xmlns:a14="http://schemas.microsoft.com/office/drawing/2010/main" val="0"/>
                      </a:ext>
                    </a:extLst>
                  </a:blip>
                  <a:stretch>
                    <a:fillRect/>
                  </a:stretch>
                </pic:blipFill>
                <pic:spPr>
                  <a:xfrm>
                    <a:off x="0" y="0"/>
                    <a:ext cx="7522210" cy="119824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6892D" w14:textId="77777777" w:rsidR="00376FC8" w:rsidRDefault="00376FC8" w:rsidP="00304408">
      <w:pPr>
        <w:spacing w:after="0" w:line="240" w:lineRule="auto"/>
      </w:pPr>
      <w:r>
        <w:separator/>
      </w:r>
    </w:p>
  </w:footnote>
  <w:footnote w:type="continuationSeparator" w:id="0">
    <w:p w14:paraId="17EFFCBD" w14:textId="77777777" w:rsidR="00376FC8" w:rsidRDefault="00376FC8" w:rsidP="00304408">
      <w:pPr>
        <w:spacing w:after="0" w:line="240" w:lineRule="auto"/>
      </w:pPr>
      <w:r>
        <w:continuationSeparator/>
      </w:r>
    </w:p>
  </w:footnote>
  <w:footnote w:id="1">
    <w:p w14:paraId="3AEF9C30" w14:textId="77777777" w:rsidR="00CF4EA3" w:rsidRPr="00AB5BA2" w:rsidRDefault="00CF4EA3" w:rsidP="00CF4EA3">
      <w:pPr>
        <w:pStyle w:val="FootnoteText"/>
        <w:ind w:left="284" w:hanging="284"/>
        <w:rPr>
          <w:lang w:val="en-GB"/>
        </w:rPr>
      </w:pPr>
      <w:r w:rsidRPr="001868D7">
        <w:rPr>
          <w:rStyle w:val="FootnoteReference"/>
        </w:rPr>
        <w:footnoteRef/>
      </w:r>
      <w:r w:rsidRPr="001868D7">
        <w:t xml:space="preserve"> </w:t>
      </w:r>
      <w:r w:rsidRPr="001868D7">
        <w:tab/>
        <w:t>See State Development and Public Works Organisation (Critical Minerals) and Other Legislation Amendment Bill 2026; Planning (Social Impact and Community Benefit) and Other Legislation Amendment Bill 2025.</w:t>
      </w:r>
    </w:p>
  </w:footnote>
  <w:footnote w:id="2">
    <w:p w14:paraId="7D151C07" w14:textId="77777777" w:rsidR="00CF4EA3" w:rsidRPr="00DB089E" w:rsidRDefault="00CF4EA3" w:rsidP="00CF4EA3">
      <w:pPr>
        <w:pStyle w:val="FootnoteText"/>
        <w:ind w:left="284" w:hanging="284"/>
        <w:contextualSpacing/>
        <w:rPr>
          <w:lang w:val="en-GB"/>
        </w:rPr>
      </w:pPr>
    </w:p>
  </w:footnote>
  <w:footnote w:id="3">
    <w:p w14:paraId="2DE13959" w14:textId="77777777" w:rsidR="00CF4EA3" w:rsidRPr="00501226" w:rsidRDefault="00CF4EA3" w:rsidP="00CF4EA3">
      <w:pPr>
        <w:pStyle w:val="FootnoteText"/>
        <w:ind w:left="284" w:hanging="284"/>
        <w:contextualSpacing/>
        <w:rPr>
          <w:lang w:val="en-GB"/>
        </w:rPr>
      </w:pPr>
      <w:r>
        <w:rPr>
          <w:rStyle w:val="FootnoteReference"/>
        </w:rPr>
        <w:footnoteRef/>
      </w:r>
      <w:r>
        <w:t xml:space="preserve"> </w:t>
      </w:r>
      <w:r>
        <w:tab/>
      </w:r>
      <w:r>
        <w:rPr>
          <w:lang w:val="en-GB"/>
        </w:rPr>
        <w:t>Explanatory Notes, Human Rights Bill 2018, p 23.</w:t>
      </w:r>
    </w:p>
  </w:footnote>
  <w:footnote w:id="4">
    <w:p w14:paraId="3461C81A" w14:textId="77777777" w:rsidR="00CF4EA3" w:rsidRPr="00A23DD0" w:rsidRDefault="00CF4EA3" w:rsidP="00CF4EA3">
      <w:pPr>
        <w:pStyle w:val="FootnoteText"/>
        <w:ind w:left="284" w:hanging="284"/>
        <w:contextualSpacing/>
        <w:rPr>
          <w:lang w:val="en-GB"/>
        </w:rPr>
      </w:pPr>
      <w:r>
        <w:rPr>
          <w:rStyle w:val="FootnoteReference"/>
        </w:rPr>
        <w:footnoteRef/>
      </w:r>
      <w:r>
        <w:t xml:space="preserve"> </w:t>
      </w:r>
      <w:r>
        <w:tab/>
      </w:r>
      <w:r w:rsidRPr="00DF1C2C">
        <w:rPr>
          <w:i/>
          <w:iCs/>
        </w:rPr>
        <w:t>Clark-Ugle v Clark</w:t>
      </w:r>
      <w:r w:rsidRPr="00DF1C2C">
        <w:t xml:space="preserve"> [2016] VSCA 44</w:t>
      </w:r>
      <w:r>
        <w:t xml:space="preserve">, </w:t>
      </w:r>
      <w:r w:rsidRPr="00A94834">
        <w:t>[143]</w:t>
      </w:r>
      <w:r>
        <w:t>-[144]</w:t>
      </w:r>
      <w:r w:rsidRPr="00A94834">
        <w:t>. See</w:t>
      </w:r>
      <w:r>
        <w:t xml:space="preserve"> also </w:t>
      </w:r>
      <w:r w:rsidRPr="006047E9">
        <w:rPr>
          <w:i/>
          <w:iCs/>
        </w:rPr>
        <w:t>Hubzin v The Commissioner for Social Housing</w:t>
      </w:r>
      <w:r>
        <w:rPr>
          <w:i/>
          <w:iCs/>
        </w:rPr>
        <w:t xml:space="preserve"> </w:t>
      </w:r>
      <w:r>
        <w:t xml:space="preserve">(2026) </w:t>
      </w:r>
      <w:r w:rsidRPr="00A23DD0">
        <w:t>400 FLR 254</w:t>
      </w:r>
      <w:r>
        <w:t>, [144]-[145].</w:t>
      </w:r>
    </w:p>
  </w:footnote>
  <w:footnote w:id="5">
    <w:p w14:paraId="26464CD6" w14:textId="77777777" w:rsidR="00CF4EA3" w:rsidRPr="00861A81" w:rsidRDefault="00CF4EA3" w:rsidP="00CF4EA3">
      <w:pPr>
        <w:pStyle w:val="FootnoteText"/>
        <w:ind w:left="284" w:hanging="284"/>
        <w:contextualSpacing/>
        <w:rPr>
          <w:lang w:val="en-GB"/>
        </w:rPr>
      </w:pPr>
      <w:r>
        <w:rPr>
          <w:rStyle w:val="FootnoteReference"/>
        </w:rPr>
        <w:footnoteRef/>
      </w:r>
      <w:r>
        <w:t xml:space="preserve"> </w:t>
      </w:r>
      <w:r>
        <w:tab/>
      </w:r>
      <w:r w:rsidRPr="00063C9D">
        <w:rPr>
          <w:i/>
          <w:iCs/>
        </w:rPr>
        <w:t>Waratah Coal Pty Ltd v Youth Verdict Ltd &amp; Ors (No 6)</w:t>
      </w:r>
      <w:r w:rsidRPr="00063C9D">
        <w:t xml:space="preserve"> [2022] QLC 21, [1540].</w:t>
      </w:r>
    </w:p>
  </w:footnote>
  <w:footnote w:id="6">
    <w:p w14:paraId="71FE7AD7" w14:textId="77777777" w:rsidR="00CF4EA3" w:rsidRPr="001B4435" w:rsidRDefault="00CF4EA3" w:rsidP="00CF4EA3">
      <w:pPr>
        <w:pStyle w:val="FootnoteText"/>
        <w:ind w:left="284" w:hanging="284"/>
        <w:contextualSpacing/>
      </w:pPr>
      <w:r>
        <w:rPr>
          <w:rStyle w:val="FootnoteReference"/>
        </w:rPr>
        <w:footnoteRef/>
      </w:r>
      <w:r>
        <w:t xml:space="preserve"> </w:t>
      </w:r>
      <w:r>
        <w:tab/>
      </w:r>
      <w:r w:rsidRPr="008817A7">
        <w:rPr>
          <w:i/>
          <w:iCs/>
        </w:rPr>
        <w:t>Malone v Queensland (No 5)</w:t>
      </w:r>
      <w:r w:rsidRPr="00A2149B">
        <w:t xml:space="preserve"> </w:t>
      </w:r>
      <w:r w:rsidRPr="00F4444C">
        <w:t>(2021) 397 ALR 397</w:t>
      </w:r>
      <w:r>
        <w:t xml:space="preserve">. See also </w:t>
      </w:r>
      <w:r w:rsidRPr="008817A7">
        <w:rPr>
          <w:i/>
          <w:iCs/>
        </w:rPr>
        <w:t>Chief Executive, Department of Environment, Science and Innovation v Nagana Yarrbayn Wangan and Jagalingou Cultural Custodians Ltd</w:t>
      </w:r>
      <w:r w:rsidRPr="00EB7BE0">
        <w:t xml:space="preserve"> </w:t>
      </w:r>
      <w:r w:rsidRPr="00F4444C">
        <w:t>[2026] QCA 7</w:t>
      </w:r>
      <w:r>
        <w:t>, [31] (</w:t>
      </w:r>
      <w:r>
        <w:rPr>
          <w:i/>
          <w:iCs/>
        </w:rPr>
        <w:t>Nagana</w:t>
      </w:r>
      <w:r>
        <w:t>).</w:t>
      </w:r>
    </w:p>
  </w:footnote>
  <w:footnote w:id="7">
    <w:p w14:paraId="4ABB86C9" w14:textId="77777777" w:rsidR="00CF4EA3" w:rsidRPr="003C7455" w:rsidRDefault="00CF4EA3" w:rsidP="00CF4EA3">
      <w:pPr>
        <w:pStyle w:val="FootnoteText"/>
        <w:ind w:left="284" w:hanging="284"/>
        <w:contextualSpacing/>
        <w:rPr>
          <w:lang w:val="en-GB"/>
        </w:rPr>
      </w:pPr>
      <w:r>
        <w:rPr>
          <w:rStyle w:val="FootnoteReference"/>
        </w:rPr>
        <w:footnoteRef/>
      </w:r>
      <w:r>
        <w:t xml:space="preserve"> </w:t>
      </w:r>
      <w:r>
        <w:tab/>
      </w:r>
      <w:r w:rsidRPr="00252637">
        <w:rPr>
          <w:i/>
          <w:iCs/>
        </w:rPr>
        <w:t>Nagana</w:t>
      </w:r>
      <w:r>
        <w:t xml:space="preserve"> [15], [32]-[33], [105]-[107], [117], [132].</w:t>
      </w:r>
    </w:p>
  </w:footnote>
  <w:footnote w:id="8">
    <w:p w14:paraId="172EB074" w14:textId="77777777" w:rsidR="00CF4EA3" w:rsidRPr="00F67234" w:rsidRDefault="00CF4EA3" w:rsidP="00CF4EA3">
      <w:pPr>
        <w:pStyle w:val="FootnoteText"/>
        <w:ind w:left="284" w:hanging="284"/>
        <w:contextualSpacing/>
      </w:pPr>
      <w:r>
        <w:rPr>
          <w:rStyle w:val="FootnoteReference"/>
        </w:rPr>
        <w:footnoteRef/>
      </w:r>
      <w:r>
        <w:t xml:space="preserve"> </w:t>
      </w:r>
      <w:r>
        <w:tab/>
      </w:r>
      <w:r w:rsidRPr="007925BB">
        <w:t xml:space="preserve">Human Rights Committee, </w:t>
      </w:r>
      <w:r w:rsidRPr="007925BB">
        <w:rPr>
          <w:i/>
          <w:iCs/>
        </w:rPr>
        <w:t xml:space="preserve">Views: Communication No 3585/2019, </w:t>
      </w:r>
      <w:r w:rsidRPr="007925BB">
        <w:t xml:space="preserve">UN Doc CCPR/C/137/D/3585/2019 (15 </w:t>
      </w:r>
      <w:r w:rsidRPr="00F67234">
        <w:t>March 2023) (‘</w:t>
      </w:r>
      <w:r w:rsidRPr="00F67234">
        <w:rPr>
          <w:i/>
          <w:iCs/>
        </w:rPr>
        <w:t>Ailsa Roy v Australia</w:t>
      </w:r>
      <w:r w:rsidRPr="00F67234">
        <w:t>’).</w:t>
      </w:r>
    </w:p>
  </w:footnote>
  <w:footnote w:id="9">
    <w:p w14:paraId="75340709" w14:textId="77777777" w:rsidR="00CF4EA3" w:rsidRPr="00F67234" w:rsidRDefault="00CF4EA3" w:rsidP="00CF4EA3">
      <w:pPr>
        <w:pStyle w:val="FootnoteText"/>
        <w:ind w:left="284" w:hanging="284"/>
        <w:contextualSpacing/>
      </w:pPr>
      <w:r>
        <w:rPr>
          <w:rStyle w:val="FootnoteReference"/>
        </w:rPr>
        <w:footnoteRef/>
      </w:r>
      <w:r>
        <w:t xml:space="preserve"> </w:t>
      </w:r>
      <w:r>
        <w:tab/>
      </w:r>
      <w:r w:rsidRPr="007925BB">
        <w:t xml:space="preserve">Human Rights Committee, </w:t>
      </w:r>
      <w:r w:rsidRPr="007925BB">
        <w:rPr>
          <w:i/>
          <w:iCs/>
        </w:rPr>
        <w:t xml:space="preserve">Views: Communication No 3585/2019, </w:t>
      </w:r>
      <w:r w:rsidRPr="007925BB">
        <w:t xml:space="preserve">UN Doc CCPR/C/137/D/3585/2019 (15 </w:t>
      </w:r>
      <w:r w:rsidRPr="00F67234">
        <w:t>March 2023) (‘</w:t>
      </w:r>
      <w:r w:rsidRPr="00F67234">
        <w:rPr>
          <w:i/>
          <w:iCs/>
        </w:rPr>
        <w:t>Ailsa Roy v Australia</w:t>
      </w:r>
      <w:r w:rsidRPr="00F67234">
        <w:t>’).</w:t>
      </w:r>
    </w:p>
  </w:footnote>
  <w:footnote w:id="10">
    <w:p w14:paraId="67FEED9C" w14:textId="77777777" w:rsidR="00CF4EA3" w:rsidRPr="002B3F22" w:rsidRDefault="00CF4EA3" w:rsidP="00CF4EA3">
      <w:pPr>
        <w:pStyle w:val="FootnoteText"/>
        <w:ind w:left="284" w:hanging="284"/>
        <w:contextualSpacing/>
      </w:pPr>
      <w:r w:rsidRPr="00F67234">
        <w:rPr>
          <w:rStyle w:val="FootnoteReference"/>
        </w:rPr>
        <w:footnoteRef/>
      </w:r>
      <w:r w:rsidRPr="00F67234">
        <w:t xml:space="preserve">  </w:t>
      </w:r>
      <w:r w:rsidRPr="00F67234">
        <w:tab/>
        <w:t xml:space="preserve">John Finnis, </w:t>
      </w:r>
      <w:r w:rsidRPr="00F67234">
        <w:rPr>
          <w:i/>
          <w:iCs/>
        </w:rPr>
        <w:t>Natural Law and Natural Rights</w:t>
      </w:r>
      <w:r w:rsidRPr="00F67234">
        <w:t xml:space="preserve"> (Clarendon Press, 1980). Further</w:t>
      </w:r>
      <w:r>
        <w:t xml:space="preserve">, for limitations on human rights to be compatible they must also be lawful under s 13(1) of the Human Rights Act. ‘Under law’ in s 13(1) encompasses both a procedural and substantive requirement. The substantive requirement also requires for laws to be sufficiently precise and adequately accessible: </w:t>
      </w:r>
      <w:r w:rsidRPr="002B3F22">
        <w:t>Re Kracke and Mental Health Review Board</w:t>
      </w:r>
      <w:r w:rsidRPr="008036CB">
        <w:t xml:space="preserve"> (2009) 29 VAR 1, [163], [165], [744].</w:t>
      </w:r>
    </w:p>
  </w:footnote>
  <w:footnote w:id="11">
    <w:p w14:paraId="39EE77ED" w14:textId="77777777" w:rsidR="00CF4EA3" w:rsidRPr="002B3F22" w:rsidRDefault="00CF4EA3" w:rsidP="00CF4EA3">
      <w:pPr>
        <w:pStyle w:val="FootnoteText"/>
        <w:ind w:left="284" w:hanging="284"/>
        <w:contextualSpacing/>
        <w:rPr>
          <w:lang w:val="en-GB"/>
        </w:rPr>
      </w:pPr>
      <w:r w:rsidRPr="00454531">
        <w:rPr>
          <w:rStyle w:val="FootnoteReference"/>
        </w:rPr>
        <w:footnoteRef/>
      </w:r>
      <w:r w:rsidRPr="002B3F22">
        <w:rPr>
          <w:rStyle w:val="FootnoteReference"/>
        </w:rPr>
        <w:t xml:space="preserve"> </w:t>
      </w:r>
      <w:r>
        <w:t xml:space="preserve">  </w:t>
      </w:r>
      <w:r w:rsidRPr="002B3F22">
        <w:rPr>
          <w:i/>
          <w:iCs/>
        </w:rPr>
        <w:t>Human Rights Act 2019</w:t>
      </w:r>
      <w:r w:rsidRPr="002B3F22">
        <w:t xml:space="preserve"> (Qld) s31.</w:t>
      </w:r>
      <w:r>
        <w:rPr>
          <w:lang w:val="en-GB"/>
        </w:rPr>
        <w:t xml:space="preserve"> </w:t>
      </w:r>
    </w:p>
  </w:footnote>
  <w:footnote w:id="12">
    <w:p w14:paraId="0C7B9B6A" w14:textId="77777777" w:rsidR="00CF4EA3" w:rsidRPr="00095754" w:rsidRDefault="00CF4EA3" w:rsidP="00CF4EA3">
      <w:pPr>
        <w:pStyle w:val="FootnoteText"/>
        <w:ind w:left="284" w:hanging="284"/>
        <w:contextualSpacing/>
        <w:rPr>
          <w:lang w:val="en-GB"/>
        </w:rPr>
      </w:pPr>
      <w:r>
        <w:rPr>
          <w:rStyle w:val="FootnoteReference"/>
        </w:rPr>
        <w:footnoteRef/>
      </w:r>
      <w:r>
        <w:t xml:space="preserve"> </w:t>
      </w:r>
      <w:r>
        <w:rPr>
          <w:lang w:val="en-GB"/>
        </w:rPr>
        <w:tab/>
      </w:r>
      <w:r w:rsidRPr="00B12089">
        <w:rPr>
          <w:lang w:val="en-GB"/>
        </w:rPr>
        <w:t xml:space="preserve">See for example, </w:t>
      </w:r>
      <w:r w:rsidRPr="00B12089">
        <w:rPr>
          <w:i/>
          <w:iCs/>
        </w:rPr>
        <w:t>Re Sungela Pty Ltd &amp; Anor</w:t>
      </w:r>
      <w:r w:rsidRPr="00B12089">
        <w:t xml:space="preserve"> [2025] QLC 5 where the Land Court refused to recommend the grant of the MLA ‘unless and until the applicants show real and significant</w:t>
      </w:r>
      <w:r>
        <w:t xml:space="preserve"> progress towards mitigating their GHG emissions’.</w:t>
      </w:r>
    </w:p>
  </w:footnote>
  <w:footnote w:id="13">
    <w:p w14:paraId="7D05DC97" w14:textId="77777777" w:rsidR="00CF4EA3" w:rsidRPr="009C384F" w:rsidRDefault="00CF4EA3" w:rsidP="00CF4EA3">
      <w:pPr>
        <w:pStyle w:val="FootnoteText"/>
        <w:ind w:left="284" w:hanging="284"/>
        <w:contextualSpacing/>
        <w:rPr>
          <w:lang w:val="en-GB"/>
        </w:rPr>
      </w:pPr>
      <w:r>
        <w:rPr>
          <w:rStyle w:val="FootnoteReference"/>
        </w:rPr>
        <w:footnoteRef/>
      </w:r>
      <w:r>
        <w:t xml:space="preserve"> </w:t>
      </w:r>
      <w:r>
        <w:tab/>
      </w:r>
      <w:r>
        <w:rPr>
          <w:lang w:val="en-GB"/>
        </w:rPr>
        <w:t xml:space="preserve">Queensland Government, Queensland Reconstruction Authority, </w:t>
      </w:r>
      <w:r>
        <w:rPr>
          <w:i/>
          <w:iCs/>
          <w:lang w:val="en-GB"/>
        </w:rPr>
        <w:t>Queensland Strategy for Disaster Resilience 2022-2027</w:t>
      </w:r>
      <w:r>
        <w:rPr>
          <w:lang w:val="en-GB"/>
        </w:rPr>
        <w:t xml:space="preserve"> </w:t>
      </w:r>
      <w:r>
        <w:rPr>
          <w:i/>
          <w:iCs/>
          <w:lang w:val="en-GB"/>
        </w:rPr>
        <w:t xml:space="preserve">Summary, </w:t>
      </w:r>
      <w:r>
        <w:rPr>
          <w:lang w:val="en-GB"/>
        </w:rPr>
        <w:t>‘About the Strategy’ &lt;</w:t>
      </w:r>
      <w:r w:rsidRPr="009C384F">
        <w:rPr>
          <w:lang w:val="en-GB"/>
        </w:rPr>
        <w:t>https://www.qra.qld.gov.au/qsdr</w:t>
      </w:r>
      <w:r>
        <w:rPr>
          <w:lang w:val="en-GB"/>
        </w:rPr>
        <w:t>&gt;.</w:t>
      </w:r>
    </w:p>
  </w:footnote>
  <w:footnote w:id="14">
    <w:p w14:paraId="64EC77B4" w14:textId="77777777" w:rsidR="00CF4EA3" w:rsidRPr="008B10D7" w:rsidRDefault="00CF4EA3" w:rsidP="00CF4EA3">
      <w:pPr>
        <w:pStyle w:val="FootnoteText"/>
        <w:ind w:left="284" w:hanging="284"/>
        <w:contextualSpacing/>
        <w:rPr>
          <w:lang w:val="en-GB"/>
        </w:rPr>
      </w:pPr>
      <w:r>
        <w:rPr>
          <w:rStyle w:val="FootnoteReference"/>
        </w:rPr>
        <w:footnoteRef/>
      </w:r>
      <w:r>
        <w:t xml:space="preserve"> </w:t>
      </w:r>
      <w:r>
        <w:tab/>
      </w:r>
      <w:r>
        <w:rPr>
          <w:lang w:val="en-GB"/>
        </w:rPr>
        <w:t xml:space="preserve">Queensland Government, Queensland Reconstruction Authority, </w:t>
      </w:r>
      <w:r>
        <w:rPr>
          <w:i/>
          <w:iCs/>
          <w:lang w:val="en-GB"/>
        </w:rPr>
        <w:t>Queensland Strategy for Disaster Resilience 2022-2027</w:t>
      </w:r>
      <w:r>
        <w:rPr>
          <w:lang w:val="en-GB"/>
        </w:rPr>
        <w:t xml:space="preserve"> </w:t>
      </w:r>
      <w:r>
        <w:rPr>
          <w:i/>
          <w:iCs/>
          <w:lang w:val="en-GB"/>
        </w:rPr>
        <w:t xml:space="preserve">Summary, </w:t>
      </w:r>
      <w:r>
        <w:rPr>
          <w:lang w:val="en-GB"/>
        </w:rPr>
        <w:t>‘About the Strategy’</w:t>
      </w:r>
      <w:r>
        <w:rPr>
          <w:i/>
          <w:iCs/>
          <w:lang w:val="en-GB"/>
        </w:rPr>
        <w:t xml:space="preserve"> </w:t>
      </w:r>
      <w:r>
        <w:rPr>
          <w:lang w:val="en-GB"/>
        </w:rPr>
        <w:t>&lt;</w:t>
      </w:r>
      <w:r w:rsidRPr="009C384F">
        <w:rPr>
          <w:lang w:val="en-GB"/>
        </w:rPr>
        <w:t>https://www.qra.qld.gov.au/qsdr</w:t>
      </w:r>
      <w:r>
        <w:rPr>
          <w:lang w:val="en-GB"/>
        </w:rPr>
        <w:t>&gt;.</w:t>
      </w:r>
    </w:p>
  </w:footnote>
  <w:footnote w:id="15">
    <w:p w14:paraId="5EB90F21" w14:textId="77777777" w:rsidR="00CF4EA3" w:rsidRPr="004372D1" w:rsidRDefault="00CF4EA3" w:rsidP="00CF4EA3">
      <w:pPr>
        <w:pStyle w:val="FootnoteText"/>
        <w:ind w:left="284" w:hanging="284"/>
        <w:contextualSpacing/>
        <w:rPr>
          <w:lang w:val="en-GB"/>
        </w:rPr>
      </w:pPr>
      <w:r>
        <w:rPr>
          <w:rStyle w:val="FootnoteReference"/>
        </w:rPr>
        <w:footnoteRef/>
      </w:r>
      <w:r>
        <w:t xml:space="preserve"> </w:t>
      </w:r>
      <w:r>
        <w:tab/>
      </w:r>
      <w:r w:rsidRPr="002B3F22">
        <w:rPr>
          <w:i/>
          <w:iCs/>
        </w:rPr>
        <w:t>Human Rights Act 2019</w:t>
      </w:r>
      <w:r>
        <w:t xml:space="preserve"> (Qld) s 16, 25, 26, 15, 24; </w:t>
      </w:r>
      <w:r w:rsidRPr="00222DDC">
        <w:rPr>
          <w:i/>
          <w:iCs/>
          <w:lang w:val="en-GB"/>
        </w:rPr>
        <w:t xml:space="preserve">Waratah Coal Pty Ltd v Youth Verdict (No 6) </w:t>
      </w:r>
      <w:r w:rsidRPr="00797B44">
        <w:rPr>
          <w:lang w:val="en-GB"/>
        </w:rPr>
        <w:t>[2022] QLC 21</w:t>
      </w:r>
      <w:r>
        <w:rPr>
          <w:lang w:val="en-GB"/>
        </w:rPr>
        <w:t>.</w:t>
      </w:r>
    </w:p>
  </w:footnote>
  <w:footnote w:id="16">
    <w:p w14:paraId="7C863D8D" w14:textId="77777777" w:rsidR="00CF4EA3" w:rsidRPr="00B03044" w:rsidRDefault="00CF4EA3" w:rsidP="00CF4EA3">
      <w:pPr>
        <w:pStyle w:val="FootnoteText"/>
        <w:ind w:left="284" w:hanging="284"/>
        <w:contextualSpacing/>
        <w:rPr>
          <w:lang w:val="en-GB"/>
        </w:rPr>
      </w:pPr>
      <w:r>
        <w:rPr>
          <w:rStyle w:val="FootnoteReference"/>
        </w:rPr>
        <w:footnoteRef/>
      </w:r>
      <w:r>
        <w:t xml:space="preserve"> </w:t>
      </w:r>
      <w:r>
        <w:tab/>
      </w:r>
      <w:r w:rsidRPr="00063C9D">
        <w:rPr>
          <w:i/>
          <w:iCs/>
        </w:rPr>
        <w:t>Waratah Coal Pty Ltd v Youth Verdict Ltd &amp; Ors (No 6)</w:t>
      </w:r>
      <w:r w:rsidRPr="00063C9D">
        <w:t xml:space="preserve"> [2022] QLC 21, [154</w:t>
      </w:r>
      <w:r>
        <w:t>2</w:t>
      </w:r>
      <w:r w:rsidRPr="00063C9D">
        <w:t>]</w:t>
      </w:r>
      <w:r>
        <w:t>-[1568]</w:t>
      </w:r>
      <w:r w:rsidRPr="00063C9D">
        <w:t>.</w:t>
      </w:r>
    </w:p>
  </w:footnote>
  <w:footnote w:id="17">
    <w:p w14:paraId="44F43EE3" w14:textId="77777777" w:rsidR="00CF4EA3" w:rsidRPr="004921AC" w:rsidRDefault="00CF4EA3" w:rsidP="00CF4EA3">
      <w:pPr>
        <w:pStyle w:val="FootnoteText"/>
        <w:ind w:left="284" w:hanging="284"/>
        <w:contextualSpacing/>
      </w:pPr>
      <w:r>
        <w:rPr>
          <w:rStyle w:val="FootnoteReference"/>
        </w:rPr>
        <w:footnoteRef/>
      </w:r>
      <w:r>
        <w:t xml:space="preserve"> </w:t>
      </w:r>
      <w:r>
        <w:tab/>
      </w:r>
      <w:r w:rsidRPr="00EB06F6">
        <w:t>Human Rights Committee, Views: Communication No. 3624/2019, UN Doc CCPR/C/135/D/3624/2019 (18 September 2023) (‘</w:t>
      </w:r>
      <w:r w:rsidRPr="007405BE">
        <w:rPr>
          <w:i/>
          <w:iCs/>
        </w:rPr>
        <w:t>Billy and others v Australia</w:t>
      </w:r>
      <w:r w:rsidRPr="00EB06F6">
        <w:t>’)</w:t>
      </w:r>
      <w:r>
        <w:t xml:space="preserve"> [8.13]-[8.14]. </w:t>
      </w:r>
    </w:p>
  </w:footnote>
  <w:footnote w:id="18">
    <w:p w14:paraId="691D5D42" w14:textId="77777777" w:rsidR="00CF4EA3" w:rsidRPr="00861118" w:rsidRDefault="00CF4EA3" w:rsidP="00CF4EA3">
      <w:pPr>
        <w:pStyle w:val="FootnoteText"/>
        <w:ind w:left="284" w:hanging="284"/>
        <w:contextualSpacing/>
        <w:rPr>
          <w:lang w:val="en-GB"/>
        </w:rPr>
      </w:pPr>
      <w:r>
        <w:rPr>
          <w:rStyle w:val="FootnoteReference"/>
        </w:rPr>
        <w:footnoteRef/>
      </w:r>
      <w:r>
        <w:t xml:space="preserve"> </w:t>
      </w:r>
      <w:r>
        <w:rPr>
          <w:lang w:val="en-GB"/>
        </w:rPr>
        <w:tab/>
        <w:t>The terms of reference for the review were withdrawn on 4 March 2025. However, the Queensland Law Reform Commission has published its review publications including working papers that grapple with both the need for reform, as well as the human rights impacts of reform in this area. By way of example, see ‘Briefing Note – Participation’, and ‘Options Paper – Decision (with outcomes)’. The review publications are available on the Queensland Law Reform Commission website: &lt;</w:t>
      </w:r>
      <w:hyperlink r:id="rId1" w:history="1">
        <w:r w:rsidRPr="00AB448C">
          <w:rPr>
            <w:rStyle w:val="Hyperlink"/>
            <w:color w:val="auto"/>
            <w:u w:val="none"/>
            <w:lang w:val="en-GB"/>
          </w:rPr>
          <w:t>https://www.qlrc.qld.gov.au/reviews/completed/2025/mining-lease-objections-processes-review/review-publications</w:t>
        </w:r>
      </w:hyperlink>
      <w:r>
        <w:rPr>
          <w:lang w:val="en-GB"/>
        </w:rPr>
        <w:t>&gt;.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C17CB" w14:textId="77777777" w:rsidR="005F5071" w:rsidRDefault="005F5071" w:rsidP="00D54F47">
    <w:pPr>
      <w:pStyle w:val="Header"/>
      <w:rPr>
        <w:sz w:val="20"/>
        <w:szCs w:val="20"/>
        <w:lang w:val="en-GB"/>
      </w:rPr>
    </w:pPr>
  </w:p>
  <w:p w14:paraId="0249BA37" w14:textId="77777777" w:rsidR="00D54F47" w:rsidRPr="005F5071" w:rsidRDefault="00D54F47" w:rsidP="00D54F47">
    <w:pPr>
      <w:pStyle w:val="Header"/>
      <w:rPr>
        <w:sz w:val="20"/>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6264F" w14:textId="77777777" w:rsidR="00BC7248" w:rsidRDefault="00465B07" w:rsidP="000C13C7">
    <w:pPr>
      <w:pStyle w:val="Header"/>
      <w:tabs>
        <w:tab w:val="clear" w:pos="4513"/>
        <w:tab w:val="clear" w:pos="9026"/>
      </w:tabs>
    </w:pPr>
    <w:r>
      <w:rPr>
        <w:noProof/>
      </w:rPr>
      <w:drawing>
        <wp:inline distT="0" distB="0" distL="0" distR="0" wp14:anchorId="166B1DE4" wp14:editId="77E8BF02">
          <wp:extent cx="2194560" cy="876273"/>
          <wp:effectExtent l="0" t="0" r="0" b="0"/>
          <wp:docPr id="527766761" name="Picture 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766761" name="Picture 1" descr="A logo with text on i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215060" cy="884459"/>
                  </a:xfrm>
                  <a:prstGeom prst="rect">
                    <a:avLst/>
                  </a:prstGeom>
                </pic:spPr>
              </pic:pic>
            </a:graphicData>
          </a:graphic>
        </wp:inline>
      </w:drawing>
    </w:r>
  </w:p>
  <w:p w14:paraId="0FA879F9" w14:textId="77777777" w:rsidR="003B02BF" w:rsidRDefault="003B02BF" w:rsidP="000C13C7">
    <w:pPr>
      <w:pStyle w:val="Header"/>
      <w:tabs>
        <w:tab w:val="clear" w:pos="4513"/>
        <w:tab w:val="clear" w:pos="902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C41"/>
    <w:multiLevelType w:val="hybridMultilevel"/>
    <w:tmpl w:val="31DC4A3E"/>
    <w:lvl w:ilvl="0" w:tplc="AEBA9CDC">
      <w:start w:val="1"/>
      <w:numFmt w:val="decimal"/>
      <w:pStyle w:val="Style2"/>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039101A7"/>
    <w:multiLevelType w:val="hybridMultilevel"/>
    <w:tmpl w:val="331E756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07667916"/>
    <w:multiLevelType w:val="hybridMultilevel"/>
    <w:tmpl w:val="1DBE44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9D5B0D"/>
    <w:multiLevelType w:val="hybridMultilevel"/>
    <w:tmpl w:val="B8A071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666EA9"/>
    <w:multiLevelType w:val="multilevel"/>
    <w:tmpl w:val="21284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250E7E"/>
    <w:multiLevelType w:val="multilevel"/>
    <w:tmpl w:val="DF7AFAE0"/>
    <w:lvl w:ilvl="0">
      <w:start w:val="1"/>
      <w:numFmt w:val="decimal"/>
      <w:lvlText w:val="%1."/>
      <w:lvlJc w:val="left"/>
      <w:pPr>
        <w:ind w:left="567" w:hanging="567"/>
      </w:pPr>
      <w:rPr>
        <w:rFonts w:hint="default"/>
      </w:rPr>
    </w:lvl>
    <w:lvl w:ilvl="1">
      <w:start w:val="1"/>
      <w:numFmt w:val="lowerLetter"/>
      <w:lvlText w:val="%2."/>
      <w:lvlJc w:val="left"/>
      <w:pPr>
        <w:ind w:left="1077" w:hanging="357"/>
      </w:pPr>
      <w:rPr>
        <w:rFonts w:hint="default"/>
        <w:b w:val="0"/>
        <w:i w:val="0"/>
        <w:sz w:val="24"/>
      </w:rPr>
    </w:lvl>
    <w:lvl w:ilvl="2">
      <w:start w:val="1"/>
      <w:numFmt w:val="bullet"/>
      <w:lvlText w:val=""/>
      <w:lvlJc w:val="left"/>
      <w:pPr>
        <w:ind w:left="-5274" w:hanging="113"/>
      </w:pPr>
      <w:rPr>
        <w:rFonts w:ascii="Symbol" w:hAnsi="Symbol" w:hint="default"/>
      </w:rPr>
    </w:lvl>
    <w:lvl w:ilvl="3">
      <w:start w:val="1"/>
      <w:numFmt w:val="decimal"/>
      <w:lvlText w:val="%4."/>
      <w:lvlJc w:val="left"/>
      <w:pPr>
        <w:ind w:left="-5093" w:hanging="357"/>
      </w:pPr>
      <w:rPr>
        <w:rFonts w:hint="default"/>
      </w:rPr>
    </w:lvl>
    <w:lvl w:ilvl="4">
      <w:start w:val="1"/>
      <w:numFmt w:val="lowerLetter"/>
      <w:lvlText w:val="%5."/>
      <w:lvlJc w:val="left"/>
      <w:pPr>
        <w:ind w:left="-4736" w:hanging="357"/>
      </w:pPr>
      <w:rPr>
        <w:rFonts w:hint="default"/>
      </w:rPr>
    </w:lvl>
    <w:lvl w:ilvl="5">
      <w:start w:val="1"/>
      <w:numFmt w:val="lowerRoman"/>
      <w:lvlText w:val="%6."/>
      <w:lvlJc w:val="right"/>
      <w:pPr>
        <w:ind w:left="-4379" w:hanging="357"/>
      </w:pPr>
      <w:rPr>
        <w:rFonts w:hint="default"/>
      </w:rPr>
    </w:lvl>
    <w:lvl w:ilvl="6">
      <w:start w:val="1"/>
      <w:numFmt w:val="decimal"/>
      <w:lvlText w:val="%7."/>
      <w:lvlJc w:val="left"/>
      <w:pPr>
        <w:ind w:left="-4022" w:hanging="357"/>
      </w:pPr>
      <w:rPr>
        <w:rFonts w:hint="default"/>
      </w:rPr>
    </w:lvl>
    <w:lvl w:ilvl="7">
      <w:start w:val="1"/>
      <w:numFmt w:val="lowerLetter"/>
      <w:lvlText w:val="%8."/>
      <w:lvlJc w:val="left"/>
      <w:pPr>
        <w:ind w:left="-3665" w:hanging="357"/>
      </w:pPr>
      <w:rPr>
        <w:rFonts w:hint="default"/>
      </w:rPr>
    </w:lvl>
    <w:lvl w:ilvl="8">
      <w:start w:val="1"/>
      <w:numFmt w:val="lowerRoman"/>
      <w:lvlText w:val="%9."/>
      <w:lvlJc w:val="right"/>
      <w:pPr>
        <w:ind w:left="-3308" w:hanging="357"/>
      </w:pPr>
      <w:rPr>
        <w:rFonts w:hint="default"/>
      </w:rPr>
    </w:lvl>
  </w:abstractNum>
  <w:abstractNum w:abstractNumId="6" w15:restartNumberingAfterBreak="0">
    <w:nsid w:val="10CB00AB"/>
    <w:multiLevelType w:val="hybridMultilevel"/>
    <w:tmpl w:val="D21CF38A"/>
    <w:lvl w:ilvl="0" w:tplc="0C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2D06EDD"/>
    <w:multiLevelType w:val="hybridMultilevel"/>
    <w:tmpl w:val="08E2137E"/>
    <w:lvl w:ilvl="0" w:tplc="25D6003A">
      <w:start w:val="1"/>
      <w:numFmt w:val="decimal"/>
      <w:lvlText w:val="%1."/>
      <w:lvlJc w:val="left"/>
      <w:pPr>
        <w:ind w:left="720" w:hanging="360"/>
      </w:pPr>
    </w:lvl>
    <w:lvl w:ilvl="1" w:tplc="A4AA7706">
      <w:start w:val="1"/>
      <w:numFmt w:val="lowerLetter"/>
      <w:lvlText w:val="(%2)"/>
      <w:lvlJc w:val="left"/>
      <w:pPr>
        <w:ind w:left="1440" w:hanging="360"/>
      </w:pPr>
      <w:rPr>
        <w:rFonts w:ascii="Arial" w:hAnsi="Arial" w:hint="default"/>
        <w:b w:val="0"/>
        <w:i w:val="0"/>
        <w:sz w:val="22"/>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8" w15:restartNumberingAfterBreak="0">
    <w:nsid w:val="163F351B"/>
    <w:multiLevelType w:val="hybridMultilevel"/>
    <w:tmpl w:val="193ECDF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22F3070D"/>
    <w:multiLevelType w:val="hybridMultilevel"/>
    <w:tmpl w:val="56B49164"/>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10" w15:restartNumberingAfterBreak="0">
    <w:nsid w:val="25B07B4A"/>
    <w:multiLevelType w:val="hybridMultilevel"/>
    <w:tmpl w:val="584828A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2D792F40"/>
    <w:multiLevelType w:val="multilevel"/>
    <w:tmpl w:val="D882A9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DBB24CC"/>
    <w:multiLevelType w:val="hybridMultilevel"/>
    <w:tmpl w:val="C2EA34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3AA3934"/>
    <w:multiLevelType w:val="hybridMultilevel"/>
    <w:tmpl w:val="925A1FF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35827DE1"/>
    <w:multiLevelType w:val="hybridMultilevel"/>
    <w:tmpl w:val="3E442EF4"/>
    <w:lvl w:ilvl="0" w:tplc="B1CA186E">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D1B7CE1"/>
    <w:multiLevelType w:val="hybridMultilevel"/>
    <w:tmpl w:val="205A995C"/>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3FB723FA"/>
    <w:multiLevelType w:val="hybridMultilevel"/>
    <w:tmpl w:val="61927EB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1645E8C"/>
    <w:multiLevelType w:val="hybridMultilevel"/>
    <w:tmpl w:val="C9BCAC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5076E1C"/>
    <w:multiLevelType w:val="hybridMultilevel"/>
    <w:tmpl w:val="CF14EC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51A4753"/>
    <w:multiLevelType w:val="hybridMultilevel"/>
    <w:tmpl w:val="17740F30"/>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20" w15:restartNumberingAfterBreak="0">
    <w:nsid w:val="48FF173F"/>
    <w:multiLevelType w:val="multilevel"/>
    <w:tmpl w:val="F5904730"/>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21" w15:restartNumberingAfterBreak="0">
    <w:nsid w:val="4CA0588B"/>
    <w:multiLevelType w:val="hybridMultilevel"/>
    <w:tmpl w:val="83782CDA"/>
    <w:lvl w:ilvl="0" w:tplc="FFFFFFFF">
      <w:start w:val="1"/>
      <w:numFmt w:val="decimal"/>
      <w:lvlText w:val="%1."/>
      <w:lvlJc w:val="left"/>
      <w:pPr>
        <w:ind w:left="1080" w:hanging="360"/>
      </w:pPr>
    </w:lvl>
    <w:lvl w:ilvl="1" w:tplc="FFFFFFFF">
      <w:start w:val="1"/>
      <w:numFmt w:val="bullet"/>
      <w:lvlText w:val=""/>
      <w:lvlJc w:val="left"/>
      <w:pPr>
        <w:ind w:left="1800" w:hanging="360"/>
      </w:pPr>
      <w:rPr>
        <w:rFonts w:ascii="Symbol" w:hAnsi="Symbol" w:hint="default"/>
      </w:rPr>
    </w:lvl>
    <w:lvl w:ilvl="2" w:tplc="10AE41DE">
      <w:start w:val="1"/>
      <w:numFmt w:val="bullet"/>
      <w:lvlText w:val=""/>
      <w:lvlJc w:val="left"/>
      <w:pPr>
        <w:ind w:left="2700" w:hanging="360"/>
      </w:pPr>
      <w:rPr>
        <w:rFonts w:ascii="Wingdings" w:hAnsi="Wingding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59404090"/>
    <w:multiLevelType w:val="hybridMultilevel"/>
    <w:tmpl w:val="6E2C0CCC"/>
    <w:lvl w:ilvl="0" w:tplc="E53251BE">
      <w:start w:val="1"/>
      <w:numFmt w:val="decimal"/>
      <w:lvlText w:val="%1."/>
      <w:lvlJc w:val="left"/>
      <w:pPr>
        <w:ind w:left="360" w:hanging="360"/>
      </w:pPr>
      <w:rPr>
        <w:rFonts w:ascii="Arial" w:hAnsi="Arial" w:hint="default"/>
        <w:b w:val="0"/>
        <w:i w:val="0"/>
        <w:sz w:val="22"/>
      </w:rPr>
    </w:lvl>
    <w:lvl w:ilvl="1" w:tplc="0C090001">
      <w:start w:val="1"/>
      <w:numFmt w:val="bullet"/>
      <w:lvlText w:val=""/>
      <w:lvlJc w:val="left"/>
      <w:pPr>
        <w:ind w:left="1080" w:hanging="360"/>
      </w:pPr>
      <w:rPr>
        <w:rFonts w:ascii="Symbol" w:hAnsi="Symbol" w:hint="default"/>
      </w:r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59763D82"/>
    <w:multiLevelType w:val="hybridMultilevel"/>
    <w:tmpl w:val="DF80C0C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 w15:restartNumberingAfterBreak="0">
    <w:nsid w:val="5BFE598C"/>
    <w:multiLevelType w:val="hybridMultilevel"/>
    <w:tmpl w:val="304C3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2A7B82"/>
    <w:multiLevelType w:val="hybridMultilevel"/>
    <w:tmpl w:val="64E2AE1C"/>
    <w:lvl w:ilvl="0" w:tplc="F678F33E">
      <w:start w:val="1"/>
      <w:numFmt w:val="decimal"/>
      <w:lvlText w:val="%1."/>
      <w:lvlJc w:val="left"/>
      <w:pPr>
        <w:ind w:left="720" w:hanging="360"/>
      </w:pPr>
      <w:rPr>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60AD0DD1"/>
    <w:multiLevelType w:val="hybridMultilevel"/>
    <w:tmpl w:val="5112A0FE"/>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7" w15:restartNumberingAfterBreak="0">
    <w:nsid w:val="62523754"/>
    <w:multiLevelType w:val="hybridMultilevel"/>
    <w:tmpl w:val="8B46750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 w15:restartNumberingAfterBreak="0">
    <w:nsid w:val="66A6319F"/>
    <w:multiLevelType w:val="multilevel"/>
    <w:tmpl w:val="4FBEB2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446E2B"/>
    <w:multiLevelType w:val="hybridMultilevel"/>
    <w:tmpl w:val="07B2B022"/>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30" w15:restartNumberingAfterBreak="0">
    <w:nsid w:val="6C4A246F"/>
    <w:multiLevelType w:val="hybridMultilevel"/>
    <w:tmpl w:val="01B6E3F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703020F6"/>
    <w:multiLevelType w:val="multilevel"/>
    <w:tmpl w:val="46DE0F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38F05A7"/>
    <w:multiLevelType w:val="hybridMultilevel"/>
    <w:tmpl w:val="305246CC"/>
    <w:lvl w:ilvl="0" w:tplc="E47C08DC">
      <w:start w:val="1"/>
      <w:numFmt w:val="bullet"/>
      <w:lvlText w:val=""/>
      <w:lvlJc w:val="left"/>
      <w:pPr>
        <w:ind w:left="1434" w:hanging="360"/>
      </w:pPr>
      <w:rPr>
        <w:rFonts w:ascii="Wingdings" w:hAnsi="Wingdings" w:hint="default"/>
        <w:color w:val="000000" w:themeColor="text1"/>
        <w:sz w:val="22"/>
      </w:rPr>
    </w:lvl>
    <w:lvl w:ilvl="1" w:tplc="0C090003">
      <w:start w:val="1"/>
      <w:numFmt w:val="bullet"/>
      <w:lvlText w:val="o"/>
      <w:lvlJc w:val="left"/>
      <w:pPr>
        <w:ind w:left="2154" w:hanging="360"/>
      </w:pPr>
      <w:rPr>
        <w:rFonts w:ascii="Courier New" w:hAnsi="Courier New" w:cs="Courier New" w:hint="default"/>
      </w:rPr>
    </w:lvl>
    <w:lvl w:ilvl="2" w:tplc="0C090005">
      <w:start w:val="1"/>
      <w:numFmt w:val="bullet"/>
      <w:lvlText w:val=""/>
      <w:lvlJc w:val="left"/>
      <w:pPr>
        <w:ind w:left="2874" w:hanging="360"/>
      </w:pPr>
      <w:rPr>
        <w:rFonts w:ascii="Wingdings" w:hAnsi="Wingdings" w:hint="default"/>
      </w:rPr>
    </w:lvl>
    <w:lvl w:ilvl="3" w:tplc="0C090001">
      <w:start w:val="1"/>
      <w:numFmt w:val="bullet"/>
      <w:lvlText w:val=""/>
      <w:lvlJc w:val="left"/>
      <w:pPr>
        <w:ind w:left="3594" w:hanging="360"/>
      </w:pPr>
      <w:rPr>
        <w:rFonts w:ascii="Symbol" w:hAnsi="Symbol" w:hint="default"/>
      </w:rPr>
    </w:lvl>
    <w:lvl w:ilvl="4" w:tplc="0C090003">
      <w:start w:val="1"/>
      <w:numFmt w:val="bullet"/>
      <w:lvlText w:val="o"/>
      <w:lvlJc w:val="left"/>
      <w:pPr>
        <w:ind w:left="4314" w:hanging="360"/>
      </w:pPr>
      <w:rPr>
        <w:rFonts w:ascii="Courier New" w:hAnsi="Courier New" w:cs="Courier New" w:hint="default"/>
      </w:rPr>
    </w:lvl>
    <w:lvl w:ilvl="5" w:tplc="0C090005">
      <w:start w:val="1"/>
      <w:numFmt w:val="bullet"/>
      <w:lvlText w:val=""/>
      <w:lvlJc w:val="left"/>
      <w:pPr>
        <w:ind w:left="5034" w:hanging="360"/>
      </w:pPr>
      <w:rPr>
        <w:rFonts w:ascii="Wingdings" w:hAnsi="Wingdings" w:hint="default"/>
      </w:rPr>
    </w:lvl>
    <w:lvl w:ilvl="6" w:tplc="0C090001">
      <w:start w:val="1"/>
      <w:numFmt w:val="bullet"/>
      <w:lvlText w:val=""/>
      <w:lvlJc w:val="left"/>
      <w:pPr>
        <w:ind w:left="5754" w:hanging="360"/>
      </w:pPr>
      <w:rPr>
        <w:rFonts w:ascii="Symbol" w:hAnsi="Symbol" w:hint="default"/>
      </w:rPr>
    </w:lvl>
    <w:lvl w:ilvl="7" w:tplc="0C090003">
      <w:start w:val="1"/>
      <w:numFmt w:val="bullet"/>
      <w:lvlText w:val="o"/>
      <w:lvlJc w:val="left"/>
      <w:pPr>
        <w:ind w:left="6474" w:hanging="360"/>
      </w:pPr>
      <w:rPr>
        <w:rFonts w:ascii="Courier New" w:hAnsi="Courier New" w:cs="Courier New" w:hint="default"/>
      </w:rPr>
    </w:lvl>
    <w:lvl w:ilvl="8" w:tplc="0C090005">
      <w:start w:val="1"/>
      <w:numFmt w:val="bullet"/>
      <w:lvlText w:val=""/>
      <w:lvlJc w:val="left"/>
      <w:pPr>
        <w:ind w:left="7194" w:hanging="360"/>
      </w:pPr>
      <w:rPr>
        <w:rFonts w:ascii="Wingdings" w:hAnsi="Wingdings" w:hint="default"/>
      </w:rPr>
    </w:lvl>
  </w:abstractNum>
  <w:abstractNum w:abstractNumId="33" w15:restartNumberingAfterBreak="0">
    <w:nsid w:val="77263FCA"/>
    <w:multiLevelType w:val="hybridMultilevel"/>
    <w:tmpl w:val="E22C5D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C4E1D44"/>
    <w:multiLevelType w:val="hybridMultilevel"/>
    <w:tmpl w:val="D9FC2A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C5B0524"/>
    <w:multiLevelType w:val="hybridMultilevel"/>
    <w:tmpl w:val="AC5CD35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 w15:restartNumberingAfterBreak="0">
    <w:nsid w:val="7E067FA6"/>
    <w:multiLevelType w:val="multilevel"/>
    <w:tmpl w:val="B8925110"/>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num w:numId="1" w16cid:durableId="281543186">
    <w:abstractNumId w:val="0"/>
  </w:num>
  <w:num w:numId="2" w16cid:durableId="921447842">
    <w:abstractNumId w:val="5"/>
  </w:num>
  <w:num w:numId="3" w16cid:durableId="519710088">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87423050">
    <w:abstractNumId w:val="29"/>
  </w:num>
  <w:num w:numId="5" w16cid:durableId="1015425076">
    <w:abstractNumId w:val="9"/>
  </w:num>
  <w:num w:numId="6" w16cid:durableId="631056292">
    <w:abstractNumId w:val="35"/>
  </w:num>
  <w:num w:numId="7" w16cid:durableId="208535905">
    <w:abstractNumId w:val="19"/>
  </w:num>
  <w:num w:numId="8" w16cid:durableId="280693725">
    <w:abstractNumId w:val="27"/>
  </w:num>
  <w:num w:numId="9" w16cid:durableId="1774931878">
    <w:abstractNumId w:val="13"/>
  </w:num>
  <w:num w:numId="10" w16cid:durableId="654530787">
    <w:abstractNumId w:val="23"/>
  </w:num>
  <w:num w:numId="11" w16cid:durableId="1836190993">
    <w:abstractNumId w:val="10"/>
  </w:num>
  <w:num w:numId="12" w16cid:durableId="363676133">
    <w:abstractNumId w:val="34"/>
  </w:num>
  <w:num w:numId="13" w16cid:durableId="41487208">
    <w:abstractNumId w:val="2"/>
  </w:num>
  <w:num w:numId="14" w16cid:durableId="1646161125">
    <w:abstractNumId w:val="22"/>
  </w:num>
  <w:num w:numId="15" w16cid:durableId="1326282675">
    <w:abstractNumId w:val="21"/>
  </w:num>
  <w:num w:numId="16" w16cid:durableId="1122380396">
    <w:abstractNumId w:val="8"/>
  </w:num>
  <w:num w:numId="17" w16cid:durableId="403914248">
    <w:abstractNumId w:val="12"/>
  </w:num>
  <w:num w:numId="18" w16cid:durableId="648480446">
    <w:abstractNumId w:val="16"/>
  </w:num>
  <w:num w:numId="19" w16cid:durableId="2079478298">
    <w:abstractNumId w:val="3"/>
  </w:num>
  <w:num w:numId="20" w16cid:durableId="1547906408">
    <w:abstractNumId w:val="32"/>
  </w:num>
  <w:num w:numId="21" w16cid:durableId="2048985738">
    <w:abstractNumId w:val="7"/>
  </w:num>
  <w:num w:numId="22" w16cid:durableId="1749576917">
    <w:abstractNumId w:val="1"/>
  </w:num>
  <w:num w:numId="23" w16cid:durableId="208806000">
    <w:abstractNumId w:val="36"/>
  </w:num>
  <w:num w:numId="24" w16cid:durableId="975795395">
    <w:abstractNumId w:val="20"/>
  </w:num>
  <w:num w:numId="25" w16cid:durableId="1179931024">
    <w:abstractNumId w:val="31"/>
  </w:num>
  <w:num w:numId="26" w16cid:durableId="2033142440">
    <w:abstractNumId w:val="25"/>
  </w:num>
  <w:num w:numId="27" w16cid:durableId="1030108149">
    <w:abstractNumId w:val="11"/>
  </w:num>
  <w:num w:numId="28" w16cid:durableId="1941453805">
    <w:abstractNumId w:val="18"/>
  </w:num>
  <w:num w:numId="29" w16cid:durableId="2052265556">
    <w:abstractNumId w:val="15"/>
  </w:num>
  <w:num w:numId="30" w16cid:durableId="617952508">
    <w:abstractNumId w:val="30"/>
  </w:num>
  <w:num w:numId="31" w16cid:durableId="1146093863">
    <w:abstractNumId w:val="6"/>
  </w:num>
  <w:num w:numId="32" w16cid:durableId="887494948">
    <w:abstractNumId w:val="14"/>
  </w:num>
  <w:num w:numId="33" w16cid:durableId="1823425318">
    <w:abstractNumId w:val="24"/>
  </w:num>
  <w:num w:numId="34" w16cid:durableId="1223062521">
    <w:abstractNumId w:val="4"/>
  </w:num>
  <w:num w:numId="35" w16cid:durableId="1049766969">
    <w:abstractNumId w:val="28"/>
  </w:num>
  <w:num w:numId="36" w16cid:durableId="1162162510">
    <w:abstractNumId w:val="17"/>
  </w:num>
  <w:num w:numId="37" w16cid:durableId="42801686">
    <w:abstractNumId w:val="3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EA3"/>
    <w:rsid w:val="00001D7F"/>
    <w:rsid w:val="00001ED0"/>
    <w:rsid w:val="00004709"/>
    <w:rsid w:val="00006019"/>
    <w:rsid w:val="000068C1"/>
    <w:rsid w:val="0000708D"/>
    <w:rsid w:val="00010517"/>
    <w:rsid w:val="00011BC4"/>
    <w:rsid w:val="00011C2C"/>
    <w:rsid w:val="000122BC"/>
    <w:rsid w:val="000140CF"/>
    <w:rsid w:val="00015994"/>
    <w:rsid w:val="00015BD8"/>
    <w:rsid w:val="00015FFE"/>
    <w:rsid w:val="000170D4"/>
    <w:rsid w:val="000176F1"/>
    <w:rsid w:val="000208D7"/>
    <w:rsid w:val="000224DA"/>
    <w:rsid w:val="00022A7F"/>
    <w:rsid w:val="00023237"/>
    <w:rsid w:val="000251A9"/>
    <w:rsid w:val="00025316"/>
    <w:rsid w:val="000262C4"/>
    <w:rsid w:val="00026FA2"/>
    <w:rsid w:val="00030DAB"/>
    <w:rsid w:val="00031203"/>
    <w:rsid w:val="00032F45"/>
    <w:rsid w:val="00034A72"/>
    <w:rsid w:val="00041697"/>
    <w:rsid w:val="00042431"/>
    <w:rsid w:val="00042C79"/>
    <w:rsid w:val="00045746"/>
    <w:rsid w:val="0004617E"/>
    <w:rsid w:val="0005064A"/>
    <w:rsid w:val="0005256A"/>
    <w:rsid w:val="00052585"/>
    <w:rsid w:val="0005335E"/>
    <w:rsid w:val="0005470C"/>
    <w:rsid w:val="0005492D"/>
    <w:rsid w:val="000558B4"/>
    <w:rsid w:val="00062453"/>
    <w:rsid w:val="00062623"/>
    <w:rsid w:val="00071BFF"/>
    <w:rsid w:val="0007217F"/>
    <w:rsid w:val="00075EA8"/>
    <w:rsid w:val="00076B2F"/>
    <w:rsid w:val="00080429"/>
    <w:rsid w:val="00080BC2"/>
    <w:rsid w:val="00081783"/>
    <w:rsid w:val="00081E78"/>
    <w:rsid w:val="000828BA"/>
    <w:rsid w:val="00082A19"/>
    <w:rsid w:val="00083C46"/>
    <w:rsid w:val="00084F36"/>
    <w:rsid w:val="00085AD9"/>
    <w:rsid w:val="0009085F"/>
    <w:rsid w:val="00091417"/>
    <w:rsid w:val="000944B1"/>
    <w:rsid w:val="000946D7"/>
    <w:rsid w:val="000950BD"/>
    <w:rsid w:val="000A17C2"/>
    <w:rsid w:val="000A1A04"/>
    <w:rsid w:val="000A31AE"/>
    <w:rsid w:val="000A4C5A"/>
    <w:rsid w:val="000A6F79"/>
    <w:rsid w:val="000A79B0"/>
    <w:rsid w:val="000A7B3B"/>
    <w:rsid w:val="000B01E5"/>
    <w:rsid w:val="000B0F97"/>
    <w:rsid w:val="000B10EE"/>
    <w:rsid w:val="000B142A"/>
    <w:rsid w:val="000B37D3"/>
    <w:rsid w:val="000B495A"/>
    <w:rsid w:val="000B5F71"/>
    <w:rsid w:val="000B731B"/>
    <w:rsid w:val="000B7D68"/>
    <w:rsid w:val="000C13C7"/>
    <w:rsid w:val="000C1D43"/>
    <w:rsid w:val="000C1D9B"/>
    <w:rsid w:val="000C2815"/>
    <w:rsid w:val="000C3046"/>
    <w:rsid w:val="000C3440"/>
    <w:rsid w:val="000C6566"/>
    <w:rsid w:val="000D0955"/>
    <w:rsid w:val="000D23DC"/>
    <w:rsid w:val="000D2973"/>
    <w:rsid w:val="000D4478"/>
    <w:rsid w:val="000D4725"/>
    <w:rsid w:val="000D74A1"/>
    <w:rsid w:val="000E073E"/>
    <w:rsid w:val="000E3A54"/>
    <w:rsid w:val="000F205A"/>
    <w:rsid w:val="000F31ED"/>
    <w:rsid w:val="000F37BB"/>
    <w:rsid w:val="000F6C5C"/>
    <w:rsid w:val="000F7592"/>
    <w:rsid w:val="00102F93"/>
    <w:rsid w:val="00103877"/>
    <w:rsid w:val="001040B6"/>
    <w:rsid w:val="00104B8B"/>
    <w:rsid w:val="001053B8"/>
    <w:rsid w:val="00107296"/>
    <w:rsid w:val="001157C9"/>
    <w:rsid w:val="00115C47"/>
    <w:rsid w:val="00115F4F"/>
    <w:rsid w:val="00120073"/>
    <w:rsid w:val="00120E37"/>
    <w:rsid w:val="00123867"/>
    <w:rsid w:val="00124665"/>
    <w:rsid w:val="00125B1C"/>
    <w:rsid w:val="00125C27"/>
    <w:rsid w:val="001268F4"/>
    <w:rsid w:val="00126FA4"/>
    <w:rsid w:val="00127770"/>
    <w:rsid w:val="001301AB"/>
    <w:rsid w:val="001339A6"/>
    <w:rsid w:val="00135F3A"/>
    <w:rsid w:val="00140168"/>
    <w:rsid w:val="00140799"/>
    <w:rsid w:val="00141EB4"/>
    <w:rsid w:val="00141F02"/>
    <w:rsid w:val="0014516D"/>
    <w:rsid w:val="00146E25"/>
    <w:rsid w:val="00146EAC"/>
    <w:rsid w:val="0015034E"/>
    <w:rsid w:val="001516BE"/>
    <w:rsid w:val="00151B5F"/>
    <w:rsid w:val="001523FA"/>
    <w:rsid w:val="00154D0C"/>
    <w:rsid w:val="00162530"/>
    <w:rsid w:val="00165B4A"/>
    <w:rsid w:val="00166342"/>
    <w:rsid w:val="001701BE"/>
    <w:rsid w:val="0017080C"/>
    <w:rsid w:val="00170F0F"/>
    <w:rsid w:val="001732DA"/>
    <w:rsid w:val="00174370"/>
    <w:rsid w:val="001762E1"/>
    <w:rsid w:val="00176975"/>
    <w:rsid w:val="001809DF"/>
    <w:rsid w:val="0018131E"/>
    <w:rsid w:val="001818F5"/>
    <w:rsid w:val="00183435"/>
    <w:rsid w:val="001925BC"/>
    <w:rsid w:val="0019385B"/>
    <w:rsid w:val="00194119"/>
    <w:rsid w:val="00196239"/>
    <w:rsid w:val="00197DE1"/>
    <w:rsid w:val="001A1DB1"/>
    <w:rsid w:val="001A1EBF"/>
    <w:rsid w:val="001A28AE"/>
    <w:rsid w:val="001A488F"/>
    <w:rsid w:val="001A55A1"/>
    <w:rsid w:val="001A6BD5"/>
    <w:rsid w:val="001A7E7E"/>
    <w:rsid w:val="001B142E"/>
    <w:rsid w:val="001B15D2"/>
    <w:rsid w:val="001B1DA8"/>
    <w:rsid w:val="001B3567"/>
    <w:rsid w:val="001B48FC"/>
    <w:rsid w:val="001B6FB0"/>
    <w:rsid w:val="001B734E"/>
    <w:rsid w:val="001C0493"/>
    <w:rsid w:val="001C0DA0"/>
    <w:rsid w:val="001C15C9"/>
    <w:rsid w:val="001C5015"/>
    <w:rsid w:val="001C6394"/>
    <w:rsid w:val="001C7354"/>
    <w:rsid w:val="001C77D2"/>
    <w:rsid w:val="001D0111"/>
    <w:rsid w:val="001D1574"/>
    <w:rsid w:val="001D27B6"/>
    <w:rsid w:val="001D2B4F"/>
    <w:rsid w:val="001D4F6A"/>
    <w:rsid w:val="001D5DC1"/>
    <w:rsid w:val="001D73E3"/>
    <w:rsid w:val="001D7CAA"/>
    <w:rsid w:val="001E0C4E"/>
    <w:rsid w:val="001E1E1C"/>
    <w:rsid w:val="001E52E9"/>
    <w:rsid w:val="001E589F"/>
    <w:rsid w:val="001E6AE9"/>
    <w:rsid w:val="001E6FF7"/>
    <w:rsid w:val="001E7453"/>
    <w:rsid w:val="001F00D8"/>
    <w:rsid w:val="001F00DA"/>
    <w:rsid w:val="001F1308"/>
    <w:rsid w:val="001F1F9E"/>
    <w:rsid w:val="001F202D"/>
    <w:rsid w:val="001F3B40"/>
    <w:rsid w:val="001F3D3A"/>
    <w:rsid w:val="001F4AB7"/>
    <w:rsid w:val="001F5E95"/>
    <w:rsid w:val="00202104"/>
    <w:rsid w:val="0020429A"/>
    <w:rsid w:val="00205E37"/>
    <w:rsid w:val="00207B29"/>
    <w:rsid w:val="0021023A"/>
    <w:rsid w:val="002127E1"/>
    <w:rsid w:val="00213371"/>
    <w:rsid w:val="00214091"/>
    <w:rsid w:val="00215766"/>
    <w:rsid w:val="00217915"/>
    <w:rsid w:val="00220FDC"/>
    <w:rsid w:val="002267F4"/>
    <w:rsid w:val="002314A0"/>
    <w:rsid w:val="002334EE"/>
    <w:rsid w:val="002340FB"/>
    <w:rsid w:val="0023701E"/>
    <w:rsid w:val="00241CB8"/>
    <w:rsid w:val="0024211A"/>
    <w:rsid w:val="00242DD0"/>
    <w:rsid w:val="00242E5C"/>
    <w:rsid w:val="00243179"/>
    <w:rsid w:val="00243627"/>
    <w:rsid w:val="00244B8E"/>
    <w:rsid w:val="002468DE"/>
    <w:rsid w:val="00247165"/>
    <w:rsid w:val="002479AA"/>
    <w:rsid w:val="00250438"/>
    <w:rsid w:val="00250841"/>
    <w:rsid w:val="00253F0C"/>
    <w:rsid w:val="002559BD"/>
    <w:rsid w:val="00260CD0"/>
    <w:rsid w:val="0026452E"/>
    <w:rsid w:val="0026780D"/>
    <w:rsid w:val="00267AD2"/>
    <w:rsid w:val="00267F39"/>
    <w:rsid w:val="00270544"/>
    <w:rsid w:val="00271194"/>
    <w:rsid w:val="002734F4"/>
    <w:rsid w:val="00274D77"/>
    <w:rsid w:val="0027617C"/>
    <w:rsid w:val="002764F3"/>
    <w:rsid w:val="002849CD"/>
    <w:rsid w:val="00287B53"/>
    <w:rsid w:val="00291DC3"/>
    <w:rsid w:val="00291E2A"/>
    <w:rsid w:val="00291F67"/>
    <w:rsid w:val="002929F1"/>
    <w:rsid w:val="00295444"/>
    <w:rsid w:val="00295718"/>
    <w:rsid w:val="002970EA"/>
    <w:rsid w:val="002A0C6F"/>
    <w:rsid w:val="002A2ED5"/>
    <w:rsid w:val="002A31E2"/>
    <w:rsid w:val="002A6D64"/>
    <w:rsid w:val="002A6F47"/>
    <w:rsid w:val="002A787D"/>
    <w:rsid w:val="002A7CA5"/>
    <w:rsid w:val="002B04A4"/>
    <w:rsid w:val="002B36A2"/>
    <w:rsid w:val="002B4B73"/>
    <w:rsid w:val="002B55FC"/>
    <w:rsid w:val="002B5E30"/>
    <w:rsid w:val="002B670B"/>
    <w:rsid w:val="002C2B77"/>
    <w:rsid w:val="002C322C"/>
    <w:rsid w:val="002C35D1"/>
    <w:rsid w:val="002D18C1"/>
    <w:rsid w:val="002D215F"/>
    <w:rsid w:val="002D6990"/>
    <w:rsid w:val="002E0E89"/>
    <w:rsid w:val="002E277E"/>
    <w:rsid w:val="002E496A"/>
    <w:rsid w:val="002E4CA5"/>
    <w:rsid w:val="002E4D6D"/>
    <w:rsid w:val="002E5207"/>
    <w:rsid w:val="002E6F82"/>
    <w:rsid w:val="002F1447"/>
    <w:rsid w:val="002F170D"/>
    <w:rsid w:val="002F5E57"/>
    <w:rsid w:val="002F63CD"/>
    <w:rsid w:val="002F7907"/>
    <w:rsid w:val="00300732"/>
    <w:rsid w:val="00300AE4"/>
    <w:rsid w:val="003012EB"/>
    <w:rsid w:val="00301EF1"/>
    <w:rsid w:val="0030259A"/>
    <w:rsid w:val="00304276"/>
    <w:rsid w:val="00304325"/>
    <w:rsid w:val="00304408"/>
    <w:rsid w:val="00305A57"/>
    <w:rsid w:val="00306FB3"/>
    <w:rsid w:val="0031116A"/>
    <w:rsid w:val="0031199E"/>
    <w:rsid w:val="003136FF"/>
    <w:rsid w:val="0031505C"/>
    <w:rsid w:val="00315834"/>
    <w:rsid w:val="00316FE0"/>
    <w:rsid w:val="003174D2"/>
    <w:rsid w:val="0031793A"/>
    <w:rsid w:val="003201B6"/>
    <w:rsid w:val="00324474"/>
    <w:rsid w:val="0032468A"/>
    <w:rsid w:val="003246B8"/>
    <w:rsid w:val="003253F3"/>
    <w:rsid w:val="003256A6"/>
    <w:rsid w:val="00325C62"/>
    <w:rsid w:val="0032625C"/>
    <w:rsid w:val="003262B5"/>
    <w:rsid w:val="003311FC"/>
    <w:rsid w:val="00331211"/>
    <w:rsid w:val="00333777"/>
    <w:rsid w:val="00334065"/>
    <w:rsid w:val="003343DE"/>
    <w:rsid w:val="00335EF0"/>
    <w:rsid w:val="00336911"/>
    <w:rsid w:val="0033735C"/>
    <w:rsid w:val="00340645"/>
    <w:rsid w:val="00343FBC"/>
    <w:rsid w:val="00345276"/>
    <w:rsid w:val="0034567E"/>
    <w:rsid w:val="003457AF"/>
    <w:rsid w:val="00346EE7"/>
    <w:rsid w:val="00351663"/>
    <w:rsid w:val="003543F9"/>
    <w:rsid w:val="00354511"/>
    <w:rsid w:val="00355CE0"/>
    <w:rsid w:val="00356337"/>
    <w:rsid w:val="003566E6"/>
    <w:rsid w:val="00357356"/>
    <w:rsid w:val="00360AAA"/>
    <w:rsid w:val="00360CF1"/>
    <w:rsid w:val="00360E40"/>
    <w:rsid w:val="00363866"/>
    <w:rsid w:val="00363A9B"/>
    <w:rsid w:val="00364B56"/>
    <w:rsid w:val="00364DFD"/>
    <w:rsid w:val="003674EE"/>
    <w:rsid w:val="00367578"/>
    <w:rsid w:val="003678DD"/>
    <w:rsid w:val="003707A6"/>
    <w:rsid w:val="0037090A"/>
    <w:rsid w:val="00370DB0"/>
    <w:rsid w:val="003717AD"/>
    <w:rsid w:val="003738FA"/>
    <w:rsid w:val="0037560A"/>
    <w:rsid w:val="00375C25"/>
    <w:rsid w:val="00376FC8"/>
    <w:rsid w:val="00377190"/>
    <w:rsid w:val="00380759"/>
    <w:rsid w:val="00383B79"/>
    <w:rsid w:val="00385A66"/>
    <w:rsid w:val="0038709E"/>
    <w:rsid w:val="003921E0"/>
    <w:rsid w:val="003928DD"/>
    <w:rsid w:val="0039393B"/>
    <w:rsid w:val="00394ADC"/>
    <w:rsid w:val="00394F39"/>
    <w:rsid w:val="00395103"/>
    <w:rsid w:val="00396CE8"/>
    <w:rsid w:val="00396E92"/>
    <w:rsid w:val="00397798"/>
    <w:rsid w:val="003A0CDE"/>
    <w:rsid w:val="003A4422"/>
    <w:rsid w:val="003A4907"/>
    <w:rsid w:val="003A63B6"/>
    <w:rsid w:val="003B02BF"/>
    <w:rsid w:val="003B1024"/>
    <w:rsid w:val="003B504F"/>
    <w:rsid w:val="003B51D5"/>
    <w:rsid w:val="003B5EC7"/>
    <w:rsid w:val="003B71B8"/>
    <w:rsid w:val="003B7ED0"/>
    <w:rsid w:val="003C086A"/>
    <w:rsid w:val="003C4C6A"/>
    <w:rsid w:val="003C4D8A"/>
    <w:rsid w:val="003C6752"/>
    <w:rsid w:val="003D09A4"/>
    <w:rsid w:val="003D1F90"/>
    <w:rsid w:val="003D68F4"/>
    <w:rsid w:val="003E08CF"/>
    <w:rsid w:val="003E1A03"/>
    <w:rsid w:val="003E29CB"/>
    <w:rsid w:val="003E4CF7"/>
    <w:rsid w:val="003F0A18"/>
    <w:rsid w:val="003F0A6D"/>
    <w:rsid w:val="003F4F09"/>
    <w:rsid w:val="003F5234"/>
    <w:rsid w:val="003F5EBA"/>
    <w:rsid w:val="003F76C0"/>
    <w:rsid w:val="003F7FB0"/>
    <w:rsid w:val="004012EE"/>
    <w:rsid w:val="00402628"/>
    <w:rsid w:val="00402A39"/>
    <w:rsid w:val="00402ED2"/>
    <w:rsid w:val="0040359F"/>
    <w:rsid w:val="00405B4D"/>
    <w:rsid w:val="00405E65"/>
    <w:rsid w:val="00410382"/>
    <w:rsid w:val="0041084E"/>
    <w:rsid w:val="0041129F"/>
    <w:rsid w:val="004135AF"/>
    <w:rsid w:val="00413CD8"/>
    <w:rsid w:val="00415156"/>
    <w:rsid w:val="00415C05"/>
    <w:rsid w:val="00417096"/>
    <w:rsid w:val="00417359"/>
    <w:rsid w:val="00417C1E"/>
    <w:rsid w:val="0042207E"/>
    <w:rsid w:val="004252BF"/>
    <w:rsid w:val="0042717D"/>
    <w:rsid w:val="00427287"/>
    <w:rsid w:val="00427D43"/>
    <w:rsid w:val="004309A8"/>
    <w:rsid w:val="00430F1B"/>
    <w:rsid w:val="00433BF2"/>
    <w:rsid w:val="00433F39"/>
    <w:rsid w:val="00444231"/>
    <w:rsid w:val="004447E8"/>
    <w:rsid w:val="00445A58"/>
    <w:rsid w:val="00447393"/>
    <w:rsid w:val="004501D5"/>
    <w:rsid w:val="00452B47"/>
    <w:rsid w:val="0045309D"/>
    <w:rsid w:val="0045556E"/>
    <w:rsid w:val="004610A3"/>
    <w:rsid w:val="00463C8D"/>
    <w:rsid w:val="00465993"/>
    <w:rsid w:val="00465B07"/>
    <w:rsid w:val="00465CB6"/>
    <w:rsid w:val="0046698F"/>
    <w:rsid w:val="00467EC2"/>
    <w:rsid w:val="004701BF"/>
    <w:rsid w:val="004708F4"/>
    <w:rsid w:val="00471EB0"/>
    <w:rsid w:val="00472F87"/>
    <w:rsid w:val="00475A3B"/>
    <w:rsid w:val="00476569"/>
    <w:rsid w:val="00476815"/>
    <w:rsid w:val="00480028"/>
    <w:rsid w:val="00484A7D"/>
    <w:rsid w:val="00485B6B"/>
    <w:rsid w:val="00487871"/>
    <w:rsid w:val="004906AC"/>
    <w:rsid w:val="004909C8"/>
    <w:rsid w:val="00491BF8"/>
    <w:rsid w:val="004934F4"/>
    <w:rsid w:val="00495ED4"/>
    <w:rsid w:val="00496227"/>
    <w:rsid w:val="00496941"/>
    <w:rsid w:val="00497B0E"/>
    <w:rsid w:val="004A0944"/>
    <w:rsid w:val="004A17E4"/>
    <w:rsid w:val="004A1ECB"/>
    <w:rsid w:val="004A438B"/>
    <w:rsid w:val="004A4814"/>
    <w:rsid w:val="004A5249"/>
    <w:rsid w:val="004A6057"/>
    <w:rsid w:val="004B25C7"/>
    <w:rsid w:val="004B3054"/>
    <w:rsid w:val="004B3DDA"/>
    <w:rsid w:val="004B4BD6"/>
    <w:rsid w:val="004B50A8"/>
    <w:rsid w:val="004B6B4D"/>
    <w:rsid w:val="004C31FE"/>
    <w:rsid w:val="004C366F"/>
    <w:rsid w:val="004C39E4"/>
    <w:rsid w:val="004C4730"/>
    <w:rsid w:val="004C57D1"/>
    <w:rsid w:val="004C5E89"/>
    <w:rsid w:val="004C6240"/>
    <w:rsid w:val="004C6A0F"/>
    <w:rsid w:val="004C6E7E"/>
    <w:rsid w:val="004D022F"/>
    <w:rsid w:val="004D2121"/>
    <w:rsid w:val="004D48C5"/>
    <w:rsid w:val="004D5865"/>
    <w:rsid w:val="004D5A01"/>
    <w:rsid w:val="004D5BB7"/>
    <w:rsid w:val="004D7661"/>
    <w:rsid w:val="004E342D"/>
    <w:rsid w:val="004E3793"/>
    <w:rsid w:val="004E3A2A"/>
    <w:rsid w:val="004E3ED8"/>
    <w:rsid w:val="004E44E7"/>
    <w:rsid w:val="004E4C78"/>
    <w:rsid w:val="004E6F29"/>
    <w:rsid w:val="004F1245"/>
    <w:rsid w:val="004F163B"/>
    <w:rsid w:val="004F1FF8"/>
    <w:rsid w:val="004F350F"/>
    <w:rsid w:val="004F4B32"/>
    <w:rsid w:val="00501D9E"/>
    <w:rsid w:val="0050288B"/>
    <w:rsid w:val="00503800"/>
    <w:rsid w:val="00504576"/>
    <w:rsid w:val="005046A2"/>
    <w:rsid w:val="00505E23"/>
    <w:rsid w:val="005109FA"/>
    <w:rsid w:val="00510FC8"/>
    <w:rsid w:val="005152B2"/>
    <w:rsid w:val="005210BA"/>
    <w:rsid w:val="005211D0"/>
    <w:rsid w:val="00521CF5"/>
    <w:rsid w:val="00521E1F"/>
    <w:rsid w:val="00523BC7"/>
    <w:rsid w:val="005260DC"/>
    <w:rsid w:val="00526B76"/>
    <w:rsid w:val="00527801"/>
    <w:rsid w:val="00533E97"/>
    <w:rsid w:val="00535428"/>
    <w:rsid w:val="00535597"/>
    <w:rsid w:val="005372FB"/>
    <w:rsid w:val="00537AF3"/>
    <w:rsid w:val="0054009E"/>
    <w:rsid w:val="00540850"/>
    <w:rsid w:val="00540DD2"/>
    <w:rsid w:val="00541A68"/>
    <w:rsid w:val="00542558"/>
    <w:rsid w:val="005459E3"/>
    <w:rsid w:val="00547606"/>
    <w:rsid w:val="0055096C"/>
    <w:rsid w:val="00550C59"/>
    <w:rsid w:val="0055495E"/>
    <w:rsid w:val="0055524C"/>
    <w:rsid w:val="0055549E"/>
    <w:rsid w:val="005554F8"/>
    <w:rsid w:val="005569D6"/>
    <w:rsid w:val="005570EF"/>
    <w:rsid w:val="005612D1"/>
    <w:rsid w:val="0056196D"/>
    <w:rsid w:val="00562E7C"/>
    <w:rsid w:val="00563B55"/>
    <w:rsid w:val="00564506"/>
    <w:rsid w:val="00567797"/>
    <w:rsid w:val="005709F3"/>
    <w:rsid w:val="005721E9"/>
    <w:rsid w:val="005727C7"/>
    <w:rsid w:val="00575685"/>
    <w:rsid w:val="00576205"/>
    <w:rsid w:val="00576D9A"/>
    <w:rsid w:val="00580C9B"/>
    <w:rsid w:val="005824D1"/>
    <w:rsid w:val="00587B5E"/>
    <w:rsid w:val="0059693A"/>
    <w:rsid w:val="005A08FC"/>
    <w:rsid w:val="005A3081"/>
    <w:rsid w:val="005B06F2"/>
    <w:rsid w:val="005B0E87"/>
    <w:rsid w:val="005B3820"/>
    <w:rsid w:val="005B5282"/>
    <w:rsid w:val="005B75CC"/>
    <w:rsid w:val="005B76C4"/>
    <w:rsid w:val="005C004D"/>
    <w:rsid w:val="005C3604"/>
    <w:rsid w:val="005C63A6"/>
    <w:rsid w:val="005D1449"/>
    <w:rsid w:val="005D20D7"/>
    <w:rsid w:val="005D49B3"/>
    <w:rsid w:val="005D4E6C"/>
    <w:rsid w:val="005D5624"/>
    <w:rsid w:val="005D5C12"/>
    <w:rsid w:val="005D6594"/>
    <w:rsid w:val="005D76BD"/>
    <w:rsid w:val="005E01D5"/>
    <w:rsid w:val="005E1497"/>
    <w:rsid w:val="005E22C9"/>
    <w:rsid w:val="005E2B0D"/>
    <w:rsid w:val="005E2CDF"/>
    <w:rsid w:val="005E36A4"/>
    <w:rsid w:val="005E6584"/>
    <w:rsid w:val="005F01D8"/>
    <w:rsid w:val="005F05D9"/>
    <w:rsid w:val="005F1D47"/>
    <w:rsid w:val="005F2932"/>
    <w:rsid w:val="005F2B22"/>
    <w:rsid w:val="005F5071"/>
    <w:rsid w:val="0060136F"/>
    <w:rsid w:val="00601C47"/>
    <w:rsid w:val="00601E2D"/>
    <w:rsid w:val="006034AF"/>
    <w:rsid w:val="00607868"/>
    <w:rsid w:val="00611BE2"/>
    <w:rsid w:val="006129E9"/>
    <w:rsid w:val="0061520E"/>
    <w:rsid w:val="00616644"/>
    <w:rsid w:val="00617A76"/>
    <w:rsid w:val="0062140E"/>
    <w:rsid w:val="00623A83"/>
    <w:rsid w:val="00625071"/>
    <w:rsid w:val="006264D2"/>
    <w:rsid w:val="00626736"/>
    <w:rsid w:val="00631EEA"/>
    <w:rsid w:val="00633BD5"/>
    <w:rsid w:val="0064055A"/>
    <w:rsid w:val="0064140D"/>
    <w:rsid w:val="0064194B"/>
    <w:rsid w:val="00642276"/>
    <w:rsid w:val="00643A6E"/>
    <w:rsid w:val="00645AAF"/>
    <w:rsid w:val="0064627D"/>
    <w:rsid w:val="00646C8E"/>
    <w:rsid w:val="006507AC"/>
    <w:rsid w:val="0065097B"/>
    <w:rsid w:val="006510DC"/>
    <w:rsid w:val="00653E2E"/>
    <w:rsid w:val="00654BFC"/>
    <w:rsid w:val="006550DC"/>
    <w:rsid w:val="00655841"/>
    <w:rsid w:val="00655D25"/>
    <w:rsid w:val="00661A68"/>
    <w:rsid w:val="006641B4"/>
    <w:rsid w:val="0066698E"/>
    <w:rsid w:val="006709D0"/>
    <w:rsid w:val="006714BA"/>
    <w:rsid w:val="00671D52"/>
    <w:rsid w:val="0067255B"/>
    <w:rsid w:val="0067303C"/>
    <w:rsid w:val="0067494F"/>
    <w:rsid w:val="00674FD2"/>
    <w:rsid w:val="00675151"/>
    <w:rsid w:val="00675EEC"/>
    <w:rsid w:val="0068069B"/>
    <w:rsid w:val="006808A8"/>
    <w:rsid w:val="00683CFF"/>
    <w:rsid w:val="0069299E"/>
    <w:rsid w:val="0069423C"/>
    <w:rsid w:val="00694D81"/>
    <w:rsid w:val="00694DBB"/>
    <w:rsid w:val="006956E9"/>
    <w:rsid w:val="00695AA8"/>
    <w:rsid w:val="00696B3D"/>
    <w:rsid w:val="006A24C2"/>
    <w:rsid w:val="006A2B0B"/>
    <w:rsid w:val="006A5210"/>
    <w:rsid w:val="006A6039"/>
    <w:rsid w:val="006A66BB"/>
    <w:rsid w:val="006A66E9"/>
    <w:rsid w:val="006A6787"/>
    <w:rsid w:val="006A6FE2"/>
    <w:rsid w:val="006B20B7"/>
    <w:rsid w:val="006B279E"/>
    <w:rsid w:val="006B37B9"/>
    <w:rsid w:val="006B5512"/>
    <w:rsid w:val="006C1294"/>
    <w:rsid w:val="006C1DD0"/>
    <w:rsid w:val="006C1EF1"/>
    <w:rsid w:val="006C221E"/>
    <w:rsid w:val="006D2861"/>
    <w:rsid w:val="006D54CD"/>
    <w:rsid w:val="006D6049"/>
    <w:rsid w:val="006E1571"/>
    <w:rsid w:val="006E49EA"/>
    <w:rsid w:val="006E534A"/>
    <w:rsid w:val="006F0FA5"/>
    <w:rsid w:val="006F47AF"/>
    <w:rsid w:val="006F496C"/>
    <w:rsid w:val="006F4D3C"/>
    <w:rsid w:val="006F6163"/>
    <w:rsid w:val="006F7C09"/>
    <w:rsid w:val="00701762"/>
    <w:rsid w:val="007045E3"/>
    <w:rsid w:val="00704B18"/>
    <w:rsid w:val="0070618D"/>
    <w:rsid w:val="007123CE"/>
    <w:rsid w:val="00712C7D"/>
    <w:rsid w:val="007145CE"/>
    <w:rsid w:val="00715789"/>
    <w:rsid w:val="0071619D"/>
    <w:rsid w:val="00721228"/>
    <w:rsid w:val="00721A5B"/>
    <w:rsid w:val="007237A9"/>
    <w:rsid w:val="00725577"/>
    <w:rsid w:val="00726137"/>
    <w:rsid w:val="00726687"/>
    <w:rsid w:val="00727E63"/>
    <w:rsid w:val="007307A1"/>
    <w:rsid w:val="007353A2"/>
    <w:rsid w:val="007354AF"/>
    <w:rsid w:val="00735C99"/>
    <w:rsid w:val="007360A9"/>
    <w:rsid w:val="00741694"/>
    <w:rsid w:val="007418A1"/>
    <w:rsid w:val="00741CDC"/>
    <w:rsid w:val="00742D68"/>
    <w:rsid w:val="00743606"/>
    <w:rsid w:val="00745E17"/>
    <w:rsid w:val="00746775"/>
    <w:rsid w:val="00750F75"/>
    <w:rsid w:val="00751393"/>
    <w:rsid w:val="00752E63"/>
    <w:rsid w:val="007541FB"/>
    <w:rsid w:val="00762764"/>
    <w:rsid w:val="00763567"/>
    <w:rsid w:val="00765292"/>
    <w:rsid w:val="00765A0F"/>
    <w:rsid w:val="00772203"/>
    <w:rsid w:val="00772506"/>
    <w:rsid w:val="00772516"/>
    <w:rsid w:val="00773EF9"/>
    <w:rsid w:val="00776CD2"/>
    <w:rsid w:val="00777CE9"/>
    <w:rsid w:val="007814E1"/>
    <w:rsid w:val="0078295B"/>
    <w:rsid w:val="00783C99"/>
    <w:rsid w:val="0079086E"/>
    <w:rsid w:val="00790ADA"/>
    <w:rsid w:val="007935D8"/>
    <w:rsid w:val="00793AFD"/>
    <w:rsid w:val="00794A49"/>
    <w:rsid w:val="00794D71"/>
    <w:rsid w:val="00797489"/>
    <w:rsid w:val="00797A84"/>
    <w:rsid w:val="00797AA8"/>
    <w:rsid w:val="00797DA4"/>
    <w:rsid w:val="007A0D15"/>
    <w:rsid w:val="007A5EA3"/>
    <w:rsid w:val="007B3307"/>
    <w:rsid w:val="007C2AC0"/>
    <w:rsid w:val="007C4169"/>
    <w:rsid w:val="007C4302"/>
    <w:rsid w:val="007C7838"/>
    <w:rsid w:val="007D1D9F"/>
    <w:rsid w:val="007D2575"/>
    <w:rsid w:val="007D3E16"/>
    <w:rsid w:val="007D404D"/>
    <w:rsid w:val="007D61FB"/>
    <w:rsid w:val="007E0426"/>
    <w:rsid w:val="007E2A39"/>
    <w:rsid w:val="007E56DE"/>
    <w:rsid w:val="007E7840"/>
    <w:rsid w:val="007E7C64"/>
    <w:rsid w:val="007F0C8B"/>
    <w:rsid w:val="007F1648"/>
    <w:rsid w:val="007F1E32"/>
    <w:rsid w:val="007F2668"/>
    <w:rsid w:val="007F3B15"/>
    <w:rsid w:val="007F3C7E"/>
    <w:rsid w:val="007F52D0"/>
    <w:rsid w:val="007F6020"/>
    <w:rsid w:val="00801541"/>
    <w:rsid w:val="008024A3"/>
    <w:rsid w:val="008038AA"/>
    <w:rsid w:val="00805EE7"/>
    <w:rsid w:val="0081042E"/>
    <w:rsid w:val="00813199"/>
    <w:rsid w:val="0081368D"/>
    <w:rsid w:val="00813A2C"/>
    <w:rsid w:val="00816CBB"/>
    <w:rsid w:val="00824127"/>
    <w:rsid w:val="00825B45"/>
    <w:rsid w:val="00830F2C"/>
    <w:rsid w:val="008316A4"/>
    <w:rsid w:val="00833E50"/>
    <w:rsid w:val="008350DE"/>
    <w:rsid w:val="00840EF8"/>
    <w:rsid w:val="0084139A"/>
    <w:rsid w:val="00846B39"/>
    <w:rsid w:val="008470BE"/>
    <w:rsid w:val="0085441F"/>
    <w:rsid w:val="00856A97"/>
    <w:rsid w:val="00857275"/>
    <w:rsid w:val="00860D7E"/>
    <w:rsid w:val="0086198C"/>
    <w:rsid w:val="00861D2B"/>
    <w:rsid w:val="008629EE"/>
    <w:rsid w:val="00862A47"/>
    <w:rsid w:val="008639F2"/>
    <w:rsid w:val="00864739"/>
    <w:rsid w:val="008718B9"/>
    <w:rsid w:val="00871D49"/>
    <w:rsid w:val="00873D5D"/>
    <w:rsid w:val="00873F7F"/>
    <w:rsid w:val="0087457E"/>
    <w:rsid w:val="00874EC0"/>
    <w:rsid w:val="00875353"/>
    <w:rsid w:val="00877967"/>
    <w:rsid w:val="00877AF8"/>
    <w:rsid w:val="00877BCC"/>
    <w:rsid w:val="008809A5"/>
    <w:rsid w:val="008809DB"/>
    <w:rsid w:val="00883F7F"/>
    <w:rsid w:val="008846FD"/>
    <w:rsid w:val="00884928"/>
    <w:rsid w:val="00884FAF"/>
    <w:rsid w:val="008863E2"/>
    <w:rsid w:val="00890892"/>
    <w:rsid w:val="0089118E"/>
    <w:rsid w:val="00892116"/>
    <w:rsid w:val="008923C9"/>
    <w:rsid w:val="00896AD9"/>
    <w:rsid w:val="0089716C"/>
    <w:rsid w:val="008973E1"/>
    <w:rsid w:val="008A0672"/>
    <w:rsid w:val="008A1AEC"/>
    <w:rsid w:val="008A277D"/>
    <w:rsid w:val="008A279A"/>
    <w:rsid w:val="008A451C"/>
    <w:rsid w:val="008A654B"/>
    <w:rsid w:val="008A6AD9"/>
    <w:rsid w:val="008A6DD1"/>
    <w:rsid w:val="008B0582"/>
    <w:rsid w:val="008B15C6"/>
    <w:rsid w:val="008B160C"/>
    <w:rsid w:val="008B184B"/>
    <w:rsid w:val="008B4CCB"/>
    <w:rsid w:val="008B7D1A"/>
    <w:rsid w:val="008C0185"/>
    <w:rsid w:val="008C2407"/>
    <w:rsid w:val="008C4B9A"/>
    <w:rsid w:val="008C5402"/>
    <w:rsid w:val="008C726C"/>
    <w:rsid w:val="008D2CB9"/>
    <w:rsid w:val="008D36FA"/>
    <w:rsid w:val="008D3FEA"/>
    <w:rsid w:val="008D4178"/>
    <w:rsid w:val="008D4EE7"/>
    <w:rsid w:val="008D6DBF"/>
    <w:rsid w:val="008D7744"/>
    <w:rsid w:val="008D777E"/>
    <w:rsid w:val="008E007E"/>
    <w:rsid w:val="008E051E"/>
    <w:rsid w:val="008E153D"/>
    <w:rsid w:val="008E2471"/>
    <w:rsid w:val="008E2E76"/>
    <w:rsid w:val="008E3B26"/>
    <w:rsid w:val="008E3D1F"/>
    <w:rsid w:val="008E7432"/>
    <w:rsid w:val="008E76CD"/>
    <w:rsid w:val="008E7AA5"/>
    <w:rsid w:val="008F3169"/>
    <w:rsid w:val="008F4A78"/>
    <w:rsid w:val="008F5DDC"/>
    <w:rsid w:val="008F60E2"/>
    <w:rsid w:val="008F6CEE"/>
    <w:rsid w:val="0090036A"/>
    <w:rsid w:val="0090235C"/>
    <w:rsid w:val="009043BC"/>
    <w:rsid w:val="00904CBF"/>
    <w:rsid w:val="00905FAF"/>
    <w:rsid w:val="00906243"/>
    <w:rsid w:val="009063EF"/>
    <w:rsid w:val="00907960"/>
    <w:rsid w:val="00910922"/>
    <w:rsid w:val="009118D9"/>
    <w:rsid w:val="00911F7B"/>
    <w:rsid w:val="00911FDA"/>
    <w:rsid w:val="0091230E"/>
    <w:rsid w:val="009126ED"/>
    <w:rsid w:val="009158EB"/>
    <w:rsid w:val="00916776"/>
    <w:rsid w:val="009176D6"/>
    <w:rsid w:val="00921325"/>
    <w:rsid w:val="009221AC"/>
    <w:rsid w:val="00926929"/>
    <w:rsid w:val="00927415"/>
    <w:rsid w:val="0093093C"/>
    <w:rsid w:val="0093178B"/>
    <w:rsid w:val="009346F8"/>
    <w:rsid w:val="0094002B"/>
    <w:rsid w:val="00940746"/>
    <w:rsid w:val="00941EAA"/>
    <w:rsid w:val="009431F1"/>
    <w:rsid w:val="009433FB"/>
    <w:rsid w:val="009446DA"/>
    <w:rsid w:val="00945437"/>
    <w:rsid w:val="0094636E"/>
    <w:rsid w:val="00946401"/>
    <w:rsid w:val="00950594"/>
    <w:rsid w:val="00953783"/>
    <w:rsid w:val="009542EC"/>
    <w:rsid w:val="00954F3B"/>
    <w:rsid w:val="009553E5"/>
    <w:rsid w:val="00955EAE"/>
    <w:rsid w:val="00957653"/>
    <w:rsid w:val="0096029A"/>
    <w:rsid w:val="00960838"/>
    <w:rsid w:val="009619CE"/>
    <w:rsid w:val="009628E6"/>
    <w:rsid w:val="009656A4"/>
    <w:rsid w:val="00965765"/>
    <w:rsid w:val="009664D5"/>
    <w:rsid w:val="009712F6"/>
    <w:rsid w:val="00972173"/>
    <w:rsid w:val="00981D82"/>
    <w:rsid w:val="009827A8"/>
    <w:rsid w:val="00982D11"/>
    <w:rsid w:val="00983724"/>
    <w:rsid w:val="009846CD"/>
    <w:rsid w:val="00992946"/>
    <w:rsid w:val="00993BFE"/>
    <w:rsid w:val="00994F64"/>
    <w:rsid w:val="009953DF"/>
    <w:rsid w:val="00997883"/>
    <w:rsid w:val="009A1488"/>
    <w:rsid w:val="009A1677"/>
    <w:rsid w:val="009A1D44"/>
    <w:rsid w:val="009A45B9"/>
    <w:rsid w:val="009A4878"/>
    <w:rsid w:val="009A6C66"/>
    <w:rsid w:val="009B2A45"/>
    <w:rsid w:val="009B449A"/>
    <w:rsid w:val="009B5AD9"/>
    <w:rsid w:val="009B5DA6"/>
    <w:rsid w:val="009B7143"/>
    <w:rsid w:val="009B7A73"/>
    <w:rsid w:val="009C2E00"/>
    <w:rsid w:val="009C3944"/>
    <w:rsid w:val="009C6A62"/>
    <w:rsid w:val="009C6E48"/>
    <w:rsid w:val="009D04D9"/>
    <w:rsid w:val="009D1A91"/>
    <w:rsid w:val="009D2DC6"/>
    <w:rsid w:val="009D5474"/>
    <w:rsid w:val="009E1036"/>
    <w:rsid w:val="009E31D9"/>
    <w:rsid w:val="009E4BAA"/>
    <w:rsid w:val="009E4FDB"/>
    <w:rsid w:val="009F05B1"/>
    <w:rsid w:val="009F105D"/>
    <w:rsid w:val="009F15A3"/>
    <w:rsid w:val="009F2E88"/>
    <w:rsid w:val="009F3F9B"/>
    <w:rsid w:val="009F612E"/>
    <w:rsid w:val="00A00440"/>
    <w:rsid w:val="00A00F72"/>
    <w:rsid w:val="00A0175D"/>
    <w:rsid w:val="00A02E7C"/>
    <w:rsid w:val="00A02F6B"/>
    <w:rsid w:val="00A06262"/>
    <w:rsid w:val="00A06B41"/>
    <w:rsid w:val="00A07F87"/>
    <w:rsid w:val="00A101DC"/>
    <w:rsid w:val="00A1041A"/>
    <w:rsid w:val="00A1058B"/>
    <w:rsid w:val="00A10CC2"/>
    <w:rsid w:val="00A12891"/>
    <w:rsid w:val="00A17B48"/>
    <w:rsid w:val="00A217A0"/>
    <w:rsid w:val="00A249EF"/>
    <w:rsid w:val="00A27CDD"/>
    <w:rsid w:val="00A3000F"/>
    <w:rsid w:val="00A31697"/>
    <w:rsid w:val="00A31DC0"/>
    <w:rsid w:val="00A32920"/>
    <w:rsid w:val="00A41CE7"/>
    <w:rsid w:val="00A42571"/>
    <w:rsid w:val="00A43D24"/>
    <w:rsid w:val="00A454B6"/>
    <w:rsid w:val="00A454F0"/>
    <w:rsid w:val="00A471DB"/>
    <w:rsid w:val="00A5040B"/>
    <w:rsid w:val="00A517DF"/>
    <w:rsid w:val="00A519CD"/>
    <w:rsid w:val="00A527A4"/>
    <w:rsid w:val="00A55A05"/>
    <w:rsid w:val="00A621DF"/>
    <w:rsid w:val="00A62227"/>
    <w:rsid w:val="00A62E1C"/>
    <w:rsid w:val="00A657A7"/>
    <w:rsid w:val="00A65ACF"/>
    <w:rsid w:val="00A67683"/>
    <w:rsid w:val="00A722AC"/>
    <w:rsid w:val="00A72696"/>
    <w:rsid w:val="00A737D6"/>
    <w:rsid w:val="00A75D32"/>
    <w:rsid w:val="00A773D6"/>
    <w:rsid w:val="00A77FD8"/>
    <w:rsid w:val="00A8011B"/>
    <w:rsid w:val="00A81A90"/>
    <w:rsid w:val="00A8250C"/>
    <w:rsid w:val="00A8362E"/>
    <w:rsid w:val="00A83FCD"/>
    <w:rsid w:val="00A84EB5"/>
    <w:rsid w:val="00A87B50"/>
    <w:rsid w:val="00A907D1"/>
    <w:rsid w:val="00A91DB6"/>
    <w:rsid w:val="00A93B23"/>
    <w:rsid w:val="00A9438C"/>
    <w:rsid w:val="00A94873"/>
    <w:rsid w:val="00A95663"/>
    <w:rsid w:val="00A9787C"/>
    <w:rsid w:val="00AA0097"/>
    <w:rsid w:val="00AA032C"/>
    <w:rsid w:val="00AA080C"/>
    <w:rsid w:val="00AA261C"/>
    <w:rsid w:val="00AA426B"/>
    <w:rsid w:val="00AA432D"/>
    <w:rsid w:val="00AA5209"/>
    <w:rsid w:val="00AB28BF"/>
    <w:rsid w:val="00AB2A7A"/>
    <w:rsid w:val="00AB3799"/>
    <w:rsid w:val="00AB57EA"/>
    <w:rsid w:val="00AB5A71"/>
    <w:rsid w:val="00AB5D02"/>
    <w:rsid w:val="00AB6165"/>
    <w:rsid w:val="00AC0F5D"/>
    <w:rsid w:val="00AC31A2"/>
    <w:rsid w:val="00AC7B11"/>
    <w:rsid w:val="00AC7CA4"/>
    <w:rsid w:val="00AC7DF5"/>
    <w:rsid w:val="00AD260D"/>
    <w:rsid w:val="00AD273A"/>
    <w:rsid w:val="00AD5ABC"/>
    <w:rsid w:val="00AD7132"/>
    <w:rsid w:val="00AD7584"/>
    <w:rsid w:val="00AE07DF"/>
    <w:rsid w:val="00AE33C0"/>
    <w:rsid w:val="00AE4B34"/>
    <w:rsid w:val="00AE5DA9"/>
    <w:rsid w:val="00AF2958"/>
    <w:rsid w:val="00AF5054"/>
    <w:rsid w:val="00AF528A"/>
    <w:rsid w:val="00AF7FB3"/>
    <w:rsid w:val="00B022BB"/>
    <w:rsid w:val="00B0394A"/>
    <w:rsid w:val="00B10330"/>
    <w:rsid w:val="00B1386D"/>
    <w:rsid w:val="00B15D18"/>
    <w:rsid w:val="00B201B9"/>
    <w:rsid w:val="00B2097C"/>
    <w:rsid w:val="00B2173D"/>
    <w:rsid w:val="00B2178E"/>
    <w:rsid w:val="00B22AD6"/>
    <w:rsid w:val="00B2452B"/>
    <w:rsid w:val="00B25BD2"/>
    <w:rsid w:val="00B25E3D"/>
    <w:rsid w:val="00B272F7"/>
    <w:rsid w:val="00B27E24"/>
    <w:rsid w:val="00B30277"/>
    <w:rsid w:val="00B32312"/>
    <w:rsid w:val="00B328BD"/>
    <w:rsid w:val="00B32B76"/>
    <w:rsid w:val="00B32CE1"/>
    <w:rsid w:val="00B33A2F"/>
    <w:rsid w:val="00B34D15"/>
    <w:rsid w:val="00B37D42"/>
    <w:rsid w:val="00B401D8"/>
    <w:rsid w:val="00B42664"/>
    <w:rsid w:val="00B42F04"/>
    <w:rsid w:val="00B4356A"/>
    <w:rsid w:val="00B44A17"/>
    <w:rsid w:val="00B45B85"/>
    <w:rsid w:val="00B516A9"/>
    <w:rsid w:val="00B52EC1"/>
    <w:rsid w:val="00B53460"/>
    <w:rsid w:val="00B53DBC"/>
    <w:rsid w:val="00B55101"/>
    <w:rsid w:val="00B57120"/>
    <w:rsid w:val="00B609F6"/>
    <w:rsid w:val="00B63DCB"/>
    <w:rsid w:val="00B63E80"/>
    <w:rsid w:val="00B63FFD"/>
    <w:rsid w:val="00B6649E"/>
    <w:rsid w:val="00B700CD"/>
    <w:rsid w:val="00B709F2"/>
    <w:rsid w:val="00B70F4B"/>
    <w:rsid w:val="00B74327"/>
    <w:rsid w:val="00B7477D"/>
    <w:rsid w:val="00B7511C"/>
    <w:rsid w:val="00B75319"/>
    <w:rsid w:val="00B756DA"/>
    <w:rsid w:val="00B75CE9"/>
    <w:rsid w:val="00B81E31"/>
    <w:rsid w:val="00B82566"/>
    <w:rsid w:val="00B82A47"/>
    <w:rsid w:val="00B83D23"/>
    <w:rsid w:val="00B84148"/>
    <w:rsid w:val="00B8428C"/>
    <w:rsid w:val="00B941DD"/>
    <w:rsid w:val="00B96ACA"/>
    <w:rsid w:val="00B97119"/>
    <w:rsid w:val="00BA0FB5"/>
    <w:rsid w:val="00BA2AE0"/>
    <w:rsid w:val="00BA48AD"/>
    <w:rsid w:val="00BA4E86"/>
    <w:rsid w:val="00BA6142"/>
    <w:rsid w:val="00BA6BC6"/>
    <w:rsid w:val="00BA72AB"/>
    <w:rsid w:val="00BA7826"/>
    <w:rsid w:val="00BB02FE"/>
    <w:rsid w:val="00BB3E70"/>
    <w:rsid w:val="00BB5EF7"/>
    <w:rsid w:val="00BB5FB0"/>
    <w:rsid w:val="00BB683E"/>
    <w:rsid w:val="00BB7F38"/>
    <w:rsid w:val="00BC11C8"/>
    <w:rsid w:val="00BC2CD1"/>
    <w:rsid w:val="00BC2CDE"/>
    <w:rsid w:val="00BC3AC3"/>
    <w:rsid w:val="00BC4649"/>
    <w:rsid w:val="00BC615A"/>
    <w:rsid w:val="00BC7062"/>
    <w:rsid w:val="00BC7248"/>
    <w:rsid w:val="00BC73E0"/>
    <w:rsid w:val="00BC7DFF"/>
    <w:rsid w:val="00BD0747"/>
    <w:rsid w:val="00BD23CA"/>
    <w:rsid w:val="00BD42EB"/>
    <w:rsid w:val="00BD4FF0"/>
    <w:rsid w:val="00BD53C5"/>
    <w:rsid w:val="00BE070A"/>
    <w:rsid w:val="00BE5D4D"/>
    <w:rsid w:val="00BE77E7"/>
    <w:rsid w:val="00BF4AF9"/>
    <w:rsid w:val="00BF54F8"/>
    <w:rsid w:val="00BF5C47"/>
    <w:rsid w:val="00BF71E6"/>
    <w:rsid w:val="00C003EF"/>
    <w:rsid w:val="00C01A11"/>
    <w:rsid w:val="00C0484B"/>
    <w:rsid w:val="00C05E2C"/>
    <w:rsid w:val="00C05E3D"/>
    <w:rsid w:val="00C05E74"/>
    <w:rsid w:val="00C0629F"/>
    <w:rsid w:val="00C10EB2"/>
    <w:rsid w:val="00C114D1"/>
    <w:rsid w:val="00C11BDB"/>
    <w:rsid w:val="00C13F2E"/>
    <w:rsid w:val="00C15E63"/>
    <w:rsid w:val="00C210D5"/>
    <w:rsid w:val="00C21174"/>
    <w:rsid w:val="00C22F5F"/>
    <w:rsid w:val="00C26325"/>
    <w:rsid w:val="00C26D1F"/>
    <w:rsid w:val="00C318EF"/>
    <w:rsid w:val="00C32CEB"/>
    <w:rsid w:val="00C33D6E"/>
    <w:rsid w:val="00C36339"/>
    <w:rsid w:val="00C36B7D"/>
    <w:rsid w:val="00C36F4C"/>
    <w:rsid w:val="00C4142D"/>
    <w:rsid w:val="00C42C04"/>
    <w:rsid w:val="00C43BDD"/>
    <w:rsid w:val="00C441FC"/>
    <w:rsid w:val="00C449BF"/>
    <w:rsid w:val="00C45149"/>
    <w:rsid w:val="00C52896"/>
    <w:rsid w:val="00C57DE2"/>
    <w:rsid w:val="00C61B88"/>
    <w:rsid w:val="00C653E0"/>
    <w:rsid w:val="00C669E3"/>
    <w:rsid w:val="00C674D0"/>
    <w:rsid w:val="00C676C8"/>
    <w:rsid w:val="00C67F9C"/>
    <w:rsid w:val="00C72CB5"/>
    <w:rsid w:val="00C736A5"/>
    <w:rsid w:val="00C75243"/>
    <w:rsid w:val="00C7606C"/>
    <w:rsid w:val="00C772C1"/>
    <w:rsid w:val="00C80B83"/>
    <w:rsid w:val="00C814F5"/>
    <w:rsid w:val="00C8193F"/>
    <w:rsid w:val="00C83C56"/>
    <w:rsid w:val="00C84B2B"/>
    <w:rsid w:val="00C84D5D"/>
    <w:rsid w:val="00C851E2"/>
    <w:rsid w:val="00C8586F"/>
    <w:rsid w:val="00C86301"/>
    <w:rsid w:val="00C8642B"/>
    <w:rsid w:val="00C87A78"/>
    <w:rsid w:val="00C90449"/>
    <w:rsid w:val="00C90F6A"/>
    <w:rsid w:val="00C97306"/>
    <w:rsid w:val="00C979B1"/>
    <w:rsid w:val="00CA120F"/>
    <w:rsid w:val="00CB0171"/>
    <w:rsid w:val="00CB6359"/>
    <w:rsid w:val="00CB65FE"/>
    <w:rsid w:val="00CC0288"/>
    <w:rsid w:val="00CC1095"/>
    <w:rsid w:val="00CC1614"/>
    <w:rsid w:val="00CC1720"/>
    <w:rsid w:val="00CC23C4"/>
    <w:rsid w:val="00CC7575"/>
    <w:rsid w:val="00CC7C24"/>
    <w:rsid w:val="00CD4AE4"/>
    <w:rsid w:val="00CD62C8"/>
    <w:rsid w:val="00CD6D87"/>
    <w:rsid w:val="00CE1236"/>
    <w:rsid w:val="00CE1309"/>
    <w:rsid w:val="00CE3B80"/>
    <w:rsid w:val="00CE3D94"/>
    <w:rsid w:val="00CE4E51"/>
    <w:rsid w:val="00CE55D0"/>
    <w:rsid w:val="00CE56EA"/>
    <w:rsid w:val="00CE6E3C"/>
    <w:rsid w:val="00CF02E2"/>
    <w:rsid w:val="00CF07C7"/>
    <w:rsid w:val="00CF08F9"/>
    <w:rsid w:val="00CF0A53"/>
    <w:rsid w:val="00CF1FD8"/>
    <w:rsid w:val="00CF3DC0"/>
    <w:rsid w:val="00CF473F"/>
    <w:rsid w:val="00CF4965"/>
    <w:rsid w:val="00CF4EA3"/>
    <w:rsid w:val="00CF6236"/>
    <w:rsid w:val="00CF757B"/>
    <w:rsid w:val="00CF7FA2"/>
    <w:rsid w:val="00D00FFC"/>
    <w:rsid w:val="00D01DEC"/>
    <w:rsid w:val="00D025F7"/>
    <w:rsid w:val="00D03D63"/>
    <w:rsid w:val="00D04ABA"/>
    <w:rsid w:val="00D0636B"/>
    <w:rsid w:val="00D078D5"/>
    <w:rsid w:val="00D1033B"/>
    <w:rsid w:val="00D105BD"/>
    <w:rsid w:val="00D10B2B"/>
    <w:rsid w:val="00D120E8"/>
    <w:rsid w:val="00D161D5"/>
    <w:rsid w:val="00D16E79"/>
    <w:rsid w:val="00D17C21"/>
    <w:rsid w:val="00D2106E"/>
    <w:rsid w:val="00D25524"/>
    <w:rsid w:val="00D268D9"/>
    <w:rsid w:val="00D27445"/>
    <w:rsid w:val="00D305FD"/>
    <w:rsid w:val="00D32AE5"/>
    <w:rsid w:val="00D34DFE"/>
    <w:rsid w:val="00D34F6F"/>
    <w:rsid w:val="00D35AA2"/>
    <w:rsid w:val="00D35B49"/>
    <w:rsid w:val="00D40075"/>
    <w:rsid w:val="00D418C7"/>
    <w:rsid w:val="00D41A0F"/>
    <w:rsid w:val="00D42948"/>
    <w:rsid w:val="00D43C51"/>
    <w:rsid w:val="00D462B1"/>
    <w:rsid w:val="00D476BF"/>
    <w:rsid w:val="00D47EE5"/>
    <w:rsid w:val="00D500FA"/>
    <w:rsid w:val="00D51E45"/>
    <w:rsid w:val="00D5237D"/>
    <w:rsid w:val="00D52C50"/>
    <w:rsid w:val="00D5361A"/>
    <w:rsid w:val="00D54303"/>
    <w:rsid w:val="00D54F47"/>
    <w:rsid w:val="00D551E5"/>
    <w:rsid w:val="00D55602"/>
    <w:rsid w:val="00D55649"/>
    <w:rsid w:val="00D55E8C"/>
    <w:rsid w:val="00D56104"/>
    <w:rsid w:val="00D56B59"/>
    <w:rsid w:val="00D638CD"/>
    <w:rsid w:val="00D65043"/>
    <w:rsid w:val="00D70E17"/>
    <w:rsid w:val="00D721FC"/>
    <w:rsid w:val="00D72CAD"/>
    <w:rsid w:val="00D72FBF"/>
    <w:rsid w:val="00D74778"/>
    <w:rsid w:val="00D75E49"/>
    <w:rsid w:val="00D76E98"/>
    <w:rsid w:val="00D777F4"/>
    <w:rsid w:val="00D8103E"/>
    <w:rsid w:val="00D8488F"/>
    <w:rsid w:val="00D86BD0"/>
    <w:rsid w:val="00D86E29"/>
    <w:rsid w:val="00D8760B"/>
    <w:rsid w:val="00D90A8E"/>
    <w:rsid w:val="00D911B7"/>
    <w:rsid w:val="00D939E6"/>
    <w:rsid w:val="00D940CE"/>
    <w:rsid w:val="00D94B26"/>
    <w:rsid w:val="00DA2FC7"/>
    <w:rsid w:val="00DA3656"/>
    <w:rsid w:val="00DA3F8A"/>
    <w:rsid w:val="00DA40A8"/>
    <w:rsid w:val="00DA488C"/>
    <w:rsid w:val="00DA49E4"/>
    <w:rsid w:val="00DA77DD"/>
    <w:rsid w:val="00DB1E8F"/>
    <w:rsid w:val="00DB759F"/>
    <w:rsid w:val="00DB7EE3"/>
    <w:rsid w:val="00DC1BF0"/>
    <w:rsid w:val="00DC1C4A"/>
    <w:rsid w:val="00DC2AA0"/>
    <w:rsid w:val="00DC39C3"/>
    <w:rsid w:val="00DC62F8"/>
    <w:rsid w:val="00DD120C"/>
    <w:rsid w:val="00DD1E40"/>
    <w:rsid w:val="00DD2CD6"/>
    <w:rsid w:val="00DD4C71"/>
    <w:rsid w:val="00DE0C26"/>
    <w:rsid w:val="00DE0E85"/>
    <w:rsid w:val="00DE148F"/>
    <w:rsid w:val="00DE3F53"/>
    <w:rsid w:val="00DE53D1"/>
    <w:rsid w:val="00DE6C7D"/>
    <w:rsid w:val="00DE7B45"/>
    <w:rsid w:val="00DF1381"/>
    <w:rsid w:val="00DF1F5C"/>
    <w:rsid w:val="00DF33A6"/>
    <w:rsid w:val="00DF39BD"/>
    <w:rsid w:val="00DF5E71"/>
    <w:rsid w:val="00DF7C4A"/>
    <w:rsid w:val="00E00EA5"/>
    <w:rsid w:val="00E01906"/>
    <w:rsid w:val="00E01C6E"/>
    <w:rsid w:val="00E04811"/>
    <w:rsid w:val="00E075E7"/>
    <w:rsid w:val="00E07CBE"/>
    <w:rsid w:val="00E11FE6"/>
    <w:rsid w:val="00E12D6A"/>
    <w:rsid w:val="00E14A09"/>
    <w:rsid w:val="00E162DE"/>
    <w:rsid w:val="00E16DCC"/>
    <w:rsid w:val="00E206C7"/>
    <w:rsid w:val="00E20C51"/>
    <w:rsid w:val="00E21987"/>
    <w:rsid w:val="00E22ED7"/>
    <w:rsid w:val="00E22EF8"/>
    <w:rsid w:val="00E25FD4"/>
    <w:rsid w:val="00E26E73"/>
    <w:rsid w:val="00E26FBA"/>
    <w:rsid w:val="00E2785F"/>
    <w:rsid w:val="00E30603"/>
    <w:rsid w:val="00E3116E"/>
    <w:rsid w:val="00E31355"/>
    <w:rsid w:val="00E32EC8"/>
    <w:rsid w:val="00E348D4"/>
    <w:rsid w:val="00E36FFA"/>
    <w:rsid w:val="00E373D9"/>
    <w:rsid w:val="00E41445"/>
    <w:rsid w:val="00E4258C"/>
    <w:rsid w:val="00E44E54"/>
    <w:rsid w:val="00E45120"/>
    <w:rsid w:val="00E464C0"/>
    <w:rsid w:val="00E47352"/>
    <w:rsid w:val="00E47BEF"/>
    <w:rsid w:val="00E507F0"/>
    <w:rsid w:val="00E5251A"/>
    <w:rsid w:val="00E54F30"/>
    <w:rsid w:val="00E56F42"/>
    <w:rsid w:val="00E57E04"/>
    <w:rsid w:val="00E612B6"/>
    <w:rsid w:val="00E62024"/>
    <w:rsid w:val="00E62E48"/>
    <w:rsid w:val="00E63272"/>
    <w:rsid w:val="00E64DBE"/>
    <w:rsid w:val="00E6642E"/>
    <w:rsid w:val="00E66899"/>
    <w:rsid w:val="00E670A8"/>
    <w:rsid w:val="00E67C23"/>
    <w:rsid w:val="00E7238D"/>
    <w:rsid w:val="00E743B4"/>
    <w:rsid w:val="00E76607"/>
    <w:rsid w:val="00E77B1A"/>
    <w:rsid w:val="00E804AD"/>
    <w:rsid w:val="00E80BB5"/>
    <w:rsid w:val="00E81CB6"/>
    <w:rsid w:val="00E81D86"/>
    <w:rsid w:val="00E83D58"/>
    <w:rsid w:val="00E90673"/>
    <w:rsid w:val="00E90B33"/>
    <w:rsid w:val="00E91BA9"/>
    <w:rsid w:val="00E9392E"/>
    <w:rsid w:val="00EA04D9"/>
    <w:rsid w:val="00EA5419"/>
    <w:rsid w:val="00EA7232"/>
    <w:rsid w:val="00EB0E25"/>
    <w:rsid w:val="00EB11A6"/>
    <w:rsid w:val="00EB185B"/>
    <w:rsid w:val="00EB1C58"/>
    <w:rsid w:val="00EB4B3F"/>
    <w:rsid w:val="00EB6ED2"/>
    <w:rsid w:val="00EC0C60"/>
    <w:rsid w:val="00EC0D5D"/>
    <w:rsid w:val="00EC0EF2"/>
    <w:rsid w:val="00EC1314"/>
    <w:rsid w:val="00EC16EE"/>
    <w:rsid w:val="00EC316B"/>
    <w:rsid w:val="00EC4D19"/>
    <w:rsid w:val="00EC4F34"/>
    <w:rsid w:val="00EC6AF3"/>
    <w:rsid w:val="00ED054C"/>
    <w:rsid w:val="00ED0E33"/>
    <w:rsid w:val="00ED2683"/>
    <w:rsid w:val="00ED3250"/>
    <w:rsid w:val="00ED3F31"/>
    <w:rsid w:val="00ED6147"/>
    <w:rsid w:val="00EE01A6"/>
    <w:rsid w:val="00EE01E7"/>
    <w:rsid w:val="00EE0D83"/>
    <w:rsid w:val="00EE2632"/>
    <w:rsid w:val="00EE350F"/>
    <w:rsid w:val="00EE3649"/>
    <w:rsid w:val="00EE44E1"/>
    <w:rsid w:val="00EE4E34"/>
    <w:rsid w:val="00EE4EA5"/>
    <w:rsid w:val="00EE5E23"/>
    <w:rsid w:val="00EE7A36"/>
    <w:rsid w:val="00EF438B"/>
    <w:rsid w:val="00EF4751"/>
    <w:rsid w:val="00EF51DD"/>
    <w:rsid w:val="00EF526B"/>
    <w:rsid w:val="00EF600F"/>
    <w:rsid w:val="00EF7808"/>
    <w:rsid w:val="00F00B3B"/>
    <w:rsid w:val="00F01657"/>
    <w:rsid w:val="00F01DE8"/>
    <w:rsid w:val="00F04E2E"/>
    <w:rsid w:val="00F060F0"/>
    <w:rsid w:val="00F0696F"/>
    <w:rsid w:val="00F074FC"/>
    <w:rsid w:val="00F11A14"/>
    <w:rsid w:val="00F1273D"/>
    <w:rsid w:val="00F1278E"/>
    <w:rsid w:val="00F13886"/>
    <w:rsid w:val="00F15F4F"/>
    <w:rsid w:val="00F1610E"/>
    <w:rsid w:val="00F16782"/>
    <w:rsid w:val="00F209DC"/>
    <w:rsid w:val="00F22D08"/>
    <w:rsid w:val="00F2358C"/>
    <w:rsid w:val="00F239CB"/>
    <w:rsid w:val="00F2457B"/>
    <w:rsid w:val="00F278B6"/>
    <w:rsid w:val="00F32F6B"/>
    <w:rsid w:val="00F33EE2"/>
    <w:rsid w:val="00F342A6"/>
    <w:rsid w:val="00F35936"/>
    <w:rsid w:val="00F35C2F"/>
    <w:rsid w:val="00F40498"/>
    <w:rsid w:val="00F419C8"/>
    <w:rsid w:val="00F43A6E"/>
    <w:rsid w:val="00F464A8"/>
    <w:rsid w:val="00F5148C"/>
    <w:rsid w:val="00F52008"/>
    <w:rsid w:val="00F5221C"/>
    <w:rsid w:val="00F52651"/>
    <w:rsid w:val="00F5269D"/>
    <w:rsid w:val="00F533DE"/>
    <w:rsid w:val="00F5570E"/>
    <w:rsid w:val="00F55EB6"/>
    <w:rsid w:val="00F561A5"/>
    <w:rsid w:val="00F6019C"/>
    <w:rsid w:val="00F62036"/>
    <w:rsid w:val="00F630BF"/>
    <w:rsid w:val="00F6327D"/>
    <w:rsid w:val="00F64660"/>
    <w:rsid w:val="00F6680F"/>
    <w:rsid w:val="00F66BC6"/>
    <w:rsid w:val="00F7428E"/>
    <w:rsid w:val="00F750EF"/>
    <w:rsid w:val="00F75F81"/>
    <w:rsid w:val="00F762D8"/>
    <w:rsid w:val="00F80019"/>
    <w:rsid w:val="00F801BB"/>
    <w:rsid w:val="00F81377"/>
    <w:rsid w:val="00F82A7E"/>
    <w:rsid w:val="00F83422"/>
    <w:rsid w:val="00F84C3A"/>
    <w:rsid w:val="00F85A26"/>
    <w:rsid w:val="00F85F1C"/>
    <w:rsid w:val="00F86BEC"/>
    <w:rsid w:val="00F87AF9"/>
    <w:rsid w:val="00F90174"/>
    <w:rsid w:val="00F909BF"/>
    <w:rsid w:val="00F95A40"/>
    <w:rsid w:val="00FA04AF"/>
    <w:rsid w:val="00FA0CC5"/>
    <w:rsid w:val="00FA0FC9"/>
    <w:rsid w:val="00FA3FD7"/>
    <w:rsid w:val="00FA74F7"/>
    <w:rsid w:val="00FB382C"/>
    <w:rsid w:val="00FB3AC5"/>
    <w:rsid w:val="00FB49AA"/>
    <w:rsid w:val="00FB5611"/>
    <w:rsid w:val="00FB6856"/>
    <w:rsid w:val="00FB7B98"/>
    <w:rsid w:val="00FB7C8C"/>
    <w:rsid w:val="00FB7D54"/>
    <w:rsid w:val="00FC099E"/>
    <w:rsid w:val="00FC15B6"/>
    <w:rsid w:val="00FC1A01"/>
    <w:rsid w:val="00FC3436"/>
    <w:rsid w:val="00FC4FC3"/>
    <w:rsid w:val="00FC530C"/>
    <w:rsid w:val="00FC6076"/>
    <w:rsid w:val="00FC7F9C"/>
    <w:rsid w:val="00FD3184"/>
    <w:rsid w:val="00FD3D60"/>
    <w:rsid w:val="00FD42F6"/>
    <w:rsid w:val="00FD4CE4"/>
    <w:rsid w:val="00FD57D2"/>
    <w:rsid w:val="00FD6A22"/>
    <w:rsid w:val="00FD70F6"/>
    <w:rsid w:val="00FE061E"/>
    <w:rsid w:val="00FE1CBE"/>
    <w:rsid w:val="00FE3C38"/>
    <w:rsid w:val="00FE3D4D"/>
    <w:rsid w:val="00FE5ECC"/>
    <w:rsid w:val="00FE69EC"/>
    <w:rsid w:val="00FE7231"/>
    <w:rsid w:val="00FF1025"/>
    <w:rsid w:val="00FF1570"/>
    <w:rsid w:val="00FF1F82"/>
    <w:rsid w:val="00FF3D59"/>
    <w:rsid w:val="00FF4796"/>
    <w:rsid w:val="00FF493B"/>
    <w:rsid w:val="00FF7055"/>
    <w:rsid w:val="02ED6935"/>
    <w:rsid w:val="033FBF3A"/>
    <w:rsid w:val="052B8867"/>
    <w:rsid w:val="07B9583E"/>
    <w:rsid w:val="08AA6ECE"/>
    <w:rsid w:val="0CDFFB70"/>
    <w:rsid w:val="17790246"/>
    <w:rsid w:val="1809A100"/>
    <w:rsid w:val="19A57161"/>
    <w:rsid w:val="1E3AA930"/>
    <w:rsid w:val="1F3E9090"/>
    <w:rsid w:val="210A896D"/>
    <w:rsid w:val="21975AE9"/>
    <w:rsid w:val="235E36C6"/>
    <w:rsid w:val="25AF1B4F"/>
    <w:rsid w:val="29F4B450"/>
    <w:rsid w:val="2B5E8F01"/>
    <w:rsid w:val="2E962FC3"/>
    <w:rsid w:val="2F914191"/>
    <w:rsid w:val="35BB733F"/>
    <w:rsid w:val="36DF18BE"/>
    <w:rsid w:val="386D2A89"/>
    <w:rsid w:val="389A3ED3"/>
    <w:rsid w:val="3918C5B9"/>
    <w:rsid w:val="3993B272"/>
    <w:rsid w:val="3A8154CF"/>
    <w:rsid w:val="3C93D876"/>
    <w:rsid w:val="3F1CB467"/>
    <w:rsid w:val="4265FF3F"/>
    <w:rsid w:val="4431E4B7"/>
    <w:rsid w:val="45328534"/>
    <w:rsid w:val="4BDF7F5C"/>
    <w:rsid w:val="4C2B7C72"/>
    <w:rsid w:val="4CC594F0"/>
    <w:rsid w:val="4E01117A"/>
    <w:rsid w:val="4FFA3EB7"/>
    <w:rsid w:val="50D37DAE"/>
    <w:rsid w:val="53C875A2"/>
    <w:rsid w:val="569E3F24"/>
    <w:rsid w:val="56F6A3D8"/>
    <w:rsid w:val="5A75E947"/>
    <w:rsid w:val="5BE4BC26"/>
    <w:rsid w:val="5D3AF567"/>
    <w:rsid w:val="5D95C36D"/>
    <w:rsid w:val="6062D3A5"/>
    <w:rsid w:val="698CA525"/>
    <w:rsid w:val="71D5E92B"/>
    <w:rsid w:val="76ED224D"/>
    <w:rsid w:val="79EE7D79"/>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9E079F"/>
  <w15:chartTrackingRefBased/>
  <w15:docId w15:val="{CF0FF41C-1EB6-4D58-BB06-743AAD08A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4EA3"/>
    <w:pPr>
      <w:keepLines/>
      <w:spacing w:before="120"/>
    </w:pPr>
    <w:rPr>
      <w:rFonts w:ascii="Arial" w:hAnsi="Arial"/>
    </w:rPr>
  </w:style>
  <w:style w:type="paragraph" w:styleId="Heading1">
    <w:name w:val="heading 1"/>
    <w:basedOn w:val="Normal"/>
    <w:next w:val="Title"/>
    <w:link w:val="Heading1Char"/>
    <w:uiPriority w:val="9"/>
    <w:qFormat/>
    <w:rsid w:val="004B4BD6"/>
    <w:pPr>
      <w:spacing w:before="100" w:beforeAutospacing="1" w:after="100" w:afterAutospacing="1" w:line="240" w:lineRule="auto"/>
      <w:outlineLvl w:val="0"/>
    </w:pPr>
    <w:rPr>
      <w:rFonts w:eastAsia="Times New Roman" w:cs="Times New Roman"/>
      <w:bCs/>
      <w:color w:val="000000" w:themeColor="text1"/>
      <w:kern w:val="36"/>
      <w:sz w:val="32"/>
      <w:szCs w:val="48"/>
      <w:lang w:eastAsia="en-AU"/>
    </w:rPr>
  </w:style>
  <w:style w:type="paragraph" w:styleId="Heading2">
    <w:name w:val="heading 2"/>
    <w:basedOn w:val="Normal"/>
    <w:link w:val="Heading2Char"/>
    <w:uiPriority w:val="9"/>
    <w:qFormat/>
    <w:rsid w:val="0020429A"/>
    <w:pPr>
      <w:spacing w:before="100" w:beforeAutospacing="1" w:after="100" w:afterAutospacing="1" w:line="240" w:lineRule="auto"/>
      <w:outlineLvl w:val="1"/>
    </w:pPr>
    <w:rPr>
      <w:rFonts w:eastAsia="Times New Roman" w:cs="Times New Roman"/>
      <w:bCs/>
      <w:sz w:val="28"/>
      <w:szCs w:val="36"/>
      <w:lang w:eastAsia="en-AU"/>
    </w:rPr>
  </w:style>
  <w:style w:type="paragraph" w:styleId="Heading3">
    <w:name w:val="heading 3"/>
    <w:basedOn w:val="Normal"/>
    <w:next w:val="Normal"/>
    <w:link w:val="Heading3Char"/>
    <w:uiPriority w:val="9"/>
    <w:unhideWhenUsed/>
    <w:qFormat/>
    <w:rsid w:val="00A0175D"/>
    <w:pPr>
      <w:keepNext/>
      <w:spacing w:before="40" w:after="4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A0175D"/>
    <w:pPr>
      <w:keepNext/>
      <w:spacing w:after="120"/>
      <w:outlineLvl w:val="3"/>
    </w:pPr>
    <w:rPr>
      <w:rFonts w:eastAsiaTheme="majorEastAsi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DefaultParagraphFont"/>
    <w:uiPriority w:val="1"/>
    <w:rsid w:val="00126FA4"/>
    <w:rPr>
      <w:sz w:val="32"/>
    </w:rPr>
  </w:style>
  <w:style w:type="paragraph" w:styleId="Header">
    <w:name w:val="header"/>
    <w:basedOn w:val="Normal"/>
    <w:link w:val="HeaderChar"/>
    <w:uiPriority w:val="99"/>
    <w:unhideWhenUsed/>
    <w:rsid w:val="003044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4408"/>
  </w:style>
  <w:style w:type="paragraph" w:styleId="Footer">
    <w:name w:val="footer"/>
    <w:basedOn w:val="Normal"/>
    <w:link w:val="FooterChar"/>
    <w:uiPriority w:val="99"/>
    <w:unhideWhenUsed/>
    <w:rsid w:val="003044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4408"/>
  </w:style>
  <w:style w:type="character" w:customStyle="1" w:styleId="Heading1Char">
    <w:name w:val="Heading 1 Char"/>
    <w:basedOn w:val="DefaultParagraphFont"/>
    <w:link w:val="Heading1"/>
    <w:uiPriority w:val="9"/>
    <w:rsid w:val="004B4BD6"/>
    <w:rPr>
      <w:rFonts w:ascii="Arial" w:eastAsia="Times New Roman" w:hAnsi="Arial" w:cs="Times New Roman"/>
      <w:bCs/>
      <w:color w:val="000000" w:themeColor="text1"/>
      <w:kern w:val="36"/>
      <w:sz w:val="32"/>
      <w:szCs w:val="48"/>
      <w:lang w:eastAsia="en-AU"/>
    </w:rPr>
  </w:style>
  <w:style w:type="character" w:customStyle="1" w:styleId="Heading2Char">
    <w:name w:val="Heading 2 Char"/>
    <w:basedOn w:val="DefaultParagraphFont"/>
    <w:link w:val="Heading2"/>
    <w:uiPriority w:val="9"/>
    <w:rsid w:val="0020429A"/>
    <w:rPr>
      <w:rFonts w:ascii="Arial" w:eastAsia="Times New Roman" w:hAnsi="Arial" w:cs="Times New Roman"/>
      <w:bCs/>
      <w:sz w:val="28"/>
      <w:szCs w:val="36"/>
      <w:lang w:eastAsia="en-AU"/>
    </w:rPr>
  </w:style>
  <w:style w:type="paragraph" w:customStyle="1" w:styleId="visuallyhidden">
    <w:name w:val="visuallyhidden"/>
    <w:basedOn w:val="Normal"/>
    <w:rsid w:val="008F5DDC"/>
    <w:pPr>
      <w:spacing w:before="100" w:beforeAutospacing="1" w:after="100" w:afterAutospacing="1" w:line="240" w:lineRule="auto"/>
    </w:pPr>
    <w:rPr>
      <w:rFonts w:ascii="Times New Roman" w:eastAsia="Times New Roman" w:hAnsi="Times New Roman" w:cs="Times New Roman"/>
      <w:szCs w:val="24"/>
      <w:lang w:eastAsia="en-AU"/>
    </w:rPr>
  </w:style>
  <w:style w:type="character" w:styleId="Hyperlink">
    <w:name w:val="Hyperlink"/>
    <w:basedOn w:val="DefaultParagraphFont"/>
    <w:uiPriority w:val="99"/>
    <w:unhideWhenUsed/>
    <w:rsid w:val="008F5DDC"/>
    <w:rPr>
      <w:color w:val="0000FF"/>
      <w:u w:val="single"/>
    </w:rPr>
  </w:style>
  <w:style w:type="character" w:customStyle="1" w:styleId="clear-row">
    <w:name w:val="clear-row"/>
    <w:basedOn w:val="DefaultParagraphFont"/>
    <w:rsid w:val="008F5DDC"/>
  </w:style>
  <w:style w:type="character" w:customStyle="1" w:styleId="visuallyhidden1">
    <w:name w:val="visuallyhidden1"/>
    <w:basedOn w:val="DefaultParagraphFont"/>
    <w:rsid w:val="008F5DDC"/>
  </w:style>
  <w:style w:type="character" w:customStyle="1" w:styleId="abbr">
    <w:name w:val="abbr"/>
    <w:basedOn w:val="DefaultParagraphFont"/>
    <w:rsid w:val="008F5DDC"/>
  </w:style>
  <w:style w:type="paragraph" w:styleId="z-TopofForm">
    <w:name w:val="HTML Top of Form"/>
    <w:basedOn w:val="Normal"/>
    <w:next w:val="Normal"/>
    <w:link w:val="z-TopofFormChar"/>
    <w:hidden/>
    <w:uiPriority w:val="99"/>
    <w:semiHidden/>
    <w:unhideWhenUsed/>
    <w:rsid w:val="008F5DDC"/>
    <w:pPr>
      <w:pBdr>
        <w:bottom w:val="single" w:sz="6" w:space="1" w:color="auto"/>
      </w:pBdr>
      <w:spacing w:after="0" w:line="240" w:lineRule="auto"/>
      <w:jc w:val="center"/>
    </w:pPr>
    <w:rPr>
      <w:rFonts w:eastAsia="Times New Roman" w:cs="Arial"/>
      <w:vanish/>
      <w:sz w:val="16"/>
      <w:szCs w:val="16"/>
      <w:lang w:eastAsia="en-AU"/>
    </w:rPr>
  </w:style>
  <w:style w:type="character" w:customStyle="1" w:styleId="z-TopofFormChar">
    <w:name w:val="z-Top of Form Char"/>
    <w:basedOn w:val="DefaultParagraphFont"/>
    <w:link w:val="z-TopofForm"/>
    <w:uiPriority w:val="99"/>
    <w:semiHidden/>
    <w:rsid w:val="008F5DDC"/>
    <w:rPr>
      <w:rFonts w:ascii="Arial" w:eastAsia="Times New Roman" w:hAnsi="Arial" w:cs="Arial"/>
      <w:vanish/>
      <w:sz w:val="16"/>
      <w:szCs w:val="16"/>
      <w:lang w:eastAsia="en-AU"/>
    </w:rPr>
  </w:style>
  <w:style w:type="paragraph" w:styleId="z-BottomofForm">
    <w:name w:val="HTML Bottom of Form"/>
    <w:basedOn w:val="Normal"/>
    <w:next w:val="Normal"/>
    <w:link w:val="z-BottomofFormChar"/>
    <w:hidden/>
    <w:uiPriority w:val="99"/>
    <w:semiHidden/>
    <w:unhideWhenUsed/>
    <w:rsid w:val="008F5DDC"/>
    <w:pPr>
      <w:pBdr>
        <w:top w:val="single" w:sz="6" w:space="1" w:color="auto"/>
      </w:pBdr>
      <w:spacing w:after="0" w:line="240" w:lineRule="auto"/>
      <w:jc w:val="center"/>
    </w:pPr>
    <w:rPr>
      <w:rFonts w:eastAsia="Times New Roman" w:cs="Arial"/>
      <w:vanish/>
      <w:sz w:val="16"/>
      <w:szCs w:val="16"/>
      <w:lang w:eastAsia="en-AU"/>
    </w:rPr>
  </w:style>
  <w:style w:type="character" w:customStyle="1" w:styleId="z-BottomofFormChar">
    <w:name w:val="z-Bottom of Form Char"/>
    <w:basedOn w:val="DefaultParagraphFont"/>
    <w:link w:val="z-BottomofForm"/>
    <w:uiPriority w:val="99"/>
    <w:semiHidden/>
    <w:rsid w:val="008F5DDC"/>
    <w:rPr>
      <w:rFonts w:ascii="Arial" w:eastAsia="Times New Roman" w:hAnsi="Arial" w:cs="Arial"/>
      <w:vanish/>
      <w:sz w:val="16"/>
      <w:szCs w:val="16"/>
      <w:lang w:eastAsia="en-AU"/>
    </w:rPr>
  </w:style>
  <w:style w:type="paragraph" w:styleId="NormalWeb">
    <w:name w:val="Normal (Web)"/>
    <w:basedOn w:val="Normal"/>
    <w:uiPriority w:val="99"/>
    <w:semiHidden/>
    <w:unhideWhenUsed/>
    <w:rsid w:val="008F5DDC"/>
    <w:pPr>
      <w:spacing w:before="100" w:beforeAutospacing="1" w:after="100" w:afterAutospacing="1" w:line="240" w:lineRule="auto"/>
    </w:pPr>
    <w:rPr>
      <w:rFonts w:ascii="Times New Roman" w:eastAsia="Times New Roman" w:hAnsi="Times New Roman" w:cs="Times New Roman"/>
      <w:szCs w:val="24"/>
      <w:lang w:eastAsia="en-AU"/>
    </w:rPr>
  </w:style>
  <w:style w:type="character" w:customStyle="1" w:styleId="file-summary-info">
    <w:name w:val="file-summary-info"/>
    <w:basedOn w:val="DefaultParagraphFont"/>
    <w:rsid w:val="008F5DDC"/>
  </w:style>
  <w:style w:type="character" w:styleId="HTMLCite">
    <w:name w:val="HTML Cite"/>
    <w:basedOn w:val="DefaultParagraphFont"/>
    <w:uiPriority w:val="99"/>
    <w:semiHidden/>
    <w:unhideWhenUsed/>
    <w:rsid w:val="008F5DDC"/>
    <w:rPr>
      <w:i/>
      <w:iCs/>
    </w:rPr>
  </w:style>
  <w:style w:type="character" w:styleId="Emphasis">
    <w:name w:val="Emphasis"/>
    <w:basedOn w:val="DefaultParagraphFont"/>
    <w:uiPriority w:val="20"/>
    <w:rsid w:val="008F5DDC"/>
    <w:rPr>
      <w:i/>
      <w:iCs/>
    </w:rPr>
  </w:style>
  <w:style w:type="character" w:customStyle="1" w:styleId="social-footerlabel">
    <w:name w:val="social-footer__label"/>
    <w:basedOn w:val="DefaultParagraphFont"/>
    <w:rsid w:val="008F5DDC"/>
  </w:style>
  <w:style w:type="character" w:customStyle="1" w:styleId="Heading3Char">
    <w:name w:val="Heading 3 Char"/>
    <w:basedOn w:val="DefaultParagraphFont"/>
    <w:link w:val="Heading3"/>
    <w:uiPriority w:val="9"/>
    <w:rsid w:val="00A0175D"/>
    <w:rPr>
      <w:rFonts w:ascii="Arial" w:eastAsiaTheme="majorEastAsia" w:hAnsi="Arial" w:cstheme="majorBidi"/>
      <w:b/>
      <w:szCs w:val="24"/>
    </w:rPr>
  </w:style>
  <w:style w:type="paragraph" w:styleId="Quote">
    <w:name w:val="Quote"/>
    <w:basedOn w:val="Normal"/>
    <w:next w:val="Normal"/>
    <w:link w:val="QuoteChar"/>
    <w:uiPriority w:val="29"/>
    <w:qFormat/>
    <w:rsid w:val="007E7C64"/>
    <w:pPr>
      <w:spacing w:before="200" w:after="160"/>
      <w:ind w:left="864" w:right="864"/>
    </w:pPr>
    <w:rPr>
      <w:i/>
      <w:iCs/>
      <w:color w:val="000000" w:themeColor="text1"/>
    </w:rPr>
  </w:style>
  <w:style w:type="character" w:customStyle="1" w:styleId="QuoteChar">
    <w:name w:val="Quote Char"/>
    <w:basedOn w:val="DefaultParagraphFont"/>
    <w:link w:val="Quote"/>
    <w:uiPriority w:val="29"/>
    <w:rsid w:val="007E7C64"/>
    <w:rPr>
      <w:rFonts w:ascii="Arial" w:hAnsi="Arial"/>
      <w:i/>
      <w:iCs/>
      <w:color w:val="000000" w:themeColor="text1"/>
      <w:sz w:val="24"/>
    </w:rPr>
  </w:style>
  <w:style w:type="paragraph" w:styleId="ListParagraph">
    <w:name w:val="List Paragraph"/>
    <w:basedOn w:val="Normal"/>
    <w:link w:val="ListParagraphChar"/>
    <w:uiPriority w:val="7"/>
    <w:qFormat/>
    <w:rsid w:val="00C05E2C"/>
    <w:pPr>
      <w:numPr>
        <w:numId w:val="32"/>
      </w:numPr>
      <w:ind w:left="567" w:hanging="567"/>
      <w:contextualSpacing/>
    </w:pPr>
  </w:style>
  <w:style w:type="paragraph" w:customStyle="1" w:styleId="Style2">
    <w:name w:val="Style2"/>
    <w:basedOn w:val="ListParagraph"/>
    <w:link w:val="Style2Char"/>
    <w:qFormat/>
    <w:rsid w:val="002B36A2"/>
    <w:pPr>
      <w:numPr>
        <w:numId w:val="1"/>
      </w:numPr>
      <w:spacing w:line="360" w:lineRule="auto"/>
    </w:pPr>
    <w:rPr>
      <w:rFonts w:eastAsiaTheme="minorEastAsia" w:cs="Arial"/>
      <w:szCs w:val="24"/>
    </w:rPr>
  </w:style>
  <w:style w:type="paragraph" w:customStyle="1" w:styleId="Numberedparagraph">
    <w:name w:val="Numbered paragraph"/>
    <w:basedOn w:val="ListParagraph"/>
    <w:link w:val="NumberedparagraphChar"/>
    <w:qFormat/>
    <w:rsid w:val="004B4BD6"/>
    <w:pPr>
      <w:spacing w:after="240"/>
      <w:ind w:left="0"/>
      <w:contextualSpacing w:val="0"/>
    </w:pPr>
    <w:rPr>
      <w:rFonts w:eastAsiaTheme="minorEastAsia" w:cs="Arial"/>
      <w:szCs w:val="24"/>
    </w:rPr>
  </w:style>
  <w:style w:type="character" w:customStyle="1" w:styleId="ListParagraphChar">
    <w:name w:val="List Paragraph Char"/>
    <w:basedOn w:val="DefaultParagraphFont"/>
    <w:link w:val="ListParagraph"/>
    <w:uiPriority w:val="34"/>
    <w:rsid w:val="00C05E2C"/>
    <w:rPr>
      <w:rFonts w:ascii="Arial" w:hAnsi="Arial"/>
    </w:rPr>
  </w:style>
  <w:style w:type="character" w:customStyle="1" w:styleId="Style2Char">
    <w:name w:val="Style2 Char"/>
    <w:basedOn w:val="ListParagraphChar"/>
    <w:link w:val="Style2"/>
    <w:rsid w:val="002B36A2"/>
    <w:rPr>
      <w:rFonts w:ascii="Arial" w:eastAsiaTheme="minorEastAsia" w:hAnsi="Arial" w:cs="Arial"/>
      <w:sz w:val="24"/>
      <w:szCs w:val="24"/>
    </w:rPr>
  </w:style>
  <w:style w:type="character" w:customStyle="1" w:styleId="NumberedparagraphChar">
    <w:name w:val="Numbered paragraph Char"/>
    <w:basedOn w:val="ListParagraphChar"/>
    <w:link w:val="Numberedparagraph"/>
    <w:rsid w:val="004B4BD6"/>
    <w:rPr>
      <w:rFonts w:ascii="Arial" w:eastAsiaTheme="minorEastAsia" w:hAnsi="Arial" w:cs="Arial"/>
      <w:sz w:val="24"/>
      <w:szCs w:val="24"/>
    </w:rPr>
  </w:style>
  <w:style w:type="paragraph" w:styleId="FootnoteText">
    <w:name w:val="footnote text"/>
    <w:basedOn w:val="Normal"/>
    <w:link w:val="FootnoteTextChar"/>
    <w:uiPriority w:val="99"/>
    <w:unhideWhenUsed/>
    <w:rsid w:val="003566E6"/>
    <w:pPr>
      <w:spacing w:after="0" w:line="240" w:lineRule="auto"/>
    </w:pPr>
    <w:rPr>
      <w:sz w:val="20"/>
      <w:szCs w:val="20"/>
    </w:rPr>
  </w:style>
  <w:style w:type="character" w:customStyle="1" w:styleId="FootnoteTextChar">
    <w:name w:val="Footnote Text Char"/>
    <w:basedOn w:val="DefaultParagraphFont"/>
    <w:link w:val="FootnoteText"/>
    <w:uiPriority w:val="99"/>
    <w:rsid w:val="003566E6"/>
    <w:rPr>
      <w:rFonts w:ascii="Arial" w:hAnsi="Arial"/>
      <w:sz w:val="20"/>
      <w:szCs w:val="20"/>
    </w:rPr>
  </w:style>
  <w:style w:type="character" w:styleId="FootnoteReference">
    <w:name w:val="footnote reference"/>
    <w:aliases w:val="4_G,Footnote number,Footnotes refss,Footnote,Stinking Styles,Footnotes refss Char Char1,4_G Char Char Char1 Char Char Char Char Char Char,Footnote Reference1 Char Char Char1 Char Char Char Char Char Char,Texto de nota al pie,BVI fnr,f"/>
    <w:basedOn w:val="DefaultParagraphFont"/>
    <w:uiPriority w:val="99"/>
    <w:unhideWhenUsed/>
    <w:qFormat/>
    <w:rsid w:val="003566E6"/>
    <w:rPr>
      <w:vertAlign w:val="superscript"/>
    </w:rPr>
  </w:style>
  <w:style w:type="character" w:customStyle="1" w:styleId="UnresolvedMention1">
    <w:name w:val="Unresolved Mention1"/>
    <w:basedOn w:val="DefaultParagraphFont"/>
    <w:uiPriority w:val="99"/>
    <w:semiHidden/>
    <w:unhideWhenUsed/>
    <w:rsid w:val="00BE070A"/>
    <w:rPr>
      <w:color w:val="605E5C"/>
      <w:shd w:val="clear" w:color="auto" w:fill="E1DFDD"/>
    </w:rPr>
  </w:style>
  <w:style w:type="table" w:styleId="TableGrid">
    <w:name w:val="Table Grid"/>
    <w:basedOn w:val="TableNormal"/>
    <w:uiPriority w:val="59"/>
    <w:rsid w:val="00151B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51B5F"/>
    <w:rPr>
      <w:color w:val="800080" w:themeColor="followedHyperlink"/>
      <w:u w:val="single"/>
    </w:rPr>
  </w:style>
  <w:style w:type="character" w:styleId="CommentReference">
    <w:name w:val="annotation reference"/>
    <w:basedOn w:val="DefaultParagraphFont"/>
    <w:uiPriority w:val="99"/>
    <w:semiHidden/>
    <w:unhideWhenUsed/>
    <w:rsid w:val="006264D2"/>
    <w:rPr>
      <w:sz w:val="16"/>
      <w:szCs w:val="16"/>
    </w:rPr>
  </w:style>
  <w:style w:type="paragraph" w:styleId="CommentText">
    <w:name w:val="annotation text"/>
    <w:basedOn w:val="Normal"/>
    <w:link w:val="CommentTextChar"/>
    <w:uiPriority w:val="99"/>
    <w:unhideWhenUsed/>
    <w:rsid w:val="006264D2"/>
    <w:pPr>
      <w:spacing w:line="240" w:lineRule="auto"/>
    </w:pPr>
    <w:rPr>
      <w:sz w:val="20"/>
      <w:szCs w:val="20"/>
    </w:rPr>
  </w:style>
  <w:style w:type="character" w:customStyle="1" w:styleId="CommentTextChar">
    <w:name w:val="Comment Text Char"/>
    <w:basedOn w:val="DefaultParagraphFont"/>
    <w:link w:val="CommentText"/>
    <w:uiPriority w:val="99"/>
    <w:rsid w:val="006264D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6264D2"/>
    <w:rPr>
      <w:b/>
      <w:bCs/>
    </w:rPr>
  </w:style>
  <w:style w:type="character" w:customStyle="1" w:styleId="CommentSubjectChar">
    <w:name w:val="Comment Subject Char"/>
    <w:basedOn w:val="CommentTextChar"/>
    <w:link w:val="CommentSubject"/>
    <w:uiPriority w:val="99"/>
    <w:semiHidden/>
    <w:rsid w:val="006264D2"/>
    <w:rPr>
      <w:rFonts w:ascii="Arial" w:hAnsi="Arial"/>
      <w:b/>
      <w:bCs/>
      <w:sz w:val="20"/>
      <w:szCs w:val="20"/>
    </w:rPr>
  </w:style>
  <w:style w:type="paragraph" w:styleId="BalloonText">
    <w:name w:val="Balloon Text"/>
    <w:basedOn w:val="Normal"/>
    <w:link w:val="BalloonTextChar"/>
    <w:uiPriority w:val="99"/>
    <w:semiHidden/>
    <w:unhideWhenUsed/>
    <w:rsid w:val="006264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64D2"/>
    <w:rPr>
      <w:rFonts w:ascii="Segoe UI" w:hAnsi="Segoe UI" w:cs="Segoe UI"/>
      <w:sz w:val="18"/>
      <w:szCs w:val="18"/>
    </w:rPr>
  </w:style>
  <w:style w:type="character" w:customStyle="1" w:styleId="Heading4Char">
    <w:name w:val="Heading 4 Char"/>
    <w:basedOn w:val="DefaultParagraphFont"/>
    <w:link w:val="Heading4"/>
    <w:uiPriority w:val="9"/>
    <w:rsid w:val="00A0175D"/>
    <w:rPr>
      <w:rFonts w:ascii="Arial" w:eastAsiaTheme="majorEastAsia" w:hAnsi="Arial" w:cstheme="majorBidi"/>
      <w:iCs/>
    </w:rPr>
  </w:style>
  <w:style w:type="paragraph" w:styleId="Revision">
    <w:name w:val="Revision"/>
    <w:hidden/>
    <w:uiPriority w:val="99"/>
    <w:semiHidden/>
    <w:rsid w:val="003F0A18"/>
    <w:pPr>
      <w:spacing w:after="0" w:line="240" w:lineRule="auto"/>
    </w:pPr>
    <w:rPr>
      <w:rFonts w:ascii="Arial" w:hAnsi="Arial"/>
    </w:rPr>
  </w:style>
  <w:style w:type="character" w:styleId="PlaceholderText">
    <w:name w:val="Placeholder Text"/>
    <w:basedOn w:val="DefaultParagraphFont"/>
    <w:uiPriority w:val="99"/>
    <w:semiHidden/>
    <w:rsid w:val="00034A72"/>
    <w:rPr>
      <w:color w:val="808080"/>
    </w:rPr>
  </w:style>
  <w:style w:type="paragraph" w:customStyle="1" w:styleId="Tablebody">
    <w:name w:val="Table body"/>
    <w:basedOn w:val="Normal"/>
    <w:link w:val="TablebodyChar"/>
    <w:qFormat/>
    <w:rsid w:val="0020429A"/>
    <w:pPr>
      <w:spacing w:before="40" w:after="40" w:line="240" w:lineRule="auto"/>
    </w:pPr>
    <w:rPr>
      <w:rFonts w:cs="Arial"/>
    </w:rPr>
  </w:style>
  <w:style w:type="character" w:customStyle="1" w:styleId="TablebodyChar">
    <w:name w:val="Table body Char"/>
    <w:basedOn w:val="DefaultParagraphFont"/>
    <w:link w:val="Tablebody"/>
    <w:rsid w:val="0020429A"/>
    <w:rPr>
      <w:rFonts w:ascii="Arial" w:hAnsi="Arial" w:cs="Arial"/>
    </w:rPr>
  </w:style>
  <w:style w:type="paragraph" w:customStyle="1" w:styleId="Tableheading">
    <w:name w:val="Table heading"/>
    <w:basedOn w:val="Normal"/>
    <w:link w:val="TableheadingChar"/>
    <w:qFormat/>
    <w:rsid w:val="0020429A"/>
    <w:pPr>
      <w:spacing w:before="40" w:after="40" w:line="240" w:lineRule="auto"/>
    </w:pPr>
    <w:rPr>
      <w:rFonts w:cs="Arial"/>
      <w:b/>
      <w:bCs/>
    </w:rPr>
  </w:style>
  <w:style w:type="character" w:customStyle="1" w:styleId="TableheadingChar">
    <w:name w:val="Table heading Char"/>
    <w:basedOn w:val="DefaultParagraphFont"/>
    <w:link w:val="Tableheading"/>
    <w:rsid w:val="0020429A"/>
    <w:rPr>
      <w:rFonts w:ascii="Arial" w:hAnsi="Arial" w:cs="Arial"/>
      <w:b/>
      <w:bCs/>
    </w:rPr>
  </w:style>
  <w:style w:type="paragraph" w:styleId="Title">
    <w:name w:val="Title"/>
    <w:basedOn w:val="Normal"/>
    <w:next w:val="Normal"/>
    <w:link w:val="TitleChar"/>
    <w:uiPriority w:val="10"/>
    <w:rsid w:val="0020429A"/>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429A"/>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29978">
      <w:bodyDiv w:val="1"/>
      <w:marLeft w:val="0"/>
      <w:marRight w:val="0"/>
      <w:marTop w:val="0"/>
      <w:marBottom w:val="0"/>
      <w:divBdr>
        <w:top w:val="none" w:sz="0" w:space="0" w:color="auto"/>
        <w:left w:val="none" w:sz="0" w:space="0" w:color="auto"/>
        <w:bottom w:val="none" w:sz="0" w:space="0" w:color="auto"/>
        <w:right w:val="none" w:sz="0" w:space="0" w:color="auto"/>
      </w:divBdr>
    </w:div>
    <w:div w:id="220872417">
      <w:bodyDiv w:val="1"/>
      <w:marLeft w:val="0"/>
      <w:marRight w:val="0"/>
      <w:marTop w:val="0"/>
      <w:marBottom w:val="0"/>
      <w:divBdr>
        <w:top w:val="none" w:sz="0" w:space="0" w:color="auto"/>
        <w:left w:val="none" w:sz="0" w:space="0" w:color="auto"/>
        <w:bottom w:val="none" w:sz="0" w:space="0" w:color="auto"/>
        <w:right w:val="none" w:sz="0" w:space="0" w:color="auto"/>
      </w:divBdr>
    </w:div>
    <w:div w:id="445470153">
      <w:bodyDiv w:val="1"/>
      <w:marLeft w:val="0"/>
      <w:marRight w:val="0"/>
      <w:marTop w:val="0"/>
      <w:marBottom w:val="0"/>
      <w:divBdr>
        <w:top w:val="none" w:sz="0" w:space="0" w:color="auto"/>
        <w:left w:val="none" w:sz="0" w:space="0" w:color="auto"/>
        <w:bottom w:val="none" w:sz="0" w:space="0" w:color="auto"/>
        <w:right w:val="none" w:sz="0" w:space="0" w:color="auto"/>
      </w:divBdr>
    </w:div>
    <w:div w:id="617567737">
      <w:bodyDiv w:val="1"/>
      <w:marLeft w:val="0"/>
      <w:marRight w:val="0"/>
      <w:marTop w:val="0"/>
      <w:marBottom w:val="0"/>
      <w:divBdr>
        <w:top w:val="none" w:sz="0" w:space="0" w:color="auto"/>
        <w:left w:val="none" w:sz="0" w:space="0" w:color="auto"/>
        <w:bottom w:val="none" w:sz="0" w:space="0" w:color="auto"/>
        <w:right w:val="none" w:sz="0" w:space="0" w:color="auto"/>
      </w:divBdr>
      <w:divsChild>
        <w:div w:id="249974394">
          <w:marLeft w:val="0"/>
          <w:marRight w:val="0"/>
          <w:marTop w:val="0"/>
          <w:marBottom w:val="0"/>
          <w:divBdr>
            <w:top w:val="none" w:sz="0" w:space="0" w:color="auto"/>
            <w:left w:val="none" w:sz="0" w:space="0" w:color="auto"/>
            <w:bottom w:val="none" w:sz="0" w:space="0" w:color="auto"/>
            <w:right w:val="none" w:sz="0" w:space="0" w:color="auto"/>
          </w:divBdr>
          <w:divsChild>
            <w:div w:id="1241673590">
              <w:marLeft w:val="0"/>
              <w:marRight w:val="0"/>
              <w:marTop w:val="0"/>
              <w:marBottom w:val="0"/>
              <w:divBdr>
                <w:top w:val="none" w:sz="0" w:space="0" w:color="auto"/>
                <w:left w:val="none" w:sz="0" w:space="0" w:color="auto"/>
                <w:bottom w:val="single" w:sz="6" w:space="0" w:color="EAEAEA"/>
                <w:right w:val="none" w:sz="0" w:space="0" w:color="auto"/>
              </w:divBdr>
              <w:divsChild>
                <w:div w:id="791942988">
                  <w:marLeft w:val="0"/>
                  <w:marRight w:val="0"/>
                  <w:marTop w:val="0"/>
                  <w:marBottom w:val="0"/>
                  <w:divBdr>
                    <w:top w:val="none" w:sz="0" w:space="0" w:color="auto"/>
                    <w:left w:val="none" w:sz="0" w:space="0" w:color="auto"/>
                    <w:bottom w:val="none" w:sz="0" w:space="0" w:color="auto"/>
                    <w:right w:val="none" w:sz="0" w:space="0" w:color="auto"/>
                  </w:divBdr>
                </w:div>
              </w:divsChild>
            </w:div>
            <w:div w:id="1159150442">
              <w:marLeft w:val="0"/>
              <w:marRight w:val="0"/>
              <w:marTop w:val="0"/>
              <w:marBottom w:val="0"/>
              <w:divBdr>
                <w:top w:val="none" w:sz="0" w:space="0" w:color="auto"/>
                <w:left w:val="none" w:sz="0" w:space="0" w:color="auto"/>
                <w:bottom w:val="none" w:sz="0" w:space="0" w:color="auto"/>
                <w:right w:val="none" w:sz="0" w:space="0" w:color="auto"/>
              </w:divBdr>
              <w:divsChild>
                <w:div w:id="794450430">
                  <w:marLeft w:val="0"/>
                  <w:marRight w:val="0"/>
                  <w:marTop w:val="0"/>
                  <w:marBottom w:val="0"/>
                  <w:divBdr>
                    <w:top w:val="none" w:sz="0" w:space="0" w:color="auto"/>
                    <w:left w:val="none" w:sz="0" w:space="0" w:color="auto"/>
                    <w:bottom w:val="none" w:sz="0" w:space="0" w:color="auto"/>
                    <w:right w:val="none" w:sz="0" w:space="0" w:color="auto"/>
                  </w:divBdr>
                </w:div>
                <w:div w:id="2002006961">
                  <w:marLeft w:val="750"/>
                  <w:marRight w:val="0"/>
                  <w:marTop w:val="375"/>
                  <w:marBottom w:val="0"/>
                  <w:divBdr>
                    <w:top w:val="none" w:sz="0" w:space="0" w:color="auto"/>
                    <w:left w:val="none" w:sz="0" w:space="0" w:color="auto"/>
                    <w:bottom w:val="none" w:sz="0" w:space="0" w:color="auto"/>
                    <w:right w:val="none" w:sz="0" w:space="0" w:color="auto"/>
                  </w:divBdr>
                </w:div>
                <w:div w:id="519393170">
                  <w:marLeft w:val="375"/>
                  <w:marRight w:val="0"/>
                  <w:marTop w:val="375"/>
                  <w:marBottom w:val="0"/>
                  <w:divBdr>
                    <w:top w:val="none" w:sz="0" w:space="0" w:color="auto"/>
                    <w:left w:val="none" w:sz="0" w:space="0" w:color="auto"/>
                    <w:bottom w:val="none" w:sz="0" w:space="0" w:color="auto"/>
                    <w:right w:val="none" w:sz="0" w:space="0" w:color="auto"/>
                  </w:divBdr>
                </w:div>
              </w:divsChild>
            </w:div>
            <w:div w:id="1734810442">
              <w:marLeft w:val="0"/>
              <w:marRight w:val="0"/>
              <w:marTop w:val="0"/>
              <w:marBottom w:val="0"/>
              <w:divBdr>
                <w:top w:val="none" w:sz="0" w:space="0" w:color="auto"/>
                <w:left w:val="none" w:sz="0" w:space="0" w:color="auto"/>
                <w:bottom w:val="none" w:sz="0" w:space="0" w:color="auto"/>
                <w:right w:val="none" w:sz="0" w:space="0" w:color="auto"/>
              </w:divBdr>
            </w:div>
            <w:div w:id="1719433243">
              <w:marLeft w:val="0"/>
              <w:marRight w:val="0"/>
              <w:marTop w:val="0"/>
              <w:marBottom w:val="0"/>
              <w:divBdr>
                <w:top w:val="none" w:sz="0" w:space="0" w:color="auto"/>
                <w:left w:val="none" w:sz="0" w:space="0" w:color="auto"/>
                <w:bottom w:val="none" w:sz="0" w:space="0" w:color="auto"/>
                <w:right w:val="none" w:sz="0" w:space="0" w:color="auto"/>
              </w:divBdr>
              <w:divsChild>
                <w:div w:id="444621797">
                  <w:marLeft w:val="0"/>
                  <w:marRight w:val="0"/>
                  <w:marTop w:val="0"/>
                  <w:marBottom w:val="0"/>
                  <w:divBdr>
                    <w:top w:val="none" w:sz="0" w:space="0" w:color="auto"/>
                    <w:left w:val="none" w:sz="0" w:space="0" w:color="auto"/>
                    <w:bottom w:val="none" w:sz="0" w:space="0" w:color="auto"/>
                    <w:right w:val="none" w:sz="0" w:space="0" w:color="auto"/>
                  </w:divBdr>
                  <w:divsChild>
                    <w:div w:id="160702324">
                      <w:marLeft w:val="0"/>
                      <w:marRight w:val="0"/>
                      <w:marTop w:val="0"/>
                      <w:marBottom w:val="0"/>
                      <w:divBdr>
                        <w:top w:val="none" w:sz="0" w:space="0" w:color="auto"/>
                        <w:left w:val="none" w:sz="0" w:space="0" w:color="auto"/>
                        <w:bottom w:val="none" w:sz="0" w:space="0" w:color="auto"/>
                        <w:right w:val="none" w:sz="0" w:space="0" w:color="auto"/>
                      </w:divBdr>
                    </w:div>
                    <w:div w:id="1460732176">
                      <w:marLeft w:val="0"/>
                      <w:marRight w:val="0"/>
                      <w:marTop w:val="600"/>
                      <w:marBottom w:val="450"/>
                      <w:divBdr>
                        <w:top w:val="none" w:sz="0" w:space="0" w:color="auto"/>
                        <w:left w:val="none" w:sz="0" w:space="0" w:color="auto"/>
                        <w:bottom w:val="none" w:sz="0" w:space="0" w:color="auto"/>
                        <w:right w:val="none" w:sz="0" w:space="0" w:color="auto"/>
                      </w:divBdr>
                      <w:divsChild>
                        <w:div w:id="706879672">
                          <w:marLeft w:val="0"/>
                          <w:marRight w:val="0"/>
                          <w:marTop w:val="0"/>
                          <w:marBottom w:val="0"/>
                          <w:divBdr>
                            <w:top w:val="none" w:sz="0" w:space="0" w:color="auto"/>
                            <w:left w:val="none" w:sz="0" w:space="0" w:color="auto"/>
                            <w:bottom w:val="none" w:sz="0" w:space="0" w:color="auto"/>
                            <w:right w:val="none" w:sz="0" w:space="0" w:color="auto"/>
                          </w:divBdr>
                          <w:divsChild>
                            <w:div w:id="1066881554">
                              <w:marLeft w:val="0"/>
                              <w:marRight w:val="0"/>
                              <w:marTop w:val="0"/>
                              <w:marBottom w:val="0"/>
                              <w:divBdr>
                                <w:top w:val="none" w:sz="0" w:space="0" w:color="auto"/>
                                <w:left w:val="none" w:sz="0" w:space="0" w:color="auto"/>
                                <w:bottom w:val="none" w:sz="0" w:space="0" w:color="auto"/>
                                <w:right w:val="none" w:sz="0" w:space="0" w:color="auto"/>
                              </w:divBdr>
                              <w:divsChild>
                                <w:div w:id="3959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077274">
                      <w:marLeft w:val="0"/>
                      <w:marRight w:val="0"/>
                      <w:marTop w:val="450"/>
                      <w:marBottom w:val="450"/>
                      <w:divBdr>
                        <w:top w:val="none" w:sz="0" w:space="0" w:color="auto"/>
                        <w:left w:val="single" w:sz="6" w:space="23" w:color="EAEAEA"/>
                        <w:bottom w:val="none" w:sz="0" w:space="0" w:color="auto"/>
                        <w:right w:val="none" w:sz="0" w:space="0" w:color="auto"/>
                      </w:divBdr>
                      <w:divsChild>
                        <w:div w:id="881988913">
                          <w:marLeft w:val="0"/>
                          <w:marRight w:val="0"/>
                          <w:marTop w:val="0"/>
                          <w:marBottom w:val="0"/>
                          <w:divBdr>
                            <w:top w:val="none" w:sz="0" w:space="0" w:color="auto"/>
                            <w:left w:val="none" w:sz="0" w:space="0" w:color="auto"/>
                            <w:bottom w:val="none" w:sz="0" w:space="0" w:color="auto"/>
                            <w:right w:val="none" w:sz="0" w:space="0" w:color="auto"/>
                          </w:divBdr>
                          <w:divsChild>
                            <w:div w:id="1947535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77652">
              <w:marLeft w:val="0"/>
              <w:marRight w:val="0"/>
              <w:marTop w:val="0"/>
              <w:marBottom w:val="0"/>
              <w:divBdr>
                <w:top w:val="none" w:sz="0" w:space="0" w:color="auto"/>
                <w:left w:val="none" w:sz="0" w:space="0" w:color="auto"/>
                <w:bottom w:val="none" w:sz="0" w:space="0" w:color="auto"/>
                <w:right w:val="none" w:sz="0" w:space="0" w:color="auto"/>
              </w:divBdr>
              <w:divsChild>
                <w:div w:id="1490173132">
                  <w:marLeft w:val="0"/>
                  <w:marRight w:val="0"/>
                  <w:marTop w:val="0"/>
                  <w:marBottom w:val="0"/>
                  <w:divBdr>
                    <w:top w:val="none" w:sz="0" w:space="0" w:color="auto"/>
                    <w:left w:val="none" w:sz="0" w:space="0" w:color="auto"/>
                    <w:bottom w:val="none" w:sz="0" w:space="0" w:color="auto"/>
                    <w:right w:val="none" w:sz="0" w:space="0" w:color="auto"/>
                  </w:divBdr>
                </w:div>
              </w:divsChild>
            </w:div>
            <w:div w:id="645356884">
              <w:marLeft w:val="0"/>
              <w:marRight w:val="0"/>
              <w:marTop w:val="0"/>
              <w:marBottom w:val="0"/>
              <w:divBdr>
                <w:top w:val="none" w:sz="0" w:space="0" w:color="auto"/>
                <w:left w:val="none" w:sz="0" w:space="0" w:color="auto"/>
                <w:bottom w:val="none" w:sz="0" w:space="0" w:color="auto"/>
                <w:right w:val="none" w:sz="0" w:space="0" w:color="auto"/>
              </w:divBdr>
            </w:div>
          </w:divsChild>
        </w:div>
        <w:div w:id="1109470018">
          <w:marLeft w:val="0"/>
          <w:marRight w:val="0"/>
          <w:marTop w:val="0"/>
          <w:marBottom w:val="0"/>
          <w:divBdr>
            <w:top w:val="none" w:sz="0" w:space="0" w:color="auto"/>
            <w:left w:val="none" w:sz="0" w:space="0" w:color="auto"/>
            <w:bottom w:val="none" w:sz="0" w:space="0" w:color="auto"/>
            <w:right w:val="none" w:sz="0" w:space="0" w:color="auto"/>
          </w:divBdr>
        </w:div>
      </w:divsChild>
    </w:div>
    <w:div w:id="670714901">
      <w:bodyDiv w:val="1"/>
      <w:marLeft w:val="0"/>
      <w:marRight w:val="0"/>
      <w:marTop w:val="0"/>
      <w:marBottom w:val="0"/>
      <w:divBdr>
        <w:top w:val="none" w:sz="0" w:space="0" w:color="auto"/>
        <w:left w:val="none" w:sz="0" w:space="0" w:color="auto"/>
        <w:bottom w:val="none" w:sz="0" w:space="0" w:color="auto"/>
        <w:right w:val="none" w:sz="0" w:space="0" w:color="auto"/>
      </w:divBdr>
    </w:div>
    <w:div w:id="914778668">
      <w:bodyDiv w:val="1"/>
      <w:marLeft w:val="0"/>
      <w:marRight w:val="0"/>
      <w:marTop w:val="0"/>
      <w:marBottom w:val="0"/>
      <w:divBdr>
        <w:top w:val="none" w:sz="0" w:space="0" w:color="auto"/>
        <w:left w:val="none" w:sz="0" w:space="0" w:color="auto"/>
        <w:bottom w:val="none" w:sz="0" w:space="0" w:color="auto"/>
        <w:right w:val="none" w:sz="0" w:space="0" w:color="auto"/>
      </w:divBdr>
    </w:div>
    <w:div w:id="930161173">
      <w:bodyDiv w:val="1"/>
      <w:marLeft w:val="0"/>
      <w:marRight w:val="0"/>
      <w:marTop w:val="0"/>
      <w:marBottom w:val="0"/>
      <w:divBdr>
        <w:top w:val="none" w:sz="0" w:space="0" w:color="auto"/>
        <w:left w:val="none" w:sz="0" w:space="0" w:color="auto"/>
        <w:bottom w:val="none" w:sz="0" w:space="0" w:color="auto"/>
        <w:right w:val="none" w:sz="0" w:space="0" w:color="auto"/>
      </w:divBdr>
    </w:div>
    <w:div w:id="1019813689">
      <w:bodyDiv w:val="1"/>
      <w:marLeft w:val="0"/>
      <w:marRight w:val="0"/>
      <w:marTop w:val="0"/>
      <w:marBottom w:val="0"/>
      <w:divBdr>
        <w:top w:val="none" w:sz="0" w:space="0" w:color="auto"/>
        <w:left w:val="none" w:sz="0" w:space="0" w:color="auto"/>
        <w:bottom w:val="none" w:sz="0" w:space="0" w:color="auto"/>
        <w:right w:val="none" w:sz="0" w:space="0" w:color="auto"/>
      </w:divBdr>
    </w:div>
    <w:div w:id="1065371255">
      <w:bodyDiv w:val="1"/>
      <w:marLeft w:val="0"/>
      <w:marRight w:val="0"/>
      <w:marTop w:val="0"/>
      <w:marBottom w:val="0"/>
      <w:divBdr>
        <w:top w:val="none" w:sz="0" w:space="0" w:color="auto"/>
        <w:left w:val="none" w:sz="0" w:space="0" w:color="auto"/>
        <w:bottom w:val="none" w:sz="0" w:space="0" w:color="auto"/>
        <w:right w:val="none" w:sz="0" w:space="0" w:color="auto"/>
      </w:divBdr>
    </w:div>
    <w:div w:id="1467314735">
      <w:bodyDiv w:val="1"/>
      <w:marLeft w:val="0"/>
      <w:marRight w:val="0"/>
      <w:marTop w:val="0"/>
      <w:marBottom w:val="0"/>
      <w:divBdr>
        <w:top w:val="none" w:sz="0" w:space="0" w:color="auto"/>
        <w:left w:val="none" w:sz="0" w:space="0" w:color="auto"/>
        <w:bottom w:val="none" w:sz="0" w:space="0" w:color="auto"/>
        <w:right w:val="none" w:sz="0" w:space="0" w:color="auto"/>
      </w:divBdr>
    </w:div>
    <w:div w:id="1594825406">
      <w:bodyDiv w:val="1"/>
      <w:marLeft w:val="0"/>
      <w:marRight w:val="0"/>
      <w:marTop w:val="0"/>
      <w:marBottom w:val="0"/>
      <w:divBdr>
        <w:top w:val="none" w:sz="0" w:space="0" w:color="auto"/>
        <w:left w:val="none" w:sz="0" w:space="0" w:color="auto"/>
        <w:bottom w:val="none" w:sz="0" w:space="0" w:color="auto"/>
        <w:right w:val="none" w:sz="0" w:space="0" w:color="auto"/>
      </w:divBdr>
    </w:div>
    <w:div w:id="2011634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qlrc.qld.gov.au/reviews/completed/2025/mining-lease-objections-processes-review/review-publication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qldhrc.sharepoint.com/QHRCAssets/QHRC%20letterhead%20template%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arahssubs xmlns="9ce53bef-e5d1-4308-a048-986453adcb2d">
      <UserInfo>
        <DisplayName/>
        <AccountId xsi:nil="true"/>
        <AccountType/>
      </UserInfo>
    </Sarahssubs>
    <SubmissionTo xmlns="9ce53bef-e5d1-4308-a048-986453adcb2d" xsi:nil="true"/>
    <lcf76f155ced4ddcb4097134ff3c332f xmlns="9ce53bef-e5d1-4308-a048-986453adcb2d">
      <Terms xmlns="http://schemas.microsoft.com/office/infopath/2007/PartnerControls"/>
    </lcf76f155ced4ddcb4097134ff3c332f>
    <Filenumber xmlns="a9ec758c-7b29-4bbd-836f-c599af6fef2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FF9340CB8F7EB4997B2DB42177774D5" ma:contentTypeVersion="13" ma:contentTypeDescription="Create a new document." ma:contentTypeScope="" ma:versionID="95738ed75216225ec4f7af133634deac">
  <xsd:schema xmlns:xsd="http://www.w3.org/2001/XMLSchema" xmlns:xs="http://www.w3.org/2001/XMLSchema" xmlns:p="http://schemas.microsoft.com/office/2006/metadata/properties" xmlns:ns2="a9ec758c-7b29-4bbd-836f-c599af6fef2b" xmlns:ns3="9ce53bef-e5d1-4308-a048-986453adcb2d" targetNamespace="http://schemas.microsoft.com/office/2006/metadata/properties" ma:root="true" ma:fieldsID="1e410a3ca326a2504198dd36d0156c8b" ns2:_="" ns3:_="">
    <xsd:import namespace="a9ec758c-7b29-4bbd-836f-c599af6fef2b"/>
    <xsd:import namespace="9ce53bef-e5d1-4308-a048-986453adcb2d"/>
    <xsd:element name="properties">
      <xsd:complexType>
        <xsd:sequence>
          <xsd:element name="documentManagement">
            <xsd:complexType>
              <xsd:all>
                <xsd:element ref="ns2:_dlc_DocId" minOccurs="0"/>
                <xsd:element ref="ns2:_dlc_DocIdUrl" minOccurs="0"/>
                <xsd:element ref="ns2:_dlc_DocIdPersistId" minOccurs="0"/>
                <xsd:element ref="ns2:Filenumber" minOccurs="0"/>
                <xsd:element ref="ns3:MediaServiceMetadata" minOccurs="0"/>
                <xsd:element ref="ns3:MediaServiceFastMetadata" minOccurs="0"/>
                <xsd:element ref="ns3:MediaServiceSearchProperties" minOccurs="0"/>
                <xsd:element ref="ns3:MediaServiceObjectDetectorVersions" minOccurs="0"/>
                <xsd:element ref="ns3:SubmissionTo" minOccurs="0"/>
                <xsd:element ref="ns3:Sarahssub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ec758c-7b29-4bbd-836f-c599af6fef2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Filenumber" ma:index="11" nillable="true" ma:displayName="File number" ma:internalName="Filenumb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e53bef-e5d1-4308-a048-986453adcb2d"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SubmissionTo" ma:index="16" nillable="true" ma:displayName="Submission to" ma:format="Dropdown" ma:internalName="SubmissionTo">
      <xsd:simpleType>
        <xsd:restriction base="dms:Text">
          <xsd:maxLength value="255"/>
        </xsd:restriction>
      </xsd:simpleType>
    </xsd:element>
    <xsd:element name="Sarahssubs" ma:index="17" nillable="true" ma:displayName="Sarah's subs" ma:format="Dropdown" ma:list="UserInfo" ma:SharePointGroup="0" ma:internalName="Sarahssub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155ed63-341b-4a6d-8d92-bc71a3205411"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D3FCC79-4BA3-43C0-9FFD-8374BD27A8A0}">
  <ds:schemaRefs>
    <ds:schemaRef ds:uri="http://schemas.microsoft.com/office/2006/metadata/properties"/>
    <ds:schemaRef ds:uri="http://schemas.microsoft.com/office/infopath/2007/PartnerControls"/>
    <ds:schemaRef ds:uri="9ce53bef-e5d1-4308-a048-986453adcb2d"/>
    <ds:schemaRef ds:uri="a9ec758c-7b29-4bbd-836f-c599af6fef2b"/>
  </ds:schemaRefs>
</ds:datastoreItem>
</file>

<file path=customXml/itemProps2.xml><?xml version="1.0" encoding="utf-8"?>
<ds:datastoreItem xmlns:ds="http://schemas.openxmlformats.org/officeDocument/2006/customXml" ds:itemID="{A30C8B95-F95F-4C41-8F2B-0AFAB50223E4}">
  <ds:schemaRefs>
    <ds:schemaRef ds:uri="http://schemas.openxmlformats.org/officeDocument/2006/bibliography"/>
  </ds:schemaRefs>
</ds:datastoreItem>
</file>

<file path=customXml/itemProps3.xml><?xml version="1.0" encoding="utf-8"?>
<ds:datastoreItem xmlns:ds="http://schemas.openxmlformats.org/officeDocument/2006/customXml" ds:itemID="{FAF906A3-413D-4BBC-A8EC-7D667CA4F809}">
  <ds:schemaRefs>
    <ds:schemaRef ds:uri="http://schemas.microsoft.com/sharepoint/v3/contenttype/forms"/>
  </ds:schemaRefs>
</ds:datastoreItem>
</file>

<file path=customXml/itemProps4.xml><?xml version="1.0" encoding="utf-8"?>
<ds:datastoreItem xmlns:ds="http://schemas.openxmlformats.org/officeDocument/2006/customXml" ds:itemID="{845A7BE8-DBAF-4A58-AF23-A7EF3C8817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ec758c-7b29-4bbd-836f-c599af6fef2b"/>
    <ds:schemaRef ds:uri="9ce53bef-e5d1-4308-a048-986453adcb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2A1D51A-A1B8-4EA4-9977-F4990883A66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QHRC%20letterhead%20template%20</Template>
  <TotalTime>1</TotalTime>
  <Pages>4</Pages>
  <Words>1320</Words>
  <Characters>7529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ADCQ</Company>
  <LinksUpToDate>false</LinksUpToDate>
  <CharactersWithSpaces>8832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Wilson</dc:creator>
  <cp:keywords/>
  <dc:description/>
  <cp:lastModifiedBy>Helen Bannerman</cp:lastModifiedBy>
  <cp:revision>2</cp:revision>
  <cp:lastPrinted>2025-08-06T05:33:00Z</cp:lastPrinted>
  <dcterms:created xsi:type="dcterms:W3CDTF">2026-10-14T06:16:00Z</dcterms:created>
  <dcterms:modified xsi:type="dcterms:W3CDTF">2026-10-14T06:16:00Z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0x0101008FF9340CB8F7EB4997B2DB42177774D5</vt:lpwstr>
  </property>
  <property fmtid="{D5CDD505-2E9C-101B-9397-08002B2CF9AE}" pid="3" name="ComplianceAssetId">
    <vt:lpwstr/>
  </property>
  <property fmtid="{D5CDD505-2E9C-101B-9397-08002B2CF9AE}" pid="4" name="_ExtendedDescription">
    <vt:lpwstr/>
  </property>
  <property fmtid="{D5CDD505-2E9C-101B-9397-08002B2CF9AE}" pid="5" name="SharedWithUsers">
    <vt:lpwstr>75;#Deborah Keenan</vt:lpwstr>
  </property>
  <property fmtid="{D5CDD505-2E9C-101B-9397-08002B2CF9AE}" pid="6" name="MediaServiceImageTags">
    <vt:lpwstr/>
  </property>
  <property fmtid="{D5CDD505-2E9C-101B-9397-08002B2CF9AE}" pid="7" name="_dlc_DocIdItemGuid">
    <vt:lpwstr>b68a8673-6f12-43f4-976c-e8c7c855f419</vt:lpwstr>
  </property>
  <property fmtid="{D5CDD505-2E9C-101B-9397-08002B2CF9AE}" pid="8" name="xd_ProgID">
    <vt:lpwstr/>
  </property>
  <property fmtid="{D5CDD505-2E9C-101B-9397-08002B2CF9AE}" pid="9" name="_dlc_DocId">
    <vt:lpwstr>MXEKDN6VVZUS-1035446974-39</vt:lpwstr>
  </property>
  <property fmtid="{D5CDD505-2E9C-101B-9397-08002B2CF9AE}" pid="10" name="TemplateUrl">
    <vt:lpwstr/>
  </property>
  <property fmtid="{D5CDD505-2E9C-101B-9397-08002B2CF9AE}" pid="11" name="DocumentType">
    <vt:lpwstr>32;#Template|aaf00d10-84d3-4180-ba8b-d16ef7e37900</vt:lpwstr>
  </property>
  <property fmtid="{D5CDD505-2E9C-101B-9397-08002B2CF9AE}" pid="12" name="TriggerFlowInfo">
    <vt:lpwstr/>
  </property>
  <property fmtid="{D5CDD505-2E9C-101B-9397-08002B2CF9AE}" pid="13" name="_dlc_DocIdUrl">
    <vt:lpwstr>https://qldhrc.sharepoint.com/sites/CorporateServices/_layouts/15/DocIdRedir.aspx?ID=MXEKDN6VVZUS-1035446974-39, MXEKDN6VVZUS-1035446974-39</vt:lpwstr>
  </property>
  <property fmtid="{D5CDD505-2E9C-101B-9397-08002B2CF9AE}" pid="14" name="xd_Signature">
    <vt:bool>false</vt:bool>
  </property>
  <property fmtid="{D5CDD505-2E9C-101B-9397-08002B2CF9AE}" pid="15" name="Topic">
    <vt:lpwstr>23;#Communication|65eed94a-19dd-4f6d-b0b7-775f465a526c</vt:lpwstr>
  </property>
  <property fmtid="{D5CDD505-2E9C-101B-9397-08002B2CF9AE}" pid="16" name="BusinessArea">
    <vt:lpwstr>19;#Performance ＆ People|b35e691a-f004-44d8-9f7f-495e0f2916b4</vt:lpwstr>
  </property>
  <property fmtid="{D5CDD505-2E9C-101B-9397-08002B2CF9AE}" pid="17" name="Order">
    <vt:r8>3700</vt:r8>
  </property>
  <property fmtid="{D5CDD505-2E9C-101B-9397-08002B2CF9AE}" pid="18" name="o8a2670e2ee54e7ba26c3956e9c24a96">
    <vt:lpwstr>Performance ＆ People|b35e691a-f004-44d8-9f7f-495e0f2916b4</vt:lpwstr>
  </property>
  <property fmtid="{D5CDD505-2E9C-101B-9397-08002B2CF9AE}" pid="19" name="i9eb08ac34eb4f289356b6dc0053c513">
    <vt:lpwstr>Communication|65eed94a-19dd-4f6d-b0b7-775f465a526c</vt:lpwstr>
  </property>
  <property fmtid="{D5CDD505-2E9C-101B-9397-08002B2CF9AE}" pid="20" name="Owner">
    <vt:lpwstr>43;#Anh Bui</vt:lpwstr>
  </property>
  <property fmtid="{D5CDD505-2E9C-101B-9397-08002B2CF9AE}" pid="21" name="SME">
    <vt:lpwstr>10;#Kat Sekar</vt:lpwstr>
  </property>
  <property fmtid="{D5CDD505-2E9C-101B-9397-08002B2CF9AE}" pid="22" name="oa9fbd0508de436da13dc19a72853b3f">
    <vt:lpwstr>Template|aaf00d10-84d3-4180-ba8b-d16ef7e37900</vt:lpwstr>
  </property>
</Properties>
</file>