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770" w:rsidRPr="00321294" w:rsidRDefault="00690EEE" w:rsidP="00690EEE">
      <w:pPr>
        <w:jc w:val="center"/>
        <w:rPr>
          <w:rFonts w:ascii="Arial" w:hAnsi="Arial" w:cs="Arial"/>
          <w:b/>
          <w:sz w:val="24"/>
          <w:szCs w:val="24"/>
        </w:rPr>
      </w:pPr>
      <w:bookmarkStart w:id="0" w:name="_GoBack"/>
      <w:bookmarkEnd w:id="0"/>
      <w:r w:rsidRPr="00321294">
        <w:rPr>
          <w:rFonts w:ascii="Arial" w:hAnsi="Arial" w:cs="Arial"/>
          <w:b/>
          <w:sz w:val="24"/>
          <w:szCs w:val="24"/>
        </w:rPr>
        <w:t>QUEENSLAND</w:t>
      </w:r>
      <w:r w:rsidR="009A65CA">
        <w:rPr>
          <w:rFonts w:ascii="Arial" w:hAnsi="Arial" w:cs="Arial"/>
          <w:b/>
          <w:sz w:val="24"/>
          <w:szCs w:val="24"/>
        </w:rPr>
        <w:t xml:space="preserve"> INDUSTRIAL RELATIONS COMMISSION</w:t>
      </w:r>
    </w:p>
    <w:p w:rsidR="00690EEE" w:rsidRPr="00321294" w:rsidRDefault="00690EEE" w:rsidP="00690EEE">
      <w:pPr>
        <w:jc w:val="center"/>
        <w:rPr>
          <w:rFonts w:ascii="Arial" w:hAnsi="Arial" w:cs="Arial"/>
          <w:sz w:val="24"/>
          <w:szCs w:val="24"/>
        </w:rPr>
      </w:pPr>
      <w:r w:rsidRPr="00321294">
        <w:rPr>
          <w:rFonts w:ascii="Arial" w:hAnsi="Arial" w:cs="Arial"/>
          <w:sz w:val="24"/>
          <w:szCs w:val="24"/>
        </w:rPr>
        <w:tab/>
      </w:r>
      <w:r w:rsidRPr="00321294">
        <w:rPr>
          <w:rFonts w:ascii="Arial" w:hAnsi="Arial" w:cs="Arial"/>
          <w:sz w:val="24"/>
          <w:szCs w:val="24"/>
        </w:rPr>
        <w:tab/>
      </w:r>
      <w:r w:rsidRPr="00321294">
        <w:rPr>
          <w:rFonts w:ascii="Arial" w:hAnsi="Arial" w:cs="Arial"/>
          <w:sz w:val="24"/>
          <w:szCs w:val="24"/>
        </w:rPr>
        <w:tab/>
      </w:r>
      <w:r w:rsidRPr="00321294">
        <w:rPr>
          <w:rFonts w:ascii="Arial" w:hAnsi="Arial" w:cs="Arial"/>
          <w:sz w:val="24"/>
          <w:szCs w:val="24"/>
        </w:rPr>
        <w:tab/>
      </w:r>
      <w:r w:rsidRPr="00321294">
        <w:rPr>
          <w:rFonts w:ascii="Arial" w:hAnsi="Arial" w:cs="Arial"/>
          <w:sz w:val="24"/>
          <w:szCs w:val="24"/>
        </w:rPr>
        <w:tab/>
      </w:r>
      <w:r w:rsidRPr="00321294">
        <w:rPr>
          <w:rFonts w:ascii="Arial" w:hAnsi="Arial" w:cs="Arial"/>
          <w:sz w:val="24"/>
          <w:szCs w:val="24"/>
        </w:rPr>
        <w:tab/>
      </w:r>
      <w:r w:rsidRPr="00321294">
        <w:rPr>
          <w:rFonts w:ascii="Arial" w:hAnsi="Arial" w:cs="Arial"/>
          <w:sz w:val="24"/>
          <w:szCs w:val="24"/>
        </w:rPr>
        <w:tab/>
      </w:r>
    </w:p>
    <w:p w:rsidR="00690EEE" w:rsidRPr="00321294" w:rsidRDefault="00690EEE" w:rsidP="00690EEE">
      <w:pPr>
        <w:jc w:val="center"/>
        <w:rPr>
          <w:rFonts w:ascii="Arial" w:hAnsi="Arial" w:cs="Arial"/>
          <w:sz w:val="24"/>
          <w:szCs w:val="24"/>
        </w:rPr>
      </w:pPr>
      <w:r w:rsidRPr="00321294">
        <w:rPr>
          <w:rFonts w:ascii="Arial" w:hAnsi="Arial" w:cs="Arial"/>
          <w:sz w:val="24"/>
          <w:szCs w:val="24"/>
        </w:rPr>
        <w:tab/>
      </w:r>
      <w:r w:rsidRPr="00321294">
        <w:rPr>
          <w:rFonts w:ascii="Arial" w:hAnsi="Arial" w:cs="Arial"/>
          <w:sz w:val="24"/>
          <w:szCs w:val="24"/>
        </w:rPr>
        <w:tab/>
      </w:r>
      <w:r w:rsidRPr="00321294">
        <w:rPr>
          <w:rFonts w:ascii="Arial" w:hAnsi="Arial" w:cs="Arial"/>
          <w:sz w:val="24"/>
          <w:szCs w:val="24"/>
        </w:rPr>
        <w:tab/>
      </w:r>
      <w:r w:rsidR="009A65CA">
        <w:rPr>
          <w:rFonts w:ascii="Arial" w:hAnsi="Arial" w:cs="Arial"/>
          <w:sz w:val="24"/>
          <w:szCs w:val="24"/>
        </w:rPr>
        <w:t xml:space="preserve"> </w:t>
      </w:r>
      <w:r w:rsidR="00A95041">
        <w:rPr>
          <w:rFonts w:ascii="Arial" w:hAnsi="Arial" w:cs="Arial"/>
          <w:sz w:val="24"/>
          <w:szCs w:val="24"/>
        </w:rPr>
        <w:tab/>
      </w:r>
      <w:r w:rsidR="00A95041">
        <w:rPr>
          <w:rFonts w:ascii="Arial" w:hAnsi="Arial" w:cs="Arial"/>
          <w:sz w:val="24"/>
          <w:szCs w:val="24"/>
        </w:rPr>
        <w:tab/>
      </w:r>
      <w:r w:rsidR="00A95041">
        <w:rPr>
          <w:rFonts w:ascii="Arial" w:hAnsi="Arial" w:cs="Arial"/>
          <w:sz w:val="24"/>
          <w:szCs w:val="24"/>
        </w:rPr>
        <w:tab/>
        <w:t xml:space="preserve">           NUMBER: AD/2018/58</w:t>
      </w:r>
    </w:p>
    <w:tbl>
      <w:tblPr>
        <w:tblW w:w="0" w:type="auto"/>
        <w:tblLayout w:type="fixed"/>
        <w:tblLook w:val="0000" w:firstRow="0" w:lastRow="0" w:firstColumn="0" w:lastColumn="0" w:noHBand="0" w:noVBand="0"/>
      </w:tblPr>
      <w:tblGrid>
        <w:gridCol w:w="2430"/>
        <w:gridCol w:w="6042"/>
      </w:tblGrid>
      <w:tr w:rsidR="00424CA1" w:rsidRPr="00321294" w:rsidTr="00424CA1">
        <w:tc>
          <w:tcPr>
            <w:tcW w:w="2430" w:type="dxa"/>
          </w:tcPr>
          <w:p w:rsidR="00A95041" w:rsidRPr="00321294" w:rsidRDefault="009A65CA" w:rsidP="00424CA1">
            <w:pPr>
              <w:widowControl w:val="0"/>
              <w:tabs>
                <w:tab w:val="left" w:pos="119"/>
                <w:tab w:val="left" w:pos="2639"/>
                <w:tab w:val="center" w:pos="5519"/>
                <w:tab w:val="right" w:pos="10440"/>
                <w:tab w:val="left" w:pos="10680"/>
                <w:tab w:val="right" w:pos="10800"/>
              </w:tabs>
              <w:spacing w:after="120" w:line="240" w:lineRule="auto"/>
              <w:jc w:val="both"/>
              <w:rPr>
                <w:rFonts w:ascii="Arial" w:hAnsi="Arial" w:cs="Arial"/>
              </w:rPr>
            </w:pPr>
            <w:r>
              <w:rPr>
                <w:rFonts w:ascii="Arial" w:hAnsi="Arial" w:cs="Arial"/>
              </w:rPr>
              <w:t>Applicant</w:t>
            </w:r>
            <w:r w:rsidR="00424CA1" w:rsidRPr="00321294">
              <w:rPr>
                <w:rFonts w:ascii="Arial" w:hAnsi="Arial" w:cs="Arial"/>
              </w:rPr>
              <w:t>:</w:t>
            </w:r>
            <w:r w:rsidR="00A95041">
              <w:rPr>
                <w:rFonts w:ascii="Arial" w:hAnsi="Arial" w:cs="Arial"/>
              </w:rPr>
              <w:br/>
              <w:t>(Complainant)</w:t>
            </w:r>
          </w:p>
        </w:tc>
        <w:tc>
          <w:tcPr>
            <w:tcW w:w="6042" w:type="dxa"/>
          </w:tcPr>
          <w:p w:rsidR="00424CA1" w:rsidRPr="00321294" w:rsidRDefault="00A95041" w:rsidP="00424CA1">
            <w:pPr>
              <w:widowControl w:val="0"/>
              <w:tabs>
                <w:tab w:val="left" w:pos="119"/>
                <w:tab w:val="center" w:pos="4570"/>
                <w:tab w:val="right" w:pos="10440"/>
                <w:tab w:val="left" w:pos="10680"/>
                <w:tab w:val="right" w:pos="10800"/>
              </w:tabs>
              <w:spacing w:after="120" w:line="240" w:lineRule="auto"/>
              <w:jc w:val="both"/>
              <w:rPr>
                <w:rFonts w:ascii="Arial" w:hAnsi="Arial" w:cs="Arial"/>
                <w:b/>
              </w:rPr>
            </w:pPr>
            <w:r>
              <w:rPr>
                <w:rFonts w:ascii="Arial" w:hAnsi="Arial" w:cs="Arial"/>
                <w:b/>
              </w:rPr>
              <w:t>MICHAEL CAMPBELL</w:t>
            </w:r>
          </w:p>
        </w:tc>
      </w:tr>
      <w:tr w:rsidR="00424CA1" w:rsidRPr="00321294" w:rsidTr="00424CA1">
        <w:tc>
          <w:tcPr>
            <w:tcW w:w="2430" w:type="dxa"/>
          </w:tcPr>
          <w:p w:rsidR="00424CA1" w:rsidRPr="00321294" w:rsidRDefault="00424CA1" w:rsidP="00424CA1">
            <w:pPr>
              <w:widowControl w:val="0"/>
              <w:tabs>
                <w:tab w:val="left" w:pos="119"/>
                <w:tab w:val="left" w:pos="2639"/>
                <w:tab w:val="center" w:pos="5519"/>
                <w:tab w:val="right" w:pos="10440"/>
                <w:tab w:val="left" w:pos="10680"/>
                <w:tab w:val="right" w:pos="10800"/>
              </w:tabs>
              <w:spacing w:after="120" w:line="240" w:lineRule="auto"/>
              <w:jc w:val="both"/>
              <w:rPr>
                <w:rFonts w:ascii="Arial" w:hAnsi="Arial" w:cs="Arial"/>
              </w:rPr>
            </w:pPr>
          </w:p>
        </w:tc>
        <w:tc>
          <w:tcPr>
            <w:tcW w:w="6042" w:type="dxa"/>
          </w:tcPr>
          <w:p w:rsidR="00424CA1" w:rsidRPr="00321294" w:rsidRDefault="00424CA1" w:rsidP="00424CA1">
            <w:pPr>
              <w:widowControl w:val="0"/>
              <w:tabs>
                <w:tab w:val="left" w:pos="119"/>
                <w:tab w:val="left" w:pos="2639"/>
                <w:tab w:val="center" w:pos="4570"/>
                <w:tab w:val="right" w:pos="10440"/>
                <w:tab w:val="left" w:pos="10680"/>
                <w:tab w:val="right" w:pos="10800"/>
              </w:tabs>
              <w:spacing w:after="120" w:line="240" w:lineRule="auto"/>
              <w:jc w:val="both"/>
              <w:rPr>
                <w:rFonts w:ascii="Arial" w:hAnsi="Arial" w:cs="Arial"/>
              </w:rPr>
            </w:pPr>
            <w:r w:rsidRPr="00321294">
              <w:rPr>
                <w:rFonts w:ascii="Arial" w:hAnsi="Arial" w:cs="Arial"/>
              </w:rPr>
              <w:tab/>
              <w:t>AND</w:t>
            </w:r>
          </w:p>
        </w:tc>
      </w:tr>
      <w:tr w:rsidR="00424CA1" w:rsidRPr="00321294" w:rsidTr="00424CA1">
        <w:tc>
          <w:tcPr>
            <w:tcW w:w="2430" w:type="dxa"/>
          </w:tcPr>
          <w:p w:rsidR="00424CA1" w:rsidRPr="00321294" w:rsidRDefault="00424CA1" w:rsidP="00424CA1">
            <w:pPr>
              <w:widowControl w:val="0"/>
              <w:tabs>
                <w:tab w:val="left" w:pos="119"/>
                <w:tab w:val="left" w:pos="2639"/>
                <w:tab w:val="center" w:pos="5519"/>
                <w:tab w:val="right" w:pos="10440"/>
                <w:tab w:val="left" w:pos="10680"/>
                <w:tab w:val="right" w:pos="10800"/>
              </w:tabs>
              <w:spacing w:after="120" w:line="240" w:lineRule="auto"/>
              <w:jc w:val="both"/>
              <w:rPr>
                <w:rFonts w:ascii="Arial" w:hAnsi="Arial" w:cs="Arial"/>
              </w:rPr>
            </w:pPr>
            <w:r w:rsidRPr="00321294">
              <w:rPr>
                <w:rFonts w:ascii="Arial" w:hAnsi="Arial" w:cs="Arial"/>
              </w:rPr>
              <w:t>Respondent</w:t>
            </w:r>
            <w:r w:rsidR="00A95041">
              <w:rPr>
                <w:rFonts w:ascii="Arial" w:hAnsi="Arial" w:cs="Arial"/>
              </w:rPr>
              <w:t>s</w:t>
            </w:r>
            <w:r w:rsidRPr="00321294">
              <w:rPr>
                <w:rFonts w:ascii="Arial" w:hAnsi="Arial" w:cs="Arial"/>
              </w:rPr>
              <w:t>:</w:t>
            </w:r>
          </w:p>
        </w:tc>
        <w:tc>
          <w:tcPr>
            <w:tcW w:w="6042" w:type="dxa"/>
          </w:tcPr>
          <w:p w:rsidR="00424CA1" w:rsidRPr="00321294" w:rsidRDefault="00A95041" w:rsidP="00424CA1">
            <w:pPr>
              <w:spacing w:after="120" w:line="240" w:lineRule="auto"/>
              <w:rPr>
                <w:rFonts w:ascii="Arial" w:hAnsi="Arial" w:cs="Arial"/>
                <w:b/>
                <w:u w:val="single"/>
              </w:rPr>
            </w:pPr>
            <w:r>
              <w:rPr>
                <w:rFonts w:ascii="Arial" w:hAnsi="Arial" w:cs="Arial"/>
                <w:b/>
              </w:rPr>
              <w:t>JUSTICE HENWOOD</w:t>
            </w:r>
            <w:r>
              <w:rPr>
                <w:rFonts w:ascii="Arial" w:hAnsi="Arial" w:cs="Arial"/>
                <w:b/>
              </w:rPr>
              <w:br/>
            </w:r>
            <w:r w:rsidRPr="00A95041">
              <w:rPr>
                <w:rFonts w:ascii="Arial" w:hAnsi="Arial" w:cs="Arial"/>
              </w:rPr>
              <w:t>and</w:t>
            </w:r>
            <w:r>
              <w:rPr>
                <w:rFonts w:ascii="Arial" w:hAnsi="Arial" w:cs="Arial"/>
                <w:b/>
              </w:rPr>
              <w:br/>
              <w:t>RACING QUEENSLAND BOARD</w:t>
            </w:r>
            <w:r w:rsidR="00424CA1" w:rsidRPr="00321294">
              <w:rPr>
                <w:rFonts w:ascii="Arial" w:hAnsi="Arial" w:cs="Arial"/>
                <w:b/>
                <w:u w:val="single"/>
              </w:rPr>
              <w:t xml:space="preserve"> </w:t>
            </w:r>
          </w:p>
        </w:tc>
      </w:tr>
      <w:tr w:rsidR="00A95041" w:rsidRPr="00321294" w:rsidTr="00424CA1">
        <w:tc>
          <w:tcPr>
            <w:tcW w:w="2430" w:type="dxa"/>
          </w:tcPr>
          <w:p w:rsidR="00A95041" w:rsidRPr="00321294" w:rsidRDefault="00A95041" w:rsidP="00424CA1">
            <w:pPr>
              <w:widowControl w:val="0"/>
              <w:tabs>
                <w:tab w:val="left" w:pos="119"/>
                <w:tab w:val="left" w:pos="2639"/>
                <w:tab w:val="center" w:pos="5519"/>
                <w:tab w:val="right" w:pos="10440"/>
                <w:tab w:val="left" w:pos="10680"/>
                <w:tab w:val="right" w:pos="10800"/>
              </w:tabs>
              <w:spacing w:after="120" w:line="240" w:lineRule="auto"/>
              <w:jc w:val="both"/>
              <w:rPr>
                <w:rFonts w:ascii="Arial" w:hAnsi="Arial" w:cs="Arial"/>
              </w:rPr>
            </w:pPr>
          </w:p>
        </w:tc>
        <w:tc>
          <w:tcPr>
            <w:tcW w:w="6042" w:type="dxa"/>
          </w:tcPr>
          <w:p w:rsidR="00A95041" w:rsidRPr="00A95041" w:rsidRDefault="00A95041" w:rsidP="00424CA1">
            <w:pPr>
              <w:spacing w:after="120" w:line="240" w:lineRule="auto"/>
              <w:rPr>
                <w:rFonts w:ascii="Arial" w:hAnsi="Arial" w:cs="Arial"/>
              </w:rPr>
            </w:pPr>
            <w:r w:rsidRPr="00A95041">
              <w:rPr>
                <w:rFonts w:ascii="Arial" w:hAnsi="Arial" w:cs="Arial"/>
              </w:rPr>
              <w:t>AND</w:t>
            </w:r>
          </w:p>
        </w:tc>
      </w:tr>
      <w:tr w:rsidR="00A95041" w:rsidRPr="00321294" w:rsidTr="00424CA1">
        <w:tc>
          <w:tcPr>
            <w:tcW w:w="2430" w:type="dxa"/>
          </w:tcPr>
          <w:p w:rsidR="00A95041" w:rsidRPr="00321294" w:rsidRDefault="00186095" w:rsidP="00424CA1">
            <w:pPr>
              <w:widowControl w:val="0"/>
              <w:tabs>
                <w:tab w:val="left" w:pos="119"/>
                <w:tab w:val="left" w:pos="2639"/>
                <w:tab w:val="center" w:pos="5519"/>
                <w:tab w:val="right" w:pos="10440"/>
                <w:tab w:val="left" w:pos="10680"/>
                <w:tab w:val="right" w:pos="10800"/>
              </w:tabs>
              <w:spacing w:after="120" w:line="240" w:lineRule="auto"/>
              <w:jc w:val="both"/>
              <w:rPr>
                <w:rFonts w:ascii="Arial" w:hAnsi="Arial" w:cs="Arial"/>
              </w:rPr>
            </w:pPr>
            <w:r>
              <w:rPr>
                <w:rFonts w:ascii="Arial" w:hAnsi="Arial" w:cs="Arial"/>
              </w:rPr>
              <w:t>Intervene</w:t>
            </w:r>
            <w:r w:rsidR="00A95041">
              <w:rPr>
                <w:rFonts w:ascii="Arial" w:hAnsi="Arial" w:cs="Arial"/>
              </w:rPr>
              <w:t>r:</w:t>
            </w:r>
          </w:p>
        </w:tc>
        <w:tc>
          <w:tcPr>
            <w:tcW w:w="6042" w:type="dxa"/>
          </w:tcPr>
          <w:p w:rsidR="00A95041" w:rsidRPr="00321294" w:rsidRDefault="00A95041" w:rsidP="00424CA1">
            <w:pPr>
              <w:spacing w:after="120" w:line="240" w:lineRule="auto"/>
              <w:rPr>
                <w:rFonts w:ascii="Arial" w:hAnsi="Arial" w:cs="Arial"/>
                <w:b/>
              </w:rPr>
            </w:pPr>
            <w:r>
              <w:rPr>
                <w:rFonts w:ascii="Arial" w:hAnsi="Arial" w:cs="Arial"/>
                <w:b/>
              </w:rPr>
              <w:t>ANTI-DISCRIMINATION COMMISSION QUEENSLAN</w:t>
            </w:r>
          </w:p>
        </w:tc>
      </w:tr>
    </w:tbl>
    <w:p w:rsidR="00A95041" w:rsidRDefault="00A95041" w:rsidP="009A65CA">
      <w:pPr>
        <w:spacing w:before="480" w:after="0" w:line="360" w:lineRule="auto"/>
        <w:jc w:val="center"/>
        <w:rPr>
          <w:rFonts w:ascii="Arial" w:hAnsi="Arial" w:cs="Arial"/>
          <w:b/>
          <w:sz w:val="24"/>
          <w:szCs w:val="24"/>
        </w:rPr>
      </w:pPr>
      <w:r>
        <w:rPr>
          <w:rFonts w:ascii="Arial" w:hAnsi="Arial" w:cs="Arial"/>
          <w:b/>
          <w:sz w:val="24"/>
          <w:szCs w:val="24"/>
        </w:rPr>
        <w:t>ANNEXURE</w:t>
      </w:r>
    </w:p>
    <w:p w:rsidR="00690EEE" w:rsidRPr="00321294" w:rsidRDefault="00690EEE" w:rsidP="00A95041">
      <w:pPr>
        <w:spacing w:before="240" w:after="0" w:line="360" w:lineRule="auto"/>
        <w:jc w:val="center"/>
        <w:rPr>
          <w:rFonts w:ascii="Arial" w:hAnsi="Arial" w:cs="Arial"/>
          <w:b/>
          <w:sz w:val="24"/>
          <w:szCs w:val="24"/>
        </w:rPr>
      </w:pPr>
      <w:r w:rsidRPr="00321294">
        <w:rPr>
          <w:rFonts w:ascii="Arial" w:hAnsi="Arial" w:cs="Arial"/>
          <w:b/>
          <w:sz w:val="24"/>
          <w:szCs w:val="24"/>
        </w:rPr>
        <w:t>SUBMISSIONS</w:t>
      </w:r>
      <w:r w:rsidR="00B40828">
        <w:rPr>
          <w:rFonts w:ascii="Arial" w:hAnsi="Arial" w:cs="Arial"/>
          <w:b/>
          <w:sz w:val="24"/>
          <w:szCs w:val="24"/>
        </w:rPr>
        <w:t xml:space="preserve"> OF THE </w:t>
      </w:r>
      <w:r w:rsidR="00A95041">
        <w:rPr>
          <w:rFonts w:ascii="Arial" w:hAnsi="Arial" w:cs="Arial"/>
          <w:b/>
          <w:sz w:val="24"/>
          <w:szCs w:val="24"/>
        </w:rPr>
        <w:t>ANTI-DISCRIMINATION COMMISSION QUEENSLAND</w:t>
      </w:r>
    </w:p>
    <w:p w:rsidR="00186095" w:rsidRDefault="00186095" w:rsidP="00186095">
      <w:pPr>
        <w:pStyle w:val="ListParagraph"/>
        <w:numPr>
          <w:ilvl w:val="0"/>
          <w:numId w:val="1"/>
        </w:numPr>
        <w:spacing w:before="120" w:after="0" w:line="360" w:lineRule="auto"/>
        <w:ind w:left="562" w:hanging="562"/>
        <w:contextualSpacing w:val="0"/>
        <w:rPr>
          <w:rFonts w:ascii="Arial" w:hAnsi="Arial" w:cs="Arial"/>
          <w:sz w:val="24"/>
          <w:szCs w:val="24"/>
        </w:rPr>
      </w:pPr>
      <w:r>
        <w:rPr>
          <w:rFonts w:ascii="Arial" w:hAnsi="Arial" w:cs="Arial"/>
          <w:sz w:val="24"/>
          <w:szCs w:val="24"/>
        </w:rPr>
        <w:t xml:space="preserve">The </w:t>
      </w:r>
      <w:r w:rsidRPr="00186095">
        <w:rPr>
          <w:rFonts w:ascii="Arial" w:hAnsi="Arial" w:cs="Arial"/>
          <w:i/>
          <w:sz w:val="24"/>
          <w:szCs w:val="24"/>
        </w:rPr>
        <w:t>Anti-Discrimination Act 1991</w:t>
      </w:r>
      <w:r>
        <w:rPr>
          <w:rFonts w:ascii="Arial" w:hAnsi="Arial" w:cs="Arial"/>
          <w:sz w:val="24"/>
          <w:szCs w:val="24"/>
        </w:rPr>
        <w:t xml:space="preserve"> (the Act) provides a mechanism for dealing with complaints of unlawful discrimination, sexual harassment, other unlawful behaviour, and reprisal associated with a public interest disclosure.  Complaints that are unresolved through conciliation may be referred to a tribunal for hearing and determination.  For work-related complaints the tribunal is the Queensland Industrial Relations Commission, and for all other complaints the tribunal is the Queensland Civil and Administrative Tribunal.</w:t>
      </w:r>
    </w:p>
    <w:p w:rsidR="00186095" w:rsidRPr="00186095" w:rsidRDefault="00186095" w:rsidP="00186095">
      <w:pPr>
        <w:pStyle w:val="ListParagraph"/>
        <w:numPr>
          <w:ilvl w:val="0"/>
          <w:numId w:val="1"/>
        </w:numPr>
        <w:spacing w:before="120" w:after="0" w:line="360" w:lineRule="auto"/>
        <w:ind w:left="562" w:hanging="562"/>
        <w:contextualSpacing w:val="0"/>
        <w:rPr>
          <w:rFonts w:ascii="Arial" w:hAnsi="Arial" w:cs="Arial"/>
          <w:sz w:val="24"/>
          <w:szCs w:val="24"/>
        </w:rPr>
      </w:pPr>
      <w:r>
        <w:rPr>
          <w:rFonts w:ascii="Arial" w:hAnsi="Arial" w:cs="Arial"/>
          <w:sz w:val="24"/>
          <w:szCs w:val="24"/>
        </w:rPr>
        <w:t>In these submissions the Anti-Discrimination Commission Queensland is referred to as the Commission, and the Queensland Industrial Relations Commission is referred to as the tribunal.</w:t>
      </w:r>
    </w:p>
    <w:p w:rsidR="00A643A3" w:rsidRDefault="00A643A3" w:rsidP="006E11CF">
      <w:pPr>
        <w:spacing w:before="240" w:after="0" w:line="360" w:lineRule="auto"/>
        <w:jc w:val="both"/>
        <w:rPr>
          <w:rFonts w:ascii="Arial" w:hAnsi="Arial" w:cs="Arial"/>
          <w:b/>
          <w:sz w:val="24"/>
          <w:szCs w:val="24"/>
        </w:rPr>
      </w:pPr>
      <w:r>
        <w:rPr>
          <w:rFonts w:ascii="Arial" w:hAnsi="Arial" w:cs="Arial"/>
          <w:b/>
          <w:sz w:val="24"/>
          <w:szCs w:val="24"/>
        </w:rPr>
        <w:t>Background</w:t>
      </w:r>
    </w:p>
    <w:p w:rsidR="0072298B" w:rsidRDefault="0072298B" w:rsidP="009150E1">
      <w:pPr>
        <w:pStyle w:val="ListParagraph"/>
        <w:numPr>
          <w:ilvl w:val="0"/>
          <w:numId w:val="1"/>
        </w:numPr>
        <w:spacing w:before="120" w:after="0" w:line="360" w:lineRule="auto"/>
        <w:ind w:left="562" w:hanging="562"/>
        <w:contextualSpacing w:val="0"/>
        <w:rPr>
          <w:rFonts w:ascii="Arial" w:hAnsi="Arial" w:cs="Arial"/>
          <w:sz w:val="24"/>
          <w:szCs w:val="24"/>
        </w:rPr>
      </w:pPr>
      <w:r w:rsidRPr="0072298B">
        <w:rPr>
          <w:rFonts w:ascii="Arial" w:hAnsi="Arial" w:cs="Arial"/>
          <w:sz w:val="24"/>
          <w:szCs w:val="24"/>
        </w:rPr>
        <w:t xml:space="preserve">The </w:t>
      </w:r>
      <w:r>
        <w:rPr>
          <w:rFonts w:ascii="Arial" w:hAnsi="Arial" w:cs="Arial"/>
          <w:sz w:val="24"/>
          <w:szCs w:val="24"/>
        </w:rPr>
        <w:t>Applicant</w:t>
      </w:r>
      <w:r w:rsidR="0002598F">
        <w:rPr>
          <w:rFonts w:ascii="Arial" w:hAnsi="Arial" w:cs="Arial"/>
          <w:sz w:val="24"/>
          <w:szCs w:val="24"/>
        </w:rPr>
        <w:t>/Complainant</w:t>
      </w:r>
      <w:r>
        <w:rPr>
          <w:rFonts w:ascii="Arial" w:hAnsi="Arial" w:cs="Arial"/>
          <w:sz w:val="24"/>
          <w:szCs w:val="24"/>
        </w:rPr>
        <w:t xml:space="preserve"> lodged a complaint wit</w:t>
      </w:r>
      <w:r w:rsidR="0002598F">
        <w:rPr>
          <w:rFonts w:ascii="Arial" w:hAnsi="Arial" w:cs="Arial"/>
          <w:sz w:val="24"/>
          <w:szCs w:val="24"/>
        </w:rPr>
        <w:t>h the Commission on 23 January</w:t>
      </w:r>
      <w:r>
        <w:rPr>
          <w:rFonts w:ascii="Arial" w:hAnsi="Arial" w:cs="Arial"/>
          <w:sz w:val="24"/>
          <w:szCs w:val="24"/>
        </w:rPr>
        <w:t xml:space="preserve"> 2018.  </w:t>
      </w:r>
      <w:r w:rsidR="0002598F">
        <w:rPr>
          <w:rFonts w:ascii="Arial" w:hAnsi="Arial" w:cs="Arial"/>
          <w:sz w:val="24"/>
          <w:szCs w:val="24"/>
        </w:rPr>
        <w:t>The complaint material included a copy of a Deed of Release dated 8 March 2017 between the complainant and Racing Queensland Board (the Deed).  The Deed included provisions to the effect that its terms were in full settlement of all claims and that it may be pleaded as a bar to proceedings.</w:t>
      </w:r>
    </w:p>
    <w:p w:rsidR="0072298B" w:rsidRDefault="0002598F" w:rsidP="00A116F2">
      <w:pPr>
        <w:pStyle w:val="ListParagraph"/>
        <w:numPr>
          <w:ilvl w:val="0"/>
          <w:numId w:val="1"/>
        </w:numPr>
        <w:spacing w:before="120" w:after="0" w:line="360" w:lineRule="auto"/>
        <w:ind w:left="561" w:hanging="561"/>
        <w:contextualSpacing w:val="0"/>
        <w:rPr>
          <w:rFonts w:ascii="Arial" w:hAnsi="Arial" w:cs="Arial"/>
          <w:sz w:val="24"/>
          <w:szCs w:val="24"/>
        </w:rPr>
      </w:pPr>
      <w:r>
        <w:rPr>
          <w:rFonts w:ascii="Arial" w:hAnsi="Arial" w:cs="Arial"/>
          <w:sz w:val="24"/>
          <w:szCs w:val="24"/>
        </w:rPr>
        <w:lastRenderedPageBreak/>
        <w:t>The Act enables the Commissioner to accept a complaint notwithstanding a prior agreement not to complain, if the Commissioner considers it is fair to do so.  Section 137 of the Act provides:</w:t>
      </w:r>
    </w:p>
    <w:p w:rsidR="008266E2" w:rsidRPr="00F56273" w:rsidRDefault="008266E2" w:rsidP="00A116F2">
      <w:pPr>
        <w:spacing w:before="120" w:after="0" w:line="240" w:lineRule="auto"/>
        <w:ind w:left="2375" w:right="1230" w:hanging="1298"/>
        <w:rPr>
          <w:rFonts w:ascii="Arial" w:hAnsi="Arial" w:cs="Arial"/>
          <w:b/>
          <w:bCs/>
        </w:rPr>
      </w:pPr>
      <w:r>
        <w:rPr>
          <w:rFonts w:ascii="Arial" w:hAnsi="Arial" w:cs="Arial"/>
          <w:b/>
          <w:bCs/>
        </w:rPr>
        <w:t>137</w:t>
      </w:r>
      <w:r w:rsidRPr="00F56273">
        <w:rPr>
          <w:rFonts w:ascii="Arial" w:hAnsi="Arial" w:cs="Arial"/>
          <w:b/>
          <w:bCs/>
        </w:rPr>
        <w:t xml:space="preserve"> </w:t>
      </w:r>
      <w:r>
        <w:rPr>
          <w:rFonts w:ascii="Arial" w:hAnsi="Arial" w:cs="Arial"/>
          <w:b/>
          <w:bCs/>
        </w:rPr>
        <w:t xml:space="preserve">  </w:t>
      </w:r>
      <w:r>
        <w:rPr>
          <w:rFonts w:ascii="Arial" w:hAnsi="Arial" w:cs="Arial"/>
          <w:b/>
        </w:rPr>
        <w:t>Unfair agreements not to complain are not binding</w:t>
      </w:r>
    </w:p>
    <w:p w:rsidR="008266E2" w:rsidRPr="00F56273" w:rsidRDefault="008266E2" w:rsidP="008266E2">
      <w:pPr>
        <w:pStyle w:val="ListParagraph"/>
        <w:numPr>
          <w:ilvl w:val="1"/>
          <w:numId w:val="1"/>
        </w:numPr>
        <w:spacing w:before="120" w:after="0" w:line="240" w:lineRule="auto"/>
        <w:ind w:left="2127" w:right="1230" w:hanging="426"/>
        <w:contextualSpacing w:val="0"/>
        <w:jc w:val="both"/>
        <w:rPr>
          <w:rFonts w:ascii="Arial" w:hAnsi="Arial" w:cs="Arial"/>
        </w:rPr>
      </w:pPr>
      <w:r>
        <w:rPr>
          <w:rFonts w:ascii="Arial" w:hAnsi="Arial" w:cs="Arial"/>
        </w:rPr>
        <w:t>The commissioner may accept a complaint from a person who had previously agreed with another person not to complain, if the commissioner is of the reasonable opinion that it is fair to accept the complaint</w:t>
      </w:r>
      <w:r w:rsidRPr="00F56273">
        <w:rPr>
          <w:rFonts w:ascii="Arial" w:hAnsi="Arial" w:cs="Arial"/>
        </w:rPr>
        <w:t>.</w:t>
      </w:r>
    </w:p>
    <w:p w:rsidR="008266E2" w:rsidRDefault="008266E2" w:rsidP="008266E2">
      <w:pPr>
        <w:pStyle w:val="ListParagraph"/>
        <w:numPr>
          <w:ilvl w:val="1"/>
          <w:numId w:val="1"/>
        </w:numPr>
        <w:spacing w:before="120" w:after="0" w:line="240" w:lineRule="auto"/>
        <w:ind w:left="2127" w:right="1230" w:hanging="426"/>
        <w:contextualSpacing w:val="0"/>
        <w:jc w:val="both"/>
        <w:rPr>
          <w:rFonts w:ascii="Arial" w:hAnsi="Arial" w:cs="Arial"/>
        </w:rPr>
      </w:pPr>
      <w:r>
        <w:rPr>
          <w:rFonts w:ascii="Arial" w:hAnsi="Arial" w:cs="Arial"/>
        </w:rPr>
        <w:t>In assessing whether it is fair to accept the complaint, the commissioner is to consider all the relevant circumstances of the case including—</w:t>
      </w:r>
    </w:p>
    <w:p w:rsidR="008266E2" w:rsidRDefault="008266E2" w:rsidP="008266E2">
      <w:pPr>
        <w:pStyle w:val="ListParagraph"/>
        <w:numPr>
          <w:ilvl w:val="0"/>
          <w:numId w:val="15"/>
        </w:numPr>
        <w:spacing w:before="120" w:after="0" w:line="240" w:lineRule="auto"/>
        <w:ind w:left="2694" w:right="566" w:hanging="567"/>
        <w:contextualSpacing w:val="0"/>
        <w:jc w:val="both"/>
        <w:rPr>
          <w:rFonts w:ascii="Arial" w:hAnsi="Arial" w:cs="Arial"/>
        </w:rPr>
      </w:pPr>
      <w:r>
        <w:rPr>
          <w:rFonts w:ascii="Arial" w:hAnsi="Arial" w:cs="Arial"/>
        </w:rPr>
        <w:t>the knowledge of the parties who made the agreement; and</w:t>
      </w:r>
    </w:p>
    <w:p w:rsidR="008266E2" w:rsidRPr="00F56273" w:rsidRDefault="008266E2" w:rsidP="008266E2">
      <w:pPr>
        <w:pStyle w:val="ListParagraph"/>
        <w:numPr>
          <w:ilvl w:val="0"/>
          <w:numId w:val="15"/>
        </w:numPr>
        <w:spacing w:before="120" w:after="0" w:line="240" w:lineRule="auto"/>
        <w:ind w:left="2694" w:right="566" w:hanging="567"/>
        <w:contextualSpacing w:val="0"/>
        <w:jc w:val="both"/>
        <w:rPr>
          <w:rFonts w:ascii="Arial" w:hAnsi="Arial" w:cs="Arial"/>
        </w:rPr>
      </w:pPr>
      <w:r>
        <w:rPr>
          <w:rFonts w:ascii="Arial" w:hAnsi="Arial" w:cs="Arial"/>
        </w:rPr>
        <w:t>what the person who wishes to complain received in return for the agreement.</w:t>
      </w:r>
    </w:p>
    <w:p w:rsidR="009150E1" w:rsidRDefault="008266E2" w:rsidP="008266E2">
      <w:pPr>
        <w:pStyle w:val="ListParagraph"/>
        <w:numPr>
          <w:ilvl w:val="0"/>
          <w:numId w:val="1"/>
        </w:numPr>
        <w:spacing w:before="240" w:after="0" w:line="360" w:lineRule="auto"/>
        <w:ind w:left="714" w:hanging="357"/>
        <w:contextualSpacing w:val="0"/>
        <w:rPr>
          <w:rFonts w:ascii="Arial" w:hAnsi="Arial" w:cs="Arial"/>
          <w:sz w:val="24"/>
          <w:szCs w:val="24"/>
        </w:rPr>
      </w:pPr>
      <w:r>
        <w:rPr>
          <w:rFonts w:ascii="Arial" w:hAnsi="Arial" w:cs="Arial"/>
          <w:sz w:val="24"/>
          <w:szCs w:val="24"/>
        </w:rPr>
        <w:t>On 8 May 2018, a delegate of the Commissioner acting under section 137 of the Act, decided that it was fair to accept the complaint, and the complaint was accepted</w:t>
      </w:r>
      <w:r w:rsidR="009150E1">
        <w:rPr>
          <w:rFonts w:ascii="Arial" w:hAnsi="Arial" w:cs="Arial"/>
          <w:sz w:val="24"/>
          <w:szCs w:val="24"/>
        </w:rPr>
        <w:t>.</w:t>
      </w:r>
    </w:p>
    <w:p w:rsidR="008266E2" w:rsidRDefault="008266E2" w:rsidP="008266E2">
      <w:pPr>
        <w:pStyle w:val="ListParagraph"/>
        <w:numPr>
          <w:ilvl w:val="0"/>
          <w:numId w:val="1"/>
        </w:numPr>
        <w:spacing w:before="240" w:after="0" w:line="360" w:lineRule="auto"/>
        <w:ind w:left="714" w:hanging="357"/>
        <w:contextualSpacing w:val="0"/>
        <w:rPr>
          <w:rFonts w:ascii="Arial" w:hAnsi="Arial" w:cs="Arial"/>
          <w:sz w:val="24"/>
          <w:szCs w:val="24"/>
        </w:rPr>
      </w:pPr>
      <w:r>
        <w:rPr>
          <w:rFonts w:ascii="Arial" w:hAnsi="Arial" w:cs="Arial"/>
          <w:sz w:val="24"/>
          <w:szCs w:val="24"/>
        </w:rPr>
        <w:t>The complaint was not resolved through conciliation and was referred to the tribunal</w:t>
      </w:r>
      <w:r w:rsidR="00771912">
        <w:rPr>
          <w:rFonts w:ascii="Arial" w:hAnsi="Arial" w:cs="Arial"/>
          <w:sz w:val="24"/>
          <w:szCs w:val="24"/>
        </w:rPr>
        <w:t xml:space="preserve"> pursuant to section 166 of the Act.  The referral includes a copy of the decision dated 8 May 2018 made under section 137 of the Act.</w:t>
      </w:r>
    </w:p>
    <w:p w:rsidR="00690EEE" w:rsidRPr="00321294" w:rsidRDefault="00771912" w:rsidP="00A4230F">
      <w:pPr>
        <w:keepNext/>
        <w:spacing w:before="240" w:after="0" w:line="360" w:lineRule="auto"/>
        <w:jc w:val="both"/>
        <w:rPr>
          <w:rFonts w:ascii="Arial" w:hAnsi="Arial" w:cs="Arial"/>
          <w:b/>
          <w:sz w:val="24"/>
          <w:szCs w:val="24"/>
        </w:rPr>
      </w:pPr>
      <w:r>
        <w:rPr>
          <w:rFonts w:ascii="Arial" w:hAnsi="Arial" w:cs="Arial"/>
          <w:b/>
          <w:sz w:val="24"/>
          <w:szCs w:val="24"/>
        </w:rPr>
        <w:t>Functions and powers of the tribunal</w:t>
      </w:r>
    </w:p>
    <w:p w:rsidR="00771912" w:rsidRDefault="00771912" w:rsidP="004D075E">
      <w:pPr>
        <w:pStyle w:val="ListParagraph"/>
        <w:numPr>
          <w:ilvl w:val="0"/>
          <w:numId w:val="1"/>
        </w:numPr>
        <w:spacing w:before="120" w:after="0" w:line="360" w:lineRule="auto"/>
        <w:ind w:left="567" w:hanging="567"/>
        <w:contextualSpacing w:val="0"/>
        <w:rPr>
          <w:rFonts w:ascii="Arial" w:hAnsi="Arial" w:cs="Arial"/>
          <w:sz w:val="24"/>
          <w:szCs w:val="24"/>
        </w:rPr>
      </w:pPr>
      <w:r>
        <w:rPr>
          <w:rFonts w:ascii="Arial" w:hAnsi="Arial" w:cs="Arial"/>
          <w:sz w:val="24"/>
          <w:szCs w:val="24"/>
        </w:rPr>
        <w:t xml:space="preserve">The </w:t>
      </w:r>
      <w:r w:rsidR="00087D39">
        <w:rPr>
          <w:rFonts w:ascii="Arial" w:hAnsi="Arial" w:cs="Arial"/>
          <w:sz w:val="24"/>
          <w:szCs w:val="24"/>
        </w:rPr>
        <w:t>jurisdiction</w:t>
      </w:r>
      <w:r>
        <w:rPr>
          <w:rFonts w:ascii="Arial" w:hAnsi="Arial" w:cs="Arial"/>
          <w:sz w:val="24"/>
          <w:szCs w:val="24"/>
        </w:rPr>
        <w:t xml:space="preserve"> of the tribunal </w:t>
      </w:r>
      <w:r w:rsidR="00087D39">
        <w:rPr>
          <w:rFonts w:ascii="Arial" w:hAnsi="Arial" w:cs="Arial"/>
          <w:sz w:val="24"/>
          <w:szCs w:val="24"/>
        </w:rPr>
        <w:t>is</w:t>
      </w:r>
      <w:r>
        <w:rPr>
          <w:rFonts w:ascii="Arial" w:hAnsi="Arial" w:cs="Arial"/>
          <w:sz w:val="24"/>
          <w:szCs w:val="24"/>
        </w:rPr>
        <w:t xml:space="preserve"> statutory.</w:t>
      </w:r>
    </w:p>
    <w:p w:rsidR="00D55F6C" w:rsidRDefault="00D55F6C" w:rsidP="004D075E">
      <w:pPr>
        <w:pStyle w:val="ListParagraph"/>
        <w:numPr>
          <w:ilvl w:val="0"/>
          <w:numId w:val="1"/>
        </w:numPr>
        <w:spacing w:before="120" w:after="0" w:line="360" w:lineRule="auto"/>
        <w:ind w:left="567" w:hanging="567"/>
        <w:contextualSpacing w:val="0"/>
        <w:rPr>
          <w:rFonts w:ascii="Arial" w:hAnsi="Arial" w:cs="Arial"/>
          <w:sz w:val="24"/>
          <w:szCs w:val="24"/>
        </w:rPr>
      </w:pPr>
      <w:r w:rsidRPr="00D55F6C">
        <w:rPr>
          <w:rFonts w:ascii="Arial" w:hAnsi="Arial" w:cs="Arial"/>
          <w:sz w:val="24"/>
          <w:szCs w:val="24"/>
        </w:rPr>
        <w:t>The words</w:t>
      </w:r>
      <w:r>
        <w:rPr>
          <w:rFonts w:ascii="Arial" w:hAnsi="Arial" w:cs="Arial"/>
          <w:sz w:val="24"/>
          <w:szCs w:val="24"/>
        </w:rPr>
        <w:t xml:space="preserve"> of a statute must be read in the context of the statute as a whole.  The process of statutory construction begins with examining the context of the provision that is being construed.</w:t>
      </w:r>
      <w:r>
        <w:rPr>
          <w:rStyle w:val="FootnoteReference"/>
          <w:rFonts w:ascii="Arial" w:hAnsi="Arial" w:cs="Arial"/>
          <w:sz w:val="24"/>
          <w:szCs w:val="24"/>
        </w:rPr>
        <w:footnoteReference w:id="1"/>
      </w:r>
      <w:r>
        <w:rPr>
          <w:rFonts w:ascii="Arial" w:hAnsi="Arial" w:cs="Arial"/>
          <w:sz w:val="24"/>
          <w:szCs w:val="24"/>
        </w:rPr>
        <w:t xml:space="preserve">  There is also a presumption that the legislature has not intended to interfere with basic rights, freedoms and immunities, unless there is unmistakable and unambiguous language to the contrary.</w:t>
      </w:r>
      <w:r>
        <w:rPr>
          <w:rStyle w:val="FootnoteReference"/>
          <w:rFonts w:ascii="Arial" w:hAnsi="Arial" w:cs="Arial"/>
          <w:sz w:val="24"/>
          <w:szCs w:val="24"/>
        </w:rPr>
        <w:footnoteReference w:id="2"/>
      </w:r>
      <w:r>
        <w:rPr>
          <w:rFonts w:ascii="Arial" w:hAnsi="Arial" w:cs="Arial"/>
          <w:sz w:val="24"/>
          <w:szCs w:val="24"/>
        </w:rPr>
        <w:t xml:space="preserve">  </w:t>
      </w:r>
      <w:r w:rsidR="0063404E">
        <w:rPr>
          <w:rFonts w:ascii="Arial" w:hAnsi="Arial" w:cs="Arial"/>
          <w:sz w:val="24"/>
          <w:szCs w:val="24"/>
        </w:rPr>
        <w:t xml:space="preserve">Further, the </w:t>
      </w:r>
      <w:r w:rsidR="0063404E">
        <w:rPr>
          <w:rFonts w:ascii="Arial" w:hAnsi="Arial" w:cs="Arial"/>
          <w:i/>
          <w:sz w:val="24"/>
          <w:szCs w:val="24"/>
        </w:rPr>
        <w:t xml:space="preserve">Acts Interpretation Act 1954 </w:t>
      </w:r>
      <w:r w:rsidR="0063404E">
        <w:rPr>
          <w:rFonts w:ascii="Arial" w:hAnsi="Arial" w:cs="Arial"/>
          <w:sz w:val="24"/>
          <w:szCs w:val="24"/>
        </w:rPr>
        <w:t>requires that the interpretation of a provision that will best achieve the purpose of the Act is to be preferred to any other interpretation.</w:t>
      </w:r>
      <w:r w:rsidR="0063404E">
        <w:rPr>
          <w:rStyle w:val="FootnoteReference"/>
          <w:rFonts w:ascii="Arial" w:hAnsi="Arial" w:cs="Arial"/>
          <w:sz w:val="24"/>
          <w:szCs w:val="24"/>
        </w:rPr>
        <w:footnoteReference w:id="3"/>
      </w:r>
    </w:p>
    <w:p w:rsidR="008B50EE" w:rsidRDefault="008B50EE" w:rsidP="004D075E">
      <w:pPr>
        <w:pStyle w:val="ListParagraph"/>
        <w:numPr>
          <w:ilvl w:val="0"/>
          <w:numId w:val="1"/>
        </w:numPr>
        <w:spacing w:before="120" w:after="0" w:line="360" w:lineRule="auto"/>
        <w:ind w:left="567" w:hanging="567"/>
        <w:contextualSpacing w:val="0"/>
        <w:rPr>
          <w:rFonts w:ascii="Arial" w:hAnsi="Arial" w:cs="Arial"/>
          <w:sz w:val="24"/>
          <w:szCs w:val="24"/>
        </w:rPr>
      </w:pPr>
      <w:r>
        <w:rPr>
          <w:rFonts w:ascii="Arial" w:hAnsi="Arial" w:cs="Arial"/>
          <w:sz w:val="24"/>
          <w:szCs w:val="24"/>
        </w:rPr>
        <w:t xml:space="preserve">The Preamble describes Parliament’s reasons for enacting the Act by reference to international human rights instruments, a need to extend the Commonwealth human rights legislation, and the intention to promote equality of opportunity for </w:t>
      </w:r>
      <w:r>
        <w:rPr>
          <w:rFonts w:ascii="Arial" w:hAnsi="Arial" w:cs="Arial"/>
          <w:sz w:val="24"/>
          <w:szCs w:val="24"/>
        </w:rPr>
        <w:lastRenderedPageBreak/>
        <w:t>everyone by protecting them from unfair discrimination in certain areas of activity and from sexual harassment and other objectionable conduct.</w:t>
      </w:r>
    </w:p>
    <w:p w:rsidR="008B50EE" w:rsidRDefault="008B50EE" w:rsidP="004D075E">
      <w:pPr>
        <w:pStyle w:val="ListParagraph"/>
        <w:numPr>
          <w:ilvl w:val="0"/>
          <w:numId w:val="1"/>
        </w:numPr>
        <w:spacing w:before="120" w:after="0" w:line="360" w:lineRule="auto"/>
        <w:ind w:left="567" w:hanging="567"/>
        <w:contextualSpacing w:val="0"/>
        <w:rPr>
          <w:rFonts w:ascii="Arial" w:hAnsi="Arial" w:cs="Arial"/>
          <w:sz w:val="24"/>
          <w:szCs w:val="24"/>
        </w:rPr>
      </w:pPr>
      <w:r>
        <w:rPr>
          <w:rFonts w:ascii="Arial" w:hAnsi="Arial" w:cs="Arial"/>
          <w:sz w:val="24"/>
          <w:szCs w:val="24"/>
        </w:rPr>
        <w:t>The Act sets out the conduct that is prohibited</w:t>
      </w:r>
      <w:r w:rsidR="00E92C8B">
        <w:rPr>
          <w:rFonts w:ascii="Arial" w:hAnsi="Arial" w:cs="Arial"/>
          <w:sz w:val="24"/>
          <w:szCs w:val="24"/>
        </w:rPr>
        <w:t>, establishes the Anti-Discrimination Commission,</w:t>
      </w:r>
      <w:r>
        <w:rPr>
          <w:rFonts w:ascii="Arial" w:hAnsi="Arial" w:cs="Arial"/>
          <w:sz w:val="24"/>
          <w:szCs w:val="24"/>
        </w:rPr>
        <w:t xml:space="preserve"> and provides for enforcement.</w:t>
      </w:r>
      <w:r w:rsidR="00E92C8B">
        <w:rPr>
          <w:rFonts w:ascii="Arial" w:hAnsi="Arial" w:cs="Arial"/>
          <w:sz w:val="24"/>
          <w:szCs w:val="24"/>
        </w:rPr>
        <w:t xml:space="preserve">  </w:t>
      </w:r>
      <w:r w:rsidR="00FC1718">
        <w:rPr>
          <w:rFonts w:ascii="Arial" w:hAnsi="Arial" w:cs="Arial"/>
          <w:sz w:val="24"/>
          <w:szCs w:val="24"/>
        </w:rPr>
        <w:t xml:space="preserve">Enforcement begins with a complaint to the Commission that may be referred to the tribunal if it is not resolved through conciliation.  Specific functions and powers are ascribed to the Commission and to the tribunal.  </w:t>
      </w:r>
    </w:p>
    <w:p w:rsidR="00EE5AA8" w:rsidRDefault="00E92C8B" w:rsidP="00EE5AA8">
      <w:pPr>
        <w:pStyle w:val="ListParagraph"/>
        <w:numPr>
          <w:ilvl w:val="0"/>
          <w:numId w:val="1"/>
        </w:numPr>
        <w:spacing w:before="120" w:after="0" w:line="360" w:lineRule="auto"/>
        <w:ind w:left="567" w:hanging="567"/>
        <w:contextualSpacing w:val="0"/>
        <w:rPr>
          <w:rFonts w:ascii="Arial" w:hAnsi="Arial" w:cs="Arial"/>
          <w:sz w:val="24"/>
          <w:szCs w:val="24"/>
        </w:rPr>
      </w:pPr>
      <w:r>
        <w:rPr>
          <w:rFonts w:ascii="Arial" w:hAnsi="Arial" w:cs="Arial"/>
          <w:sz w:val="24"/>
          <w:szCs w:val="24"/>
        </w:rPr>
        <w:t xml:space="preserve">The functions and powers of the tribunal include a power </w:t>
      </w:r>
      <w:r w:rsidR="007B733F">
        <w:rPr>
          <w:rFonts w:ascii="Arial" w:hAnsi="Arial" w:cs="Arial"/>
          <w:sz w:val="24"/>
          <w:szCs w:val="24"/>
        </w:rPr>
        <w:t>to</w:t>
      </w:r>
      <w:r>
        <w:rPr>
          <w:rFonts w:ascii="Arial" w:hAnsi="Arial" w:cs="Arial"/>
          <w:sz w:val="24"/>
          <w:szCs w:val="24"/>
        </w:rPr>
        <w:t xml:space="preserve"> review</w:t>
      </w:r>
      <w:r w:rsidR="007B733F">
        <w:rPr>
          <w:rFonts w:ascii="Arial" w:hAnsi="Arial" w:cs="Arial"/>
          <w:sz w:val="24"/>
          <w:szCs w:val="24"/>
        </w:rPr>
        <w:t xml:space="preserve">, on application of the complainant, a decision of the Commissioner made under section 169 of the Act that the complainant has lost interest in </w:t>
      </w:r>
      <w:r w:rsidR="004C5A92">
        <w:rPr>
          <w:rFonts w:ascii="Arial" w:hAnsi="Arial" w:cs="Arial"/>
          <w:sz w:val="24"/>
          <w:szCs w:val="24"/>
        </w:rPr>
        <w:t>continuing with a</w:t>
      </w:r>
      <w:r w:rsidR="007B733F">
        <w:rPr>
          <w:rFonts w:ascii="Arial" w:hAnsi="Arial" w:cs="Arial"/>
          <w:sz w:val="24"/>
          <w:szCs w:val="24"/>
        </w:rPr>
        <w:t xml:space="preserve"> complaint.</w:t>
      </w:r>
      <w:r w:rsidR="00AA435B">
        <w:rPr>
          <w:rFonts w:ascii="Arial" w:hAnsi="Arial" w:cs="Arial"/>
          <w:sz w:val="24"/>
          <w:szCs w:val="24"/>
        </w:rPr>
        <w:t xml:space="preserve">  </w:t>
      </w:r>
      <w:r w:rsidR="00EE5AA8" w:rsidRPr="00EE5AA8">
        <w:rPr>
          <w:rFonts w:ascii="Arial" w:hAnsi="Arial" w:cs="Arial"/>
          <w:sz w:val="24"/>
          <w:szCs w:val="24"/>
        </w:rPr>
        <w:t xml:space="preserve">Section 169 </w:t>
      </w:r>
      <w:r w:rsidR="009A7EAA">
        <w:rPr>
          <w:rFonts w:ascii="Arial" w:hAnsi="Arial" w:cs="Arial"/>
          <w:sz w:val="24"/>
          <w:szCs w:val="24"/>
        </w:rPr>
        <w:t>provides</w:t>
      </w:r>
      <w:r w:rsidR="00EE5AA8" w:rsidRPr="00EE5AA8">
        <w:rPr>
          <w:rFonts w:ascii="Arial" w:hAnsi="Arial" w:cs="Arial"/>
          <w:sz w:val="24"/>
          <w:szCs w:val="24"/>
        </w:rPr>
        <w:t>:</w:t>
      </w:r>
    </w:p>
    <w:p w:rsidR="003C0886" w:rsidRDefault="003C0886" w:rsidP="00771912">
      <w:pPr>
        <w:spacing w:before="120" w:after="0" w:line="240" w:lineRule="auto"/>
        <w:ind w:left="1748" w:right="1232" w:hanging="567"/>
        <w:rPr>
          <w:rFonts w:ascii="Arial" w:hAnsi="Arial" w:cs="Arial"/>
          <w:b/>
        </w:rPr>
      </w:pPr>
      <w:r>
        <w:rPr>
          <w:rFonts w:ascii="Arial" w:hAnsi="Arial" w:cs="Arial"/>
          <w:b/>
        </w:rPr>
        <w:t>169   Complaint may lapse if complainant loses interest</w:t>
      </w:r>
    </w:p>
    <w:p w:rsidR="003C0886" w:rsidRDefault="005766FA" w:rsidP="00771912">
      <w:pPr>
        <w:pStyle w:val="ListParagraph"/>
        <w:numPr>
          <w:ilvl w:val="0"/>
          <w:numId w:val="20"/>
        </w:numPr>
        <w:spacing w:before="120" w:after="0" w:line="240" w:lineRule="auto"/>
        <w:ind w:left="2002" w:right="1230"/>
        <w:contextualSpacing w:val="0"/>
        <w:rPr>
          <w:rFonts w:ascii="Arial" w:hAnsi="Arial" w:cs="Arial"/>
        </w:rPr>
      </w:pPr>
      <w:r>
        <w:rPr>
          <w:rFonts w:ascii="Arial" w:hAnsi="Arial" w:cs="Arial"/>
        </w:rPr>
        <w:t>If the Commissioner is of the reasonable opinion that a complainant has lost interest in continuing with a complaint, the commissioner must tell the complainant in writing that —</w:t>
      </w:r>
    </w:p>
    <w:p w:rsidR="003C0886" w:rsidRDefault="005766FA" w:rsidP="00771912">
      <w:pPr>
        <w:pStyle w:val="ListParagraph"/>
        <w:numPr>
          <w:ilvl w:val="1"/>
          <w:numId w:val="19"/>
        </w:numPr>
        <w:spacing w:before="120" w:after="0" w:line="240" w:lineRule="auto"/>
        <w:ind w:left="3024" w:right="1232" w:hanging="567"/>
        <w:contextualSpacing w:val="0"/>
        <w:jc w:val="both"/>
        <w:rPr>
          <w:rFonts w:ascii="Arial" w:hAnsi="Arial" w:cs="Arial"/>
        </w:rPr>
      </w:pPr>
      <w:r>
        <w:rPr>
          <w:rFonts w:ascii="Arial" w:hAnsi="Arial" w:cs="Arial"/>
        </w:rPr>
        <w:t xml:space="preserve">the complaint will lapse unless the complainant indicates that the complainant wishes to continue with it; and </w:t>
      </w:r>
    </w:p>
    <w:p w:rsidR="005766FA" w:rsidRDefault="005766FA" w:rsidP="00771912">
      <w:pPr>
        <w:pStyle w:val="ListParagraph"/>
        <w:numPr>
          <w:ilvl w:val="1"/>
          <w:numId w:val="19"/>
        </w:numPr>
        <w:spacing w:before="120" w:after="0" w:line="240" w:lineRule="auto"/>
        <w:ind w:left="3024" w:right="1232" w:hanging="567"/>
        <w:contextualSpacing w:val="0"/>
        <w:jc w:val="both"/>
        <w:rPr>
          <w:rFonts w:ascii="Arial" w:hAnsi="Arial" w:cs="Arial"/>
        </w:rPr>
      </w:pPr>
      <w:r>
        <w:rPr>
          <w:rFonts w:ascii="Arial" w:hAnsi="Arial" w:cs="Arial"/>
        </w:rPr>
        <w:t>if the complaint lapses, the complainant can not make a further complaint relating to the act or omission that was the subject of the complaint.</w:t>
      </w:r>
    </w:p>
    <w:p w:rsidR="003C0886" w:rsidRDefault="005766FA" w:rsidP="00771912">
      <w:pPr>
        <w:pStyle w:val="ListParagraph"/>
        <w:numPr>
          <w:ilvl w:val="0"/>
          <w:numId w:val="20"/>
        </w:numPr>
        <w:spacing w:before="120" w:after="0" w:line="240" w:lineRule="auto"/>
        <w:ind w:left="2002" w:right="1230"/>
        <w:contextualSpacing w:val="0"/>
        <w:rPr>
          <w:rFonts w:ascii="Arial" w:hAnsi="Arial" w:cs="Arial"/>
        </w:rPr>
      </w:pPr>
      <w:r>
        <w:rPr>
          <w:rFonts w:ascii="Arial" w:hAnsi="Arial" w:cs="Arial"/>
        </w:rPr>
        <w:t>If the complainant does not give the indication within 28 days, the complaint lapses, and the commissioner must write to the complainant and the respondent as soon as practicable to tell them that the complaint has lapsed.</w:t>
      </w:r>
    </w:p>
    <w:p w:rsidR="005766FA" w:rsidRDefault="005766FA" w:rsidP="00771912">
      <w:pPr>
        <w:pStyle w:val="ListParagraph"/>
        <w:numPr>
          <w:ilvl w:val="0"/>
          <w:numId w:val="20"/>
        </w:numPr>
        <w:spacing w:before="120" w:after="0" w:line="240" w:lineRule="auto"/>
        <w:ind w:left="2002" w:right="1230"/>
        <w:contextualSpacing w:val="0"/>
        <w:rPr>
          <w:rFonts w:ascii="Arial" w:hAnsi="Arial" w:cs="Arial"/>
        </w:rPr>
      </w:pPr>
      <w:r>
        <w:rPr>
          <w:rFonts w:ascii="Arial" w:hAnsi="Arial" w:cs="Arial"/>
        </w:rPr>
        <w:t>Within 28 days of being notified that the complaint has lapsed, the complainant may apply to the tribunal to review the commissioner’s decision.</w:t>
      </w:r>
    </w:p>
    <w:p w:rsidR="005766FA" w:rsidRDefault="005766FA" w:rsidP="00771912">
      <w:pPr>
        <w:pStyle w:val="ListParagraph"/>
        <w:numPr>
          <w:ilvl w:val="0"/>
          <w:numId w:val="20"/>
        </w:numPr>
        <w:spacing w:before="120" w:after="0" w:line="240" w:lineRule="auto"/>
        <w:ind w:left="2002" w:right="1230"/>
        <w:contextualSpacing w:val="0"/>
        <w:rPr>
          <w:rFonts w:ascii="Arial" w:hAnsi="Arial" w:cs="Arial"/>
        </w:rPr>
      </w:pPr>
      <w:r>
        <w:rPr>
          <w:rFonts w:ascii="Arial" w:hAnsi="Arial" w:cs="Arial"/>
        </w:rPr>
        <w:t>If the tribunal is satisfied that the complainant has a genuine interest in continuing with the complaint, the commissioner must resume dealing with the complaint.</w:t>
      </w:r>
    </w:p>
    <w:p w:rsidR="003C0886" w:rsidRPr="009A7EAA" w:rsidRDefault="009A7EAA" w:rsidP="00771912">
      <w:pPr>
        <w:pStyle w:val="ListParagraph"/>
        <w:numPr>
          <w:ilvl w:val="0"/>
          <w:numId w:val="20"/>
        </w:numPr>
        <w:spacing w:before="120" w:after="0" w:line="240" w:lineRule="auto"/>
        <w:ind w:left="2002" w:right="1230"/>
        <w:contextualSpacing w:val="0"/>
        <w:rPr>
          <w:rFonts w:ascii="Arial" w:hAnsi="Arial" w:cs="Arial"/>
        </w:rPr>
      </w:pPr>
      <w:r>
        <w:rPr>
          <w:rFonts w:ascii="Arial" w:hAnsi="Arial" w:cs="Arial"/>
        </w:rPr>
        <w:t>The complainant can not make a further complaint relating to the act or omission that was the subject of the complaint.</w:t>
      </w:r>
    </w:p>
    <w:p w:rsidR="00E92C8B" w:rsidRDefault="00AA435B" w:rsidP="00A116F2">
      <w:pPr>
        <w:pStyle w:val="ListParagraph"/>
        <w:numPr>
          <w:ilvl w:val="0"/>
          <w:numId w:val="1"/>
        </w:numPr>
        <w:spacing w:before="240" w:after="0" w:line="360" w:lineRule="auto"/>
        <w:ind w:left="567" w:hanging="567"/>
        <w:contextualSpacing w:val="0"/>
        <w:rPr>
          <w:rFonts w:ascii="Arial" w:hAnsi="Arial" w:cs="Arial"/>
          <w:sz w:val="24"/>
          <w:szCs w:val="24"/>
        </w:rPr>
      </w:pPr>
      <w:r>
        <w:rPr>
          <w:rFonts w:ascii="Arial" w:hAnsi="Arial" w:cs="Arial"/>
          <w:sz w:val="24"/>
          <w:szCs w:val="24"/>
        </w:rPr>
        <w:t>The tribunal’s function under section 169 is to consider afresh the complainant’s interest in pursuing the complaint, not whether the Commissioner’s decision was justified.</w:t>
      </w:r>
      <w:r>
        <w:rPr>
          <w:rStyle w:val="FootnoteReference"/>
          <w:rFonts w:ascii="Arial" w:hAnsi="Arial" w:cs="Arial"/>
          <w:sz w:val="24"/>
          <w:szCs w:val="24"/>
        </w:rPr>
        <w:footnoteReference w:id="4"/>
      </w:r>
      <w:r>
        <w:rPr>
          <w:rFonts w:ascii="Arial" w:hAnsi="Arial" w:cs="Arial"/>
          <w:sz w:val="24"/>
          <w:szCs w:val="24"/>
        </w:rPr>
        <w:t xml:space="preserve">  </w:t>
      </w:r>
    </w:p>
    <w:p w:rsidR="00EE5AA8" w:rsidRDefault="00EE5AA8" w:rsidP="004D075E">
      <w:pPr>
        <w:pStyle w:val="ListParagraph"/>
        <w:numPr>
          <w:ilvl w:val="0"/>
          <w:numId w:val="1"/>
        </w:numPr>
        <w:spacing w:before="120" w:after="0" w:line="360" w:lineRule="auto"/>
        <w:ind w:left="567" w:hanging="567"/>
        <w:contextualSpacing w:val="0"/>
        <w:rPr>
          <w:rFonts w:ascii="Arial" w:hAnsi="Arial" w:cs="Arial"/>
          <w:sz w:val="24"/>
          <w:szCs w:val="24"/>
        </w:rPr>
      </w:pPr>
      <w:r>
        <w:rPr>
          <w:rFonts w:ascii="Arial" w:hAnsi="Arial" w:cs="Arial"/>
          <w:sz w:val="24"/>
          <w:szCs w:val="24"/>
        </w:rPr>
        <w:t>Section 169 contains an explicit right of rev</w:t>
      </w:r>
      <w:r w:rsidR="00585C17">
        <w:rPr>
          <w:rFonts w:ascii="Arial" w:hAnsi="Arial" w:cs="Arial"/>
          <w:sz w:val="24"/>
          <w:szCs w:val="24"/>
        </w:rPr>
        <w:t>iew.  In contrast</w:t>
      </w:r>
      <w:r w:rsidR="00771912">
        <w:rPr>
          <w:rFonts w:ascii="Arial" w:hAnsi="Arial" w:cs="Arial"/>
          <w:sz w:val="24"/>
          <w:szCs w:val="24"/>
        </w:rPr>
        <w:t>, section 137</w:t>
      </w:r>
      <w:r>
        <w:rPr>
          <w:rFonts w:ascii="Arial" w:hAnsi="Arial" w:cs="Arial"/>
          <w:sz w:val="24"/>
          <w:szCs w:val="24"/>
        </w:rPr>
        <w:t xml:space="preserve"> does not contain a power for the tribunal to review the Commissioner’s decision.</w:t>
      </w:r>
    </w:p>
    <w:p w:rsidR="00CF2437" w:rsidRPr="00A116F2" w:rsidRDefault="00CF0A87" w:rsidP="00A5538B">
      <w:pPr>
        <w:pStyle w:val="ListParagraph"/>
        <w:numPr>
          <w:ilvl w:val="0"/>
          <w:numId w:val="1"/>
        </w:numPr>
        <w:spacing w:before="120" w:after="0" w:line="360" w:lineRule="auto"/>
        <w:ind w:left="567" w:hanging="567"/>
        <w:contextualSpacing w:val="0"/>
        <w:rPr>
          <w:rFonts w:ascii="Arial" w:hAnsi="Arial" w:cs="Arial"/>
          <w:sz w:val="24"/>
          <w:szCs w:val="24"/>
        </w:rPr>
      </w:pPr>
      <w:r w:rsidRPr="00A116F2">
        <w:rPr>
          <w:rFonts w:ascii="Arial" w:hAnsi="Arial" w:cs="Arial"/>
          <w:sz w:val="24"/>
          <w:szCs w:val="24"/>
        </w:rPr>
        <w:t>The Act does not provide any mechanism</w:t>
      </w:r>
      <w:r w:rsidR="00E517AB" w:rsidRPr="00A116F2">
        <w:rPr>
          <w:rFonts w:ascii="Arial" w:hAnsi="Arial" w:cs="Arial"/>
          <w:sz w:val="24"/>
          <w:szCs w:val="24"/>
        </w:rPr>
        <w:t xml:space="preserve"> for</w:t>
      </w:r>
      <w:r w:rsidRPr="00A116F2">
        <w:rPr>
          <w:rFonts w:ascii="Arial" w:hAnsi="Arial" w:cs="Arial"/>
          <w:sz w:val="24"/>
          <w:szCs w:val="24"/>
        </w:rPr>
        <w:t xml:space="preserve"> or right</w:t>
      </w:r>
      <w:r w:rsidR="00E517AB" w:rsidRPr="00A116F2">
        <w:rPr>
          <w:rFonts w:ascii="Arial" w:hAnsi="Arial" w:cs="Arial"/>
          <w:sz w:val="24"/>
          <w:szCs w:val="24"/>
        </w:rPr>
        <w:t xml:space="preserve"> of review</w:t>
      </w:r>
      <w:r w:rsidRPr="00A116F2">
        <w:rPr>
          <w:rFonts w:ascii="Arial" w:hAnsi="Arial" w:cs="Arial"/>
          <w:sz w:val="24"/>
          <w:szCs w:val="24"/>
        </w:rPr>
        <w:t xml:space="preserve"> in respect of any other decisions of the Commissioner.  </w:t>
      </w:r>
      <w:r w:rsidR="007114EC" w:rsidRPr="00A116F2">
        <w:rPr>
          <w:rFonts w:ascii="Arial" w:hAnsi="Arial" w:cs="Arial"/>
          <w:sz w:val="24"/>
          <w:szCs w:val="24"/>
        </w:rPr>
        <w:t xml:space="preserve">The functions of </w:t>
      </w:r>
      <w:r w:rsidR="00A116F2">
        <w:rPr>
          <w:rFonts w:ascii="Arial" w:hAnsi="Arial" w:cs="Arial"/>
          <w:sz w:val="24"/>
          <w:szCs w:val="24"/>
        </w:rPr>
        <w:t>the</w:t>
      </w:r>
      <w:r w:rsidR="007114EC" w:rsidRPr="00A116F2">
        <w:rPr>
          <w:rFonts w:ascii="Arial" w:hAnsi="Arial" w:cs="Arial"/>
          <w:sz w:val="24"/>
          <w:szCs w:val="24"/>
        </w:rPr>
        <w:t xml:space="preserve"> tribunal are those set out in section 174B of the Act.  The functions do not include review of </w:t>
      </w:r>
      <w:r w:rsidR="00FB4C8F" w:rsidRPr="00A116F2">
        <w:rPr>
          <w:rFonts w:ascii="Arial" w:hAnsi="Arial" w:cs="Arial"/>
          <w:sz w:val="24"/>
          <w:szCs w:val="24"/>
        </w:rPr>
        <w:t>decisions</w:t>
      </w:r>
      <w:r w:rsidR="00674247" w:rsidRPr="00A116F2">
        <w:rPr>
          <w:rFonts w:ascii="Arial" w:hAnsi="Arial" w:cs="Arial"/>
          <w:sz w:val="24"/>
          <w:szCs w:val="24"/>
        </w:rPr>
        <w:t>,</w:t>
      </w:r>
      <w:r w:rsidR="00FB4C8F" w:rsidRPr="00A116F2">
        <w:rPr>
          <w:rFonts w:ascii="Arial" w:hAnsi="Arial" w:cs="Arial"/>
          <w:sz w:val="24"/>
          <w:szCs w:val="24"/>
        </w:rPr>
        <w:t xml:space="preserve"> other than </w:t>
      </w:r>
      <w:r w:rsidR="00674247" w:rsidRPr="00A116F2">
        <w:rPr>
          <w:rFonts w:ascii="Arial" w:hAnsi="Arial" w:cs="Arial"/>
          <w:sz w:val="24"/>
          <w:szCs w:val="24"/>
        </w:rPr>
        <w:t>decisions</w:t>
      </w:r>
      <w:r w:rsidR="00FB4C8F" w:rsidRPr="00A116F2">
        <w:rPr>
          <w:rFonts w:ascii="Arial" w:hAnsi="Arial" w:cs="Arial"/>
          <w:sz w:val="24"/>
          <w:szCs w:val="24"/>
        </w:rPr>
        <w:t xml:space="preserve"> made under section 169.</w:t>
      </w:r>
    </w:p>
    <w:p w:rsidR="00E85C14" w:rsidRPr="00CF2437" w:rsidRDefault="00E85C14" w:rsidP="004D075E">
      <w:pPr>
        <w:pStyle w:val="ListParagraph"/>
        <w:numPr>
          <w:ilvl w:val="0"/>
          <w:numId w:val="1"/>
        </w:numPr>
        <w:spacing w:before="120" w:after="0" w:line="360" w:lineRule="auto"/>
        <w:ind w:left="567" w:hanging="567"/>
        <w:contextualSpacing w:val="0"/>
        <w:rPr>
          <w:rFonts w:ascii="Arial" w:hAnsi="Arial" w:cs="Arial"/>
          <w:sz w:val="24"/>
          <w:szCs w:val="24"/>
        </w:rPr>
      </w:pPr>
      <w:r>
        <w:rPr>
          <w:rFonts w:ascii="Arial" w:hAnsi="Arial" w:cs="Arial"/>
          <w:sz w:val="24"/>
          <w:szCs w:val="24"/>
        </w:rPr>
        <w:t xml:space="preserve">This was </w:t>
      </w:r>
      <w:r w:rsidR="00A116F2">
        <w:rPr>
          <w:rFonts w:ascii="Arial" w:hAnsi="Arial" w:cs="Arial"/>
          <w:sz w:val="24"/>
          <w:szCs w:val="24"/>
        </w:rPr>
        <w:t>confirmed</w:t>
      </w:r>
      <w:r>
        <w:rPr>
          <w:rFonts w:ascii="Arial" w:hAnsi="Arial" w:cs="Arial"/>
          <w:sz w:val="24"/>
          <w:szCs w:val="24"/>
        </w:rPr>
        <w:t xml:space="preserve"> by the present tribunal in </w:t>
      </w:r>
      <w:r>
        <w:rPr>
          <w:rFonts w:ascii="Arial" w:hAnsi="Arial" w:cs="Arial"/>
          <w:i/>
          <w:sz w:val="24"/>
          <w:szCs w:val="24"/>
        </w:rPr>
        <w:t xml:space="preserve">McAllister v Anti-Discrimination Commission Queensland </w:t>
      </w:r>
      <w:r>
        <w:rPr>
          <w:rFonts w:ascii="Arial" w:hAnsi="Arial" w:cs="Arial"/>
          <w:sz w:val="24"/>
          <w:szCs w:val="24"/>
        </w:rPr>
        <w:t>[2018] QIRC 120</w:t>
      </w:r>
      <w:r w:rsidR="00A116F2">
        <w:rPr>
          <w:rFonts w:ascii="Arial" w:hAnsi="Arial" w:cs="Arial"/>
          <w:sz w:val="24"/>
          <w:szCs w:val="24"/>
        </w:rPr>
        <w:t xml:space="preserve"> at [23]</w:t>
      </w:r>
      <w:r>
        <w:rPr>
          <w:rFonts w:ascii="Arial" w:hAnsi="Arial" w:cs="Arial"/>
          <w:sz w:val="24"/>
          <w:szCs w:val="24"/>
        </w:rPr>
        <w:t>.</w:t>
      </w:r>
    </w:p>
    <w:p w:rsidR="00C7306F" w:rsidRPr="00321294" w:rsidRDefault="00293AA3" w:rsidP="00A4230F">
      <w:pPr>
        <w:keepNext/>
        <w:spacing w:before="240" w:after="0" w:line="240" w:lineRule="auto"/>
        <w:rPr>
          <w:rFonts w:ascii="Arial" w:hAnsi="Arial" w:cs="Arial"/>
          <w:b/>
          <w:sz w:val="24"/>
          <w:szCs w:val="24"/>
        </w:rPr>
      </w:pPr>
      <w:r>
        <w:rPr>
          <w:rFonts w:ascii="Arial" w:hAnsi="Arial" w:cs="Arial"/>
          <w:b/>
          <w:sz w:val="24"/>
          <w:szCs w:val="24"/>
        </w:rPr>
        <w:t xml:space="preserve">The </w:t>
      </w:r>
      <w:r w:rsidR="00E85C14">
        <w:rPr>
          <w:rFonts w:ascii="Arial" w:hAnsi="Arial" w:cs="Arial"/>
          <w:b/>
          <w:sz w:val="24"/>
          <w:szCs w:val="24"/>
        </w:rPr>
        <w:t xml:space="preserve">meaning and </w:t>
      </w:r>
      <w:r>
        <w:rPr>
          <w:rFonts w:ascii="Arial" w:hAnsi="Arial" w:cs="Arial"/>
          <w:b/>
          <w:sz w:val="24"/>
          <w:szCs w:val="24"/>
        </w:rPr>
        <w:t>effect of section 137</w:t>
      </w:r>
    </w:p>
    <w:p w:rsidR="0078724D" w:rsidRDefault="00E85C14" w:rsidP="00293AA3">
      <w:pPr>
        <w:pStyle w:val="ListParagraph"/>
        <w:numPr>
          <w:ilvl w:val="0"/>
          <w:numId w:val="1"/>
        </w:numPr>
        <w:spacing w:before="120" w:after="0" w:line="360" w:lineRule="auto"/>
        <w:ind w:left="567" w:hanging="567"/>
        <w:contextualSpacing w:val="0"/>
        <w:rPr>
          <w:rFonts w:ascii="Arial" w:hAnsi="Arial" w:cs="Arial"/>
          <w:sz w:val="24"/>
          <w:szCs w:val="24"/>
        </w:rPr>
      </w:pPr>
      <w:r>
        <w:rPr>
          <w:rFonts w:ascii="Arial" w:hAnsi="Arial" w:cs="Arial"/>
          <w:sz w:val="24"/>
          <w:szCs w:val="24"/>
        </w:rPr>
        <w:t xml:space="preserve">The meaning and effect of section 137 of the Act was considered by the former Anti-Discrimination Tribunal in </w:t>
      </w:r>
      <w:r>
        <w:rPr>
          <w:rFonts w:ascii="Arial" w:hAnsi="Arial" w:cs="Arial"/>
          <w:i/>
          <w:sz w:val="24"/>
          <w:szCs w:val="24"/>
        </w:rPr>
        <w:t xml:space="preserve">Diggles v Heery and Australian Laboratory Services Pty Ltd </w:t>
      </w:r>
      <w:r>
        <w:rPr>
          <w:rFonts w:ascii="Arial" w:hAnsi="Arial" w:cs="Arial"/>
          <w:sz w:val="24"/>
          <w:szCs w:val="24"/>
        </w:rPr>
        <w:t>[2009] QADT 22.</w:t>
      </w:r>
    </w:p>
    <w:p w:rsidR="00E85C14" w:rsidRDefault="00E85C14" w:rsidP="00293AA3">
      <w:pPr>
        <w:pStyle w:val="ListParagraph"/>
        <w:numPr>
          <w:ilvl w:val="0"/>
          <w:numId w:val="1"/>
        </w:numPr>
        <w:spacing w:before="120" w:after="0" w:line="360" w:lineRule="auto"/>
        <w:ind w:left="567" w:hanging="567"/>
        <w:contextualSpacing w:val="0"/>
        <w:rPr>
          <w:rFonts w:ascii="Arial" w:hAnsi="Arial" w:cs="Arial"/>
          <w:sz w:val="24"/>
          <w:szCs w:val="24"/>
        </w:rPr>
      </w:pPr>
      <w:r>
        <w:rPr>
          <w:rFonts w:ascii="Arial" w:hAnsi="Arial" w:cs="Arial"/>
          <w:sz w:val="24"/>
          <w:szCs w:val="24"/>
        </w:rPr>
        <w:t xml:space="preserve">In </w:t>
      </w:r>
      <w:r w:rsidRPr="00087D39">
        <w:rPr>
          <w:rFonts w:ascii="Arial" w:hAnsi="Arial" w:cs="Arial"/>
          <w:i/>
          <w:sz w:val="24"/>
          <w:szCs w:val="24"/>
        </w:rPr>
        <w:t>Diggles</w:t>
      </w:r>
      <w:r>
        <w:rPr>
          <w:rFonts w:ascii="Arial" w:hAnsi="Arial" w:cs="Arial"/>
          <w:sz w:val="24"/>
          <w:szCs w:val="24"/>
        </w:rPr>
        <w:t>, the tribunal said that section 137 was a means of over-riding the common law with respect to accord and satisfaction</w:t>
      </w:r>
      <w:r w:rsidR="00087D39">
        <w:rPr>
          <w:rFonts w:ascii="Arial" w:hAnsi="Arial" w:cs="Arial"/>
          <w:sz w:val="24"/>
          <w:szCs w:val="24"/>
        </w:rPr>
        <w:t xml:space="preserve"> and estoppel based on a Deed of Release [17], having said at [15]:</w:t>
      </w:r>
    </w:p>
    <w:p w:rsidR="00087D39" w:rsidRPr="00087D39" w:rsidRDefault="00087D39" w:rsidP="00087D39">
      <w:pPr>
        <w:spacing w:before="120" w:after="0" w:line="240" w:lineRule="auto"/>
        <w:ind w:left="1134" w:right="1230"/>
        <w:rPr>
          <w:rFonts w:ascii="Arial" w:hAnsi="Arial" w:cs="Arial"/>
        </w:rPr>
      </w:pPr>
      <w:r>
        <w:rPr>
          <w:rFonts w:ascii="Arial" w:hAnsi="Arial" w:cs="Arial"/>
        </w:rPr>
        <w:t>… Parliament has expressly given the Commissioner power to consider deeds of compromise before accepting the Complaint.  Parliament has not given the Tribunal an express power to revisit that decision, or to apply the common law with respect to accord and satisfaction or estoppel.  The Tribunal’s prescribed function is to consider whether the Act has been contravened on the facts before it.</w:t>
      </w:r>
    </w:p>
    <w:p w:rsidR="00087D39" w:rsidRDefault="00CE5607" w:rsidP="00293AA3">
      <w:pPr>
        <w:pStyle w:val="ListParagraph"/>
        <w:numPr>
          <w:ilvl w:val="0"/>
          <w:numId w:val="1"/>
        </w:numPr>
        <w:spacing w:before="120" w:after="0" w:line="360" w:lineRule="auto"/>
        <w:ind w:left="567" w:hanging="567"/>
        <w:contextualSpacing w:val="0"/>
        <w:rPr>
          <w:rFonts w:ascii="Arial" w:hAnsi="Arial" w:cs="Arial"/>
          <w:sz w:val="24"/>
          <w:szCs w:val="24"/>
        </w:rPr>
      </w:pPr>
      <w:r>
        <w:rPr>
          <w:rFonts w:ascii="Arial" w:hAnsi="Arial" w:cs="Arial"/>
          <w:sz w:val="24"/>
          <w:szCs w:val="24"/>
        </w:rPr>
        <w:t>Once a complaint is considered and accepted under section 137 of the Act, it is that complaint that is referred to the tribunal.</w:t>
      </w:r>
    </w:p>
    <w:p w:rsidR="00CE5607" w:rsidRPr="00CE5607" w:rsidRDefault="00CE5607" w:rsidP="00CE5607">
      <w:pPr>
        <w:keepNext/>
        <w:spacing w:before="240" w:after="0" w:line="240" w:lineRule="auto"/>
        <w:rPr>
          <w:rFonts w:ascii="Arial" w:hAnsi="Arial" w:cs="Arial"/>
          <w:b/>
          <w:sz w:val="24"/>
          <w:szCs w:val="24"/>
        </w:rPr>
      </w:pPr>
      <w:r w:rsidRPr="00CE5607">
        <w:rPr>
          <w:rFonts w:ascii="Arial" w:hAnsi="Arial" w:cs="Arial"/>
          <w:b/>
          <w:sz w:val="24"/>
          <w:szCs w:val="24"/>
        </w:rPr>
        <w:t>Conclusion</w:t>
      </w:r>
    </w:p>
    <w:p w:rsidR="00CE5607" w:rsidRDefault="00CE5607" w:rsidP="00293AA3">
      <w:pPr>
        <w:pStyle w:val="ListParagraph"/>
        <w:numPr>
          <w:ilvl w:val="0"/>
          <w:numId w:val="1"/>
        </w:numPr>
        <w:spacing w:before="120" w:after="0" w:line="360" w:lineRule="auto"/>
        <w:ind w:left="567" w:hanging="567"/>
        <w:contextualSpacing w:val="0"/>
        <w:rPr>
          <w:rFonts w:ascii="Arial" w:hAnsi="Arial" w:cs="Arial"/>
          <w:sz w:val="24"/>
          <w:szCs w:val="24"/>
        </w:rPr>
      </w:pPr>
      <w:r>
        <w:rPr>
          <w:rFonts w:ascii="Arial" w:hAnsi="Arial" w:cs="Arial"/>
          <w:sz w:val="24"/>
          <w:szCs w:val="24"/>
        </w:rPr>
        <w:t xml:space="preserve">The tribunal does not have the power to review the Commissioner’s decision to accept the complaint under section 137 of the Act, and it is not open for the </w:t>
      </w:r>
      <w:r w:rsidRPr="00585C17">
        <w:rPr>
          <w:rFonts w:ascii="Arial" w:hAnsi="Arial" w:cs="Arial"/>
          <w:sz w:val="24"/>
          <w:szCs w:val="24"/>
        </w:rPr>
        <w:t xml:space="preserve">respondents to agitate </w:t>
      </w:r>
      <w:r w:rsidR="00585C17">
        <w:rPr>
          <w:rFonts w:ascii="Arial" w:hAnsi="Arial" w:cs="Arial"/>
          <w:sz w:val="24"/>
          <w:szCs w:val="24"/>
        </w:rPr>
        <w:t xml:space="preserve">issues about accord and satisfaction and estoppel, or </w:t>
      </w:r>
      <w:r w:rsidRPr="00585C17">
        <w:rPr>
          <w:rFonts w:ascii="Arial" w:hAnsi="Arial" w:cs="Arial"/>
          <w:sz w:val="24"/>
          <w:szCs w:val="24"/>
        </w:rPr>
        <w:t>that the Comm</w:t>
      </w:r>
      <w:r w:rsidR="00585C17">
        <w:rPr>
          <w:rFonts w:ascii="Arial" w:hAnsi="Arial" w:cs="Arial"/>
          <w:sz w:val="24"/>
          <w:szCs w:val="24"/>
        </w:rPr>
        <w:t>issioner’s decision was wrong.</w:t>
      </w:r>
    </w:p>
    <w:p w:rsidR="00585C17" w:rsidRPr="0078724D" w:rsidRDefault="00585C17" w:rsidP="00293AA3">
      <w:pPr>
        <w:pStyle w:val="ListParagraph"/>
        <w:numPr>
          <w:ilvl w:val="0"/>
          <w:numId w:val="1"/>
        </w:numPr>
        <w:spacing w:before="120" w:after="0" w:line="360" w:lineRule="auto"/>
        <w:ind w:left="567" w:hanging="567"/>
        <w:contextualSpacing w:val="0"/>
        <w:rPr>
          <w:rFonts w:ascii="Arial" w:hAnsi="Arial" w:cs="Arial"/>
          <w:sz w:val="24"/>
          <w:szCs w:val="24"/>
        </w:rPr>
      </w:pPr>
      <w:r>
        <w:rPr>
          <w:rFonts w:ascii="Arial" w:hAnsi="Arial" w:cs="Arial"/>
          <w:sz w:val="24"/>
          <w:szCs w:val="24"/>
        </w:rPr>
        <w:t xml:space="preserve">The appropriate course to challenge the Commissioner’s decision was by way of judicial review under the </w:t>
      </w:r>
      <w:r>
        <w:rPr>
          <w:rFonts w:ascii="Arial" w:hAnsi="Arial" w:cs="Arial"/>
          <w:i/>
          <w:sz w:val="24"/>
          <w:szCs w:val="24"/>
        </w:rPr>
        <w:t>Judicial Review Act 1991</w:t>
      </w:r>
      <w:r>
        <w:rPr>
          <w:rFonts w:ascii="Arial" w:hAnsi="Arial" w:cs="Arial"/>
          <w:sz w:val="24"/>
          <w:szCs w:val="24"/>
        </w:rPr>
        <w:t>.</w:t>
      </w:r>
      <w:r w:rsidR="00A116F2">
        <w:rPr>
          <w:rStyle w:val="FootnoteReference"/>
          <w:rFonts w:ascii="Arial" w:hAnsi="Arial" w:cs="Arial"/>
          <w:sz w:val="24"/>
          <w:szCs w:val="24"/>
        </w:rPr>
        <w:footnoteReference w:id="5"/>
      </w:r>
    </w:p>
    <w:p w:rsidR="00D35FA5" w:rsidRDefault="00D35FA5" w:rsidP="00F507F7">
      <w:pPr>
        <w:spacing w:before="240" w:after="0" w:line="240" w:lineRule="auto"/>
        <w:rPr>
          <w:rFonts w:ascii="Arial" w:hAnsi="Arial" w:cs="Arial"/>
          <w:b/>
          <w:sz w:val="24"/>
          <w:szCs w:val="24"/>
        </w:rPr>
      </w:pPr>
    </w:p>
    <w:p w:rsidR="00C6688E" w:rsidRPr="00321294" w:rsidRDefault="00293AA3" w:rsidP="00F507F7">
      <w:pPr>
        <w:spacing w:before="240" w:after="0" w:line="240" w:lineRule="auto"/>
        <w:rPr>
          <w:rFonts w:ascii="Arial" w:hAnsi="Arial" w:cs="Arial"/>
          <w:b/>
          <w:sz w:val="24"/>
          <w:szCs w:val="24"/>
        </w:rPr>
      </w:pPr>
      <w:r>
        <w:rPr>
          <w:rFonts w:ascii="Arial" w:hAnsi="Arial" w:cs="Arial"/>
          <w:b/>
          <w:sz w:val="24"/>
          <w:szCs w:val="24"/>
        </w:rPr>
        <w:t>Intervener</w:t>
      </w:r>
    </w:p>
    <w:p w:rsidR="00252483" w:rsidRPr="00891B4B" w:rsidRDefault="00293AA3" w:rsidP="00F507F7">
      <w:pPr>
        <w:spacing w:after="0" w:line="240" w:lineRule="auto"/>
        <w:rPr>
          <w:rFonts w:ascii="Arial" w:hAnsi="Arial" w:cs="Arial"/>
          <w:sz w:val="24"/>
          <w:szCs w:val="24"/>
        </w:rPr>
      </w:pPr>
      <w:r>
        <w:rPr>
          <w:rFonts w:ascii="Arial" w:hAnsi="Arial" w:cs="Arial"/>
          <w:sz w:val="24"/>
          <w:szCs w:val="24"/>
        </w:rPr>
        <w:t>29 October</w:t>
      </w:r>
      <w:r w:rsidR="00C5187D">
        <w:rPr>
          <w:rFonts w:ascii="Arial" w:hAnsi="Arial" w:cs="Arial"/>
          <w:sz w:val="24"/>
          <w:szCs w:val="24"/>
        </w:rPr>
        <w:t xml:space="preserve"> 2018</w:t>
      </w:r>
    </w:p>
    <w:sectPr w:rsidR="00252483" w:rsidRPr="00891B4B" w:rsidSect="00A4230F">
      <w:footerReference w:type="default" r:id="rId8"/>
      <w:footerReference w:type="first" r:id="rId9"/>
      <w:pgSz w:w="11906" w:h="16838" w:code="9"/>
      <w:pgMar w:top="992" w:right="1298" w:bottom="1021" w:left="144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607" w:rsidRDefault="00CE5607" w:rsidP="002A0B57">
      <w:pPr>
        <w:spacing w:after="0" w:line="240" w:lineRule="auto"/>
      </w:pPr>
      <w:r>
        <w:separator/>
      </w:r>
    </w:p>
  </w:endnote>
  <w:endnote w:type="continuationSeparator" w:id="0">
    <w:p w:rsidR="00CE5607" w:rsidRDefault="00CE5607" w:rsidP="002A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538573342"/>
      <w:docPartObj>
        <w:docPartGallery w:val="Page Numbers (Bottom of Page)"/>
        <w:docPartUnique/>
      </w:docPartObj>
    </w:sdtPr>
    <w:sdtEndPr>
      <w:rPr>
        <w:noProof/>
        <w:sz w:val="20"/>
      </w:rPr>
    </w:sdtEndPr>
    <w:sdtContent>
      <w:p w:rsidR="00CE5607" w:rsidRPr="00424CA1" w:rsidRDefault="00CE5607">
        <w:pPr>
          <w:pStyle w:val="Footer"/>
          <w:jc w:val="right"/>
          <w:rPr>
            <w:rFonts w:ascii="Arial" w:hAnsi="Arial" w:cs="Arial"/>
            <w:sz w:val="20"/>
          </w:rPr>
        </w:pPr>
        <w:r w:rsidRPr="00424CA1">
          <w:rPr>
            <w:rFonts w:ascii="Arial" w:hAnsi="Arial" w:cs="Arial"/>
            <w:sz w:val="20"/>
          </w:rPr>
          <w:fldChar w:fldCharType="begin"/>
        </w:r>
        <w:r w:rsidRPr="00424CA1">
          <w:rPr>
            <w:rFonts w:ascii="Arial" w:hAnsi="Arial" w:cs="Arial"/>
            <w:sz w:val="20"/>
          </w:rPr>
          <w:instrText xml:space="preserve"> PAGE   \* MERGEFORMAT </w:instrText>
        </w:r>
        <w:r w:rsidRPr="00424CA1">
          <w:rPr>
            <w:rFonts w:ascii="Arial" w:hAnsi="Arial" w:cs="Arial"/>
            <w:sz w:val="20"/>
          </w:rPr>
          <w:fldChar w:fldCharType="separate"/>
        </w:r>
        <w:r w:rsidR="001004E9">
          <w:rPr>
            <w:rFonts w:ascii="Arial" w:hAnsi="Arial" w:cs="Arial"/>
            <w:noProof/>
            <w:sz w:val="20"/>
          </w:rPr>
          <w:t>2</w:t>
        </w:r>
        <w:r w:rsidRPr="00424CA1">
          <w:rPr>
            <w:rFonts w:ascii="Arial" w:hAnsi="Arial" w:cs="Arial"/>
            <w:noProof/>
            <w:sz w:val="20"/>
          </w:rPr>
          <w:fldChar w:fldCharType="end"/>
        </w:r>
      </w:p>
    </w:sdtContent>
  </w:sdt>
  <w:p w:rsidR="00CE5607" w:rsidRDefault="00CE5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07" w:rsidRDefault="00CE5607" w:rsidP="006E11CF">
    <w:pPr>
      <w:pStyle w:val="Footer"/>
    </w:pPr>
  </w:p>
  <w:tbl>
    <w:tblPr>
      <w:tblW w:w="9270" w:type="dxa"/>
      <w:tblLayout w:type="fixed"/>
      <w:tblLook w:val="0000" w:firstRow="0" w:lastRow="0" w:firstColumn="0" w:lastColumn="0" w:noHBand="0" w:noVBand="0"/>
    </w:tblPr>
    <w:tblGrid>
      <w:gridCol w:w="3330"/>
      <w:gridCol w:w="5940"/>
    </w:tblGrid>
    <w:tr w:rsidR="00CE5607" w:rsidRPr="00525224" w:rsidTr="00A643A3">
      <w:trPr>
        <w:cantSplit/>
      </w:trPr>
      <w:tc>
        <w:tcPr>
          <w:tcW w:w="3330" w:type="dxa"/>
          <w:tcBorders>
            <w:top w:val="single" w:sz="6" w:space="0" w:color="auto"/>
          </w:tcBorders>
        </w:tcPr>
        <w:p w:rsidR="00CE5607" w:rsidRPr="00525224" w:rsidRDefault="00CE5607" w:rsidP="0002598F">
          <w:pPr>
            <w:widowControl w:val="0"/>
            <w:tabs>
              <w:tab w:val="left" w:pos="119"/>
              <w:tab w:val="right" w:pos="9639"/>
              <w:tab w:val="left" w:pos="10680"/>
              <w:tab w:val="right" w:pos="10800"/>
            </w:tabs>
            <w:rPr>
              <w:rFonts w:ascii="Arial" w:hAnsi="Arial" w:cs="Arial"/>
            </w:rPr>
          </w:pPr>
          <w:r>
            <w:rPr>
              <w:rFonts w:ascii="Arial" w:hAnsi="Arial" w:cs="Arial"/>
              <w:b/>
            </w:rPr>
            <w:t>SUBMISSIONS OF THE INTERVENER</w:t>
          </w:r>
          <w:r>
            <w:rPr>
              <w:rFonts w:ascii="Arial" w:hAnsi="Arial" w:cs="Arial"/>
              <w:b/>
            </w:rPr>
            <w:br/>
          </w:r>
        </w:p>
      </w:tc>
      <w:tc>
        <w:tcPr>
          <w:tcW w:w="5940" w:type="dxa"/>
          <w:tcBorders>
            <w:top w:val="single" w:sz="6" w:space="0" w:color="auto"/>
          </w:tcBorders>
        </w:tcPr>
        <w:p w:rsidR="00CE5607" w:rsidRPr="008F6DF3" w:rsidRDefault="00CE5607" w:rsidP="006E11CF">
          <w:pPr>
            <w:pStyle w:val="Header"/>
            <w:widowControl w:val="0"/>
            <w:tabs>
              <w:tab w:val="left" w:pos="119"/>
              <w:tab w:val="right" w:pos="9639"/>
              <w:tab w:val="left" w:pos="10680"/>
              <w:tab w:val="right" w:pos="10800"/>
            </w:tabs>
            <w:rPr>
              <w:rFonts w:ascii="Arial" w:hAnsi="Arial" w:cs="Arial"/>
            </w:rPr>
          </w:pPr>
          <w:smartTag w:uri="urn:schemas-microsoft-com:office:smarttags" w:element="PersonName">
            <w:r w:rsidRPr="008F6DF3">
              <w:rPr>
                <w:rFonts w:ascii="Arial" w:hAnsi="Arial" w:cs="Arial"/>
              </w:rPr>
              <w:t>Julie Ball</w:t>
            </w:r>
          </w:smartTag>
        </w:p>
        <w:p w:rsidR="00CE5607" w:rsidRPr="008F6DF3" w:rsidRDefault="00CE5607" w:rsidP="006E11CF">
          <w:pPr>
            <w:pStyle w:val="Header"/>
            <w:widowControl w:val="0"/>
            <w:tabs>
              <w:tab w:val="left" w:pos="119"/>
              <w:tab w:val="right" w:pos="9639"/>
              <w:tab w:val="left" w:pos="10680"/>
              <w:tab w:val="right" w:pos="10800"/>
            </w:tabs>
            <w:rPr>
              <w:rFonts w:ascii="Arial" w:hAnsi="Arial" w:cs="Arial"/>
            </w:rPr>
          </w:pPr>
          <w:r w:rsidRPr="008F6DF3">
            <w:rPr>
              <w:rFonts w:ascii="Arial" w:hAnsi="Arial" w:cs="Arial"/>
            </w:rPr>
            <w:t>Solicitor</w:t>
          </w:r>
        </w:p>
        <w:p w:rsidR="00CE5607" w:rsidRPr="008F6DF3" w:rsidRDefault="00CE5607" w:rsidP="006E11CF">
          <w:pPr>
            <w:pStyle w:val="Header"/>
            <w:widowControl w:val="0"/>
            <w:tabs>
              <w:tab w:val="left" w:pos="119"/>
              <w:tab w:val="right" w:pos="9639"/>
              <w:tab w:val="left" w:pos="10680"/>
              <w:tab w:val="right" w:pos="10800"/>
            </w:tabs>
            <w:rPr>
              <w:rFonts w:ascii="Arial" w:hAnsi="Arial" w:cs="Arial"/>
            </w:rPr>
          </w:pPr>
          <w:r w:rsidRPr="008F6DF3">
            <w:rPr>
              <w:rFonts w:ascii="Arial" w:hAnsi="Arial" w:cs="Arial"/>
            </w:rPr>
            <w:t xml:space="preserve">Anti-Discrimination Commission </w:t>
          </w:r>
          <w:smartTag w:uri="urn:schemas-microsoft-com:office:smarttags" w:element="place">
            <w:smartTag w:uri="urn:schemas-microsoft-com:office:smarttags" w:element="State">
              <w:r w:rsidRPr="008F6DF3">
                <w:rPr>
                  <w:rFonts w:ascii="Arial" w:hAnsi="Arial" w:cs="Arial"/>
                </w:rPr>
                <w:t>Queensland</w:t>
              </w:r>
            </w:smartTag>
          </w:smartTag>
        </w:p>
        <w:p w:rsidR="00CE5607" w:rsidRPr="008F6DF3" w:rsidRDefault="00CE5607" w:rsidP="006E11CF">
          <w:pPr>
            <w:pStyle w:val="Header"/>
            <w:widowControl w:val="0"/>
            <w:tabs>
              <w:tab w:val="left" w:pos="119"/>
              <w:tab w:val="right" w:pos="9639"/>
              <w:tab w:val="left" w:pos="10680"/>
              <w:tab w:val="right" w:pos="10800"/>
            </w:tabs>
            <w:rPr>
              <w:rFonts w:ascii="Arial" w:hAnsi="Arial" w:cs="Arial"/>
            </w:rPr>
          </w:pPr>
          <w:r>
            <w:rPr>
              <w:rFonts w:ascii="Arial" w:hAnsi="Arial" w:cs="Arial"/>
            </w:rPr>
            <w:t>Level 20, 53 Albert Street, BRISBANE QLD 4000</w:t>
          </w:r>
        </w:p>
        <w:p w:rsidR="00CE5607" w:rsidRPr="008F6DF3" w:rsidRDefault="00CE5607" w:rsidP="006E11CF">
          <w:pPr>
            <w:pStyle w:val="Header"/>
            <w:widowControl w:val="0"/>
            <w:tabs>
              <w:tab w:val="left" w:pos="119"/>
              <w:tab w:val="right" w:pos="9639"/>
              <w:tab w:val="left" w:pos="10680"/>
              <w:tab w:val="right" w:pos="10800"/>
            </w:tabs>
            <w:rPr>
              <w:rFonts w:ascii="Arial" w:hAnsi="Arial" w:cs="Arial"/>
            </w:rPr>
          </w:pPr>
          <w:r w:rsidRPr="008F6DF3">
            <w:rPr>
              <w:rFonts w:ascii="Arial" w:hAnsi="Arial" w:cs="Arial"/>
            </w:rPr>
            <w:t>Ph: 3</w:t>
          </w:r>
          <w:r>
            <w:rPr>
              <w:rFonts w:ascii="Arial" w:hAnsi="Arial" w:cs="Arial"/>
            </w:rPr>
            <w:t xml:space="preserve">021 </w:t>
          </w:r>
          <w:r w:rsidRPr="008F6DF3">
            <w:rPr>
              <w:rFonts w:ascii="Arial" w:hAnsi="Arial" w:cs="Arial"/>
            </w:rPr>
            <w:t>9</w:t>
          </w:r>
          <w:r>
            <w:rPr>
              <w:rFonts w:ascii="Arial" w:hAnsi="Arial" w:cs="Arial"/>
            </w:rPr>
            <w:t>1</w:t>
          </w:r>
          <w:r w:rsidRPr="008F6DF3">
            <w:rPr>
              <w:rFonts w:ascii="Arial" w:hAnsi="Arial" w:cs="Arial"/>
            </w:rPr>
            <w:t>03</w:t>
          </w:r>
        </w:p>
        <w:p w:rsidR="00CE5607" w:rsidRDefault="00CE5607" w:rsidP="006E11CF">
          <w:pPr>
            <w:widowControl w:val="0"/>
            <w:tabs>
              <w:tab w:val="left" w:pos="119"/>
              <w:tab w:val="right" w:pos="9639"/>
              <w:tab w:val="left" w:pos="10680"/>
              <w:tab w:val="right" w:pos="10800"/>
            </w:tabs>
            <w:spacing w:after="0"/>
            <w:rPr>
              <w:rFonts w:ascii="Arial" w:hAnsi="Arial" w:cs="Arial"/>
            </w:rPr>
          </w:pPr>
          <w:r w:rsidRPr="008F6DF3">
            <w:rPr>
              <w:rFonts w:ascii="Arial" w:hAnsi="Arial" w:cs="Arial"/>
            </w:rPr>
            <w:t>Fax: 3247 0960</w:t>
          </w:r>
        </w:p>
        <w:p w:rsidR="00CE5607" w:rsidRPr="00525224" w:rsidRDefault="00CE5607" w:rsidP="006E11CF">
          <w:pPr>
            <w:widowControl w:val="0"/>
            <w:tabs>
              <w:tab w:val="left" w:pos="119"/>
              <w:tab w:val="right" w:pos="9639"/>
              <w:tab w:val="left" w:pos="10680"/>
              <w:tab w:val="right" w:pos="10800"/>
            </w:tabs>
            <w:spacing w:after="0"/>
            <w:rPr>
              <w:rFonts w:ascii="Arial" w:hAnsi="Arial" w:cs="Arial"/>
              <w:sz w:val="16"/>
            </w:rPr>
          </w:pPr>
          <w:r>
            <w:rPr>
              <w:rFonts w:ascii="Arial" w:hAnsi="Arial" w:cs="Arial"/>
            </w:rPr>
            <w:t>Email: julie.ball@adcq.qld.gov.au</w:t>
          </w:r>
        </w:p>
      </w:tc>
    </w:tr>
  </w:tbl>
  <w:p w:rsidR="00CE5607" w:rsidRPr="006E11CF" w:rsidRDefault="00CE5607" w:rsidP="006E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607" w:rsidRDefault="00CE5607" w:rsidP="002A0B57">
      <w:pPr>
        <w:spacing w:after="0" w:line="240" w:lineRule="auto"/>
      </w:pPr>
      <w:r>
        <w:separator/>
      </w:r>
    </w:p>
  </w:footnote>
  <w:footnote w:type="continuationSeparator" w:id="0">
    <w:p w:rsidR="00CE5607" w:rsidRDefault="00CE5607" w:rsidP="002A0B57">
      <w:pPr>
        <w:spacing w:after="0" w:line="240" w:lineRule="auto"/>
      </w:pPr>
      <w:r>
        <w:continuationSeparator/>
      </w:r>
    </w:p>
  </w:footnote>
  <w:footnote w:id="1">
    <w:p w:rsidR="00CE5607" w:rsidRPr="00D55F6C" w:rsidRDefault="00CE5607">
      <w:pPr>
        <w:pStyle w:val="FootnoteText"/>
        <w:rPr>
          <w:rFonts w:ascii="Arial" w:hAnsi="Arial" w:cs="Arial"/>
          <w:lang w:val="en-US"/>
        </w:rPr>
      </w:pPr>
      <w:r w:rsidRPr="00D55F6C">
        <w:rPr>
          <w:rStyle w:val="FootnoteReference"/>
          <w:rFonts w:ascii="Arial" w:hAnsi="Arial" w:cs="Arial"/>
        </w:rPr>
        <w:footnoteRef/>
      </w:r>
      <w:r w:rsidRPr="00D55F6C">
        <w:rPr>
          <w:rFonts w:ascii="Arial" w:hAnsi="Arial" w:cs="Arial"/>
        </w:rPr>
        <w:t xml:space="preserve"> </w:t>
      </w:r>
      <w:r w:rsidRPr="00D55F6C">
        <w:rPr>
          <w:rFonts w:ascii="Arial" w:hAnsi="Arial" w:cs="Arial"/>
          <w:i/>
        </w:rPr>
        <w:t xml:space="preserve">Project Blue Sky v Australian Broadcasting Authority </w:t>
      </w:r>
      <w:r>
        <w:rPr>
          <w:rFonts w:ascii="Arial" w:hAnsi="Arial" w:cs="Arial"/>
        </w:rPr>
        <w:t>(1998) 194 CLR 355, [1998] HCA 28 (28 April 1998).</w:t>
      </w:r>
    </w:p>
  </w:footnote>
  <w:footnote w:id="2">
    <w:p w:rsidR="00CE5607" w:rsidRPr="0063404E" w:rsidRDefault="00CE5607">
      <w:pPr>
        <w:pStyle w:val="FootnoteText"/>
        <w:rPr>
          <w:rFonts w:ascii="Arial" w:hAnsi="Arial" w:cs="Arial"/>
          <w:lang w:val="en-US"/>
        </w:rPr>
      </w:pPr>
      <w:r w:rsidRPr="0063404E">
        <w:rPr>
          <w:rStyle w:val="FootnoteReference"/>
          <w:rFonts w:ascii="Arial" w:hAnsi="Arial" w:cs="Arial"/>
        </w:rPr>
        <w:footnoteRef/>
      </w:r>
      <w:r w:rsidRPr="0063404E">
        <w:rPr>
          <w:rFonts w:ascii="Arial" w:hAnsi="Arial" w:cs="Arial"/>
        </w:rPr>
        <w:t xml:space="preserve"> </w:t>
      </w:r>
      <w:r w:rsidRPr="0063404E">
        <w:rPr>
          <w:rFonts w:ascii="Arial" w:hAnsi="Arial" w:cs="Arial"/>
          <w:i/>
          <w:lang w:val="en-US"/>
        </w:rPr>
        <w:t xml:space="preserve">Coco v The Queen </w:t>
      </w:r>
      <w:r w:rsidRPr="0063404E">
        <w:rPr>
          <w:rFonts w:ascii="Arial" w:hAnsi="Arial" w:cs="Arial"/>
          <w:lang w:val="en-US"/>
        </w:rPr>
        <w:t>(1994) 179 CLR 427, [1994] HCA 15 (13 April 1994).</w:t>
      </w:r>
    </w:p>
  </w:footnote>
  <w:footnote w:id="3">
    <w:p w:rsidR="00CE5607" w:rsidRPr="0063404E" w:rsidRDefault="00CE5607">
      <w:pPr>
        <w:pStyle w:val="FootnoteText"/>
        <w:rPr>
          <w:rFonts w:ascii="Arial" w:hAnsi="Arial" w:cs="Arial"/>
          <w:lang w:val="en-US"/>
        </w:rPr>
      </w:pPr>
      <w:r w:rsidRPr="0063404E">
        <w:rPr>
          <w:rStyle w:val="FootnoteReference"/>
          <w:rFonts w:ascii="Arial" w:hAnsi="Arial" w:cs="Arial"/>
        </w:rPr>
        <w:footnoteRef/>
      </w:r>
      <w:r w:rsidRPr="0063404E">
        <w:rPr>
          <w:rFonts w:ascii="Arial" w:hAnsi="Arial" w:cs="Arial"/>
        </w:rPr>
        <w:t xml:space="preserve"> </w:t>
      </w:r>
      <w:r w:rsidRPr="0063404E">
        <w:rPr>
          <w:rFonts w:ascii="Arial" w:hAnsi="Arial" w:cs="Arial"/>
          <w:i/>
          <w:lang w:val="en-US"/>
        </w:rPr>
        <w:t>Acts Interpretation Act 1954</w:t>
      </w:r>
      <w:r w:rsidRPr="0063404E">
        <w:rPr>
          <w:rFonts w:ascii="Arial" w:hAnsi="Arial" w:cs="Arial"/>
          <w:lang w:val="en-US"/>
        </w:rPr>
        <w:t>, section 14A.</w:t>
      </w:r>
    </w:p>
  </w:footnote>
  <w:footnote w:id="4">
    <w:p w:rsidR="00CE5607" w:rsidRPr="00AA435B" w:rsidRDefault="00CE5607">
      <w:pPr>
        <w:pStyle w:val="FootnoteText"/>
        <w:rPr>
          <w:rFonts w:ascii="Arial" w:hAnsi="Arial" w:cs="Arial"/>
          <w:lang w:val="en-US"/>
        </w:rPr>
      </w:pPr>
      <w:r w:rsidRPr="00AA435B">
        <w:rPr>
          <w:rStyle w:val="FootnoteReference"/>
          <w:rFonts w:ascii="Arial" w:hAnsi="Arial" w:cs="Arial"/>
        </w:rPr>
        <w:footnoteRef/>
      </w:r>
      <w:r w:rsidRPr="00AA435B">
        <w:rPr>
          <w:rFonts w:ascii="Arial" w:hAnsi="Arial" w:cs="Arial"/>
        </w:rPr>
        <w:t xml:space="preserve"> </w:t>
      </w:r>
      <w:r w:rsidRPr="00AA435B">
        <w:rPr>
          <w:rFonts w:ascii="Arial" w:hAnsi="Arial" w:cs="Arial"/>
          <w:i/>
          <w:lang w:val="en-US"/>
        </w:rPr>
        <w:t xml:space="preserve">Kelly v Harris, Madigan, Head &amp; Qantas Airways Pty Ltd </w:t>
      </w:r>
      <w:r w:rsidRPr="00AA435B">
        <w:rPr>
          <w:rFonts w:ascii="Arial" w:hAnsi="Arial" w:cs="Arial"/>
          <w:lang w:val="en-US"/>
        </w:rPr>
        <w:t xml:space="preserve">[2002] QADT 9; </w:t>
      </w:r>
      <w:r w:rsidRPr="00AA435B">
        <w:rPr>
          <w:rFonts w:ascii="Arial" w:hAnsi="Arial" w:cs="Arial"/>
          <w:i/>
          <w:lang w:val="en-US"/>
        </w:rPr>
        <w:t xml:space="preserve">Monion v Baronia, Louanda Enterprises &amp; Jasak Holdings Pty Ltd </w:t>
      </w:r>
      <w:r w:rsidRPr="00AA435B">
        <w:rPr>
          <w:rFonts w:ascii="Arial" w:hAnsi="Arial" w:cs="Arial"/>
          <w:lang w:val="en-US"/>
        </w:rPr>
        <w:t>[2006] QADT 28.</w:t>
      </w:r>
    </w:p>
  </w:footnote>
  <w:footnote w:id="5">
    <w:p w:rsidR="00A116F2" w:rsidRPr="00E22B7A" w:rsidRDefault="00A116F2">
      <w:pPr>
        <w:pStyle w:val="FootnoteText"/>
        <w:rPr>
          <w:rFonts w:ascii="Arial" w:hAnsi="Arial" w:cs="Arial"/>
          <w:lang w:val="en-US"/>
        </w:rPr>
      </w:pPr>
      <w:r w:rsidRPr="00E22B7A">
        <w:rPr>
          <w:rStyle w:val="FootnoteReference"/>
          <w:rFonts w:ascii="Arial" w:hAnsi="Arial" w:cs="Arial"/>
        </w:rPr>
        <w:footnoteRef/>
      </w:r>
      <w:r w:rsidRPr="00E22B7A">
        <w:rPr>
          <w:rFonts w:ascii="Arial" w:hAnsi="Arial" w:cs="Arial"/>
        </w:rPr>
        <w:t xml:space="preserve"> </w:t>
      </w:r>
      <w:r w:rsidRPr="00E22B7A">
        <w:rPr>
          <w:rFonts w:ascii="Arial" w:hAnsi="Arial" w:cs="Arial"/>
          <w:lang w:val="en-US"/>
        </w:rPr>
        <w:t xml:space="preserve">See </w:t>
      </w:r>
      <w:r w:rsidRPr="00E22B7A">
        <w:rPr>
          <w:rFonts w:ascii="Arial" w:hAnsi="Arial" w:cs="Arial"/>
          <w:i/>
          <w:lang w:val="en-US"/>
        </w:rPr>
        <w:t xml:space="preserve">Diggles v Heery and Australian Laboratory Services Pty Ltd </w:t>
      </w:r>
      <w:r w:rsidRPr="00E22B7A">
        <w:rPr>
          <w:rFonts w:ascii="Arial" w:hAnsi="Arial" w:cs="Arial"/>
          <w:lang w:val="en-US"/>
        </w:rPr>
        <w:t xml:space="preserve">[2009] QADT 22 at [22]; </w:t>
      </w:r>
      <w:r w:rsidRPr="00E22B7A">
        <w:rPr>
          <w:rFonts w:ascii="Arial" w:hAnsi="Arial" w:cs="Arial"/>
          <w:i/>
          <w:lang w:val="en-US"/>
        </w:rPr>
        <w:t xml:space="preserve">McAllister v Anti-Discrimination Commission Queensland </w:t>
      </w:r>
      <w:r w:rsidRPr="00E22B7A">
        <w:rPr>
          <w:rFonts w:ascii="Arial" w:hAnsi="Arial" w:cs="Arial"/>
          <w:lang w:val="en-US"/>
        </w:rPr>
        <w:t xml:space="preserve">[2018] QIRC 120 at </w:t>
      </w:r>
      <w:r w:rsidR="00E22B7A" w:rsidRPr="00E22B7A">
        <w:rPr>
          <w:rFonts w:ascii="Arial" w:hAnsi="Arial" w:cs="Arial"/>
          <w:lang w:val="en-US"/>
        </w:rPr>
        <w:t>[20] and [40].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1CAA"/>
    <w:multiLevelType w:val="hybridMultilevel"/>
    <w:tmpl w:val="B5089292"/>
    <w:lvl w:ilvl="0" w:tplc="8A520D18">
      <w:start w:val="1"/>
      <w:numFmt w:val="lowerLetter"/>
      <w:lvlText w:val="(%1)"/>
      <w:lvlJc w:val="left"/>
      <w:pPr>
        <w:ind w:left="1530" w:hanging="36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1" w15:restartNumberingAfterBreak="0">
    <w:nsid w:val="0C1815F6"/>
    <w:multiLevelType w:val="hybridMultilevel"/>
    <w:tmpl w:val="50123BF6"/>
    <w:lvl w:ilvl="0" w:tplc="F4A86AE2">
      <w:start w:val="1"/>
      <w:numFmt w:val="lowerLetter"/>
      <w:lvlText w:val="(%1)"/>
      <w:lvlJc w:val="left"/>
      <w:pPr>
        <w:ind w:left="1287" w:hanging="360"/>
      </w:pPr>
      <w:rPr>
        <w:rFonts w:hint="default"/>
        <w:b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0F2E0589"/>
    <w:multiLevelType w:val="hybridMultilevel"/>
    <w:tmpl w:val="23A02ABC"/>
    <w:lvl w:ilvl="0" w:tplc="F4A86AE2">
      <w:start w:val="1"/>
      <w:numFmt w:val="lowerLetter"/>
      <w:lvlText w:val="(%1)"/>
      <w:lvlJc w:val="left"/>
      <w:pPr>
        <w:ind w:left="1287" w:hanging="360"/>
      </w:pPr>
      <w:rPr>
        <w:rFonts w:hint="default"/>
        <w:b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19092BD3"/>
    <w:multiLevelType w:val="hybridMultilevel"/>
    <w:tmpl w:val="1E5E4A0E"/>
    <w:lvl w:ilvl="0" w:tplc="8FD8DDEE">
      <w:start w:val="1"/>
      <w:numFmt w:val="lowerLetter"/>
      <w:lvlText w:val="%1)"/>
      <w:lvlJc w:val="left"/>
      <w:pPr>
        <w:ind w:left="1287" w:hanging="360"/>
      </w:pPr>
      <w:rPr>
        <w:b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1E9574EF"/>
    <w:multiLevelType w:val="hybridMultilevel"/>
    <w:tmpl w:val="A6C419C0"/>
    <w:lvl w:ilvl="0" w:tplc="5C3254AE">
      <w:start w:val="1"/>
      <w:numFmt w:val="lowerLetter"/>
      <w:lvlText w:val="(%1)"/>
      <w:lvlJc w:val="left"/>
      <w:pPr>
        <w:ind w:left="1287" w:hanging="360"/>
      </w:pPr>
      <w:rPr>
        <w:rFonts w:hint="default"/>
        <w:b w:val="0"/>
        <w:sz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1F2807C7"/>
    <w:multiLevelType w:val="hybridMultilevel"/>
    <w:tmpl w:val="792AC6E4"/>
    <w:lvl w:ilvl="0" w:tplc="B224AA8A">
      <w:start w:val="1"/>
      <w:numFmt w:val="decimal"/>
      <w:lvlText w:val="%1."/>
      <w:lvlJc w:val="left"/>
      <w:pPr>
        <w:ind w:left="1287" w:hanging="360"/>
      </w:pPr>
      <w:rPr>
        <w:b w:val="0"/>
        <w:sz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23B22567"/>
    <w:multiLevelType w:val="hybridMultilevel"/>
    <w:tmpl w:val="7F42683E"/>
    <w:lvl w:ilvl="0" w:tplc="A934E4C0">
      <w:start w:val="1"/>
      <w:numFmt w:val="decimal"/>
      <w:lvlText w:val="%1."/>
      <w:lvlJc w:val="left"/>
      <w:pPr>
        <w:ind w:left="720" w:hanging="360"/>
      </w:pPr>
      <w:rPr>
        <w:b w:val="0"/>
        <w:i w:val="0"/>
        <w:sz w:val="24"/>
      </w:rPr>
    </w:lvl>
    <w:lvl w:ilvl="1" w:tplc="6108CBAE">
      <w:start w:val="1"/>
      <w:numFmt w:val="decimal"/>
      <w:lvlText w:val="(%2)"/>
      <w:lvlJc w:val="left"/>
      <w:pPr>
        <w:ind w:left="1440" w:hanging="360"/>
      </w:pPr>
      <w:rPr>
        <w:rFonts w:hint="default"/>
        <w:sz w:val="2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FA31A2"/>
    <w:multiLevelType w:val="hybridMultilevel"/>
    <w:tmpl w:val="B86823F8"/>
    <w:lvl w:ilvl="0" w:tplc="C204BBF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2FD94D89"/>
    <w:multiLevelType w:val="hybridMultilevel"/>
    <w:tmpl w:val="893A1A5E"/>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2FF87A68"/>
    <w:multiLevelType w:val="hybridMultilevel"/>
    <w:tmpl w:val="8D6293AC"/>
    <w:lvl w:ilvl="0" w:tplc="F4A86AE2">
      <w:start w:val="1"/>
      <w:numFmt w:val="lowerLetter"/>
      <w:lvlText w:val="(%1)"/>
      <w:lvlJc w:val="left"/>
      <w:pPr>
        <w:ind w:left="1287" w:hanging="360"/>
      </w:pPr>
      <w:rPr>
        <w:rFonts w:hint="default"/>
        <w:b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36C30274"/>
    <w:multiLevelType w:val="hybridMultilevel"/>
    <w:tmpl w:val="ADE839F6"/>
    <w:lvl w:ilvl="0" w:tplc="F4A86AE2">
      <w:start w:val="1"/>
      <w:numFmt w:val="lowerLetter"/>
      <w:lvlText w:val="(%1)"/>
      <w:lvlJc w:val="left"/>
      <w:pPr>
        <w:ind w:left="927" w:hanging="360"/>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3F7825CB"/>
    <w:multiLevelType w:val="hybridMultilevel"/>
    <w:tmpl w:val="6D0255E2"/>
    <w:lvl w:ilvl="0" w:tplc="D19002EC">
      <w:start w:val="1"/>
      <w:numFmt w:val="decimal"/>
      <w:lvlText w:val="(%1)"/>
      <w:lvlJc w:val="left"/>
      <w:pPr>
        <w:ind w:left="1530" w:hanging="36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12" w15:restartNumberingAfterBreak="0">
    <w:nsid w:val="4197091C"/>
    <w:multiLevelType w:val="hybridMultilevel"/>
    <w:tmpl w:val="4490AD10"/>
    <w:lvl w:ilvl="0" w:tplc="F4A86AE2">
      <w:start w:val="1"/>
      <w:numFmt w:val="lowerLetter"/>
      <w:lvlText w:val="(%1)"/>
      <w:lvlJc w:val="left"/>
      <w:pPr>
        <w:ind w:left="1287" w:hanging="360"/>
      </w:pPr>
      <w:rPr>
        <w:rFonts w:hint="default"/>
        <w:b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24F07AF"/>
    <w:multiLevelType w:val="hybridMultilevel"/>
    <w:tmpl w:val="31F4A950"/>
    <w:lvl w:ilvl="0" w:tplc="09E02F0E">
      <w:start w:val="1"/>
      <w:numFmt w:val="decimal"/>
      <w:lvlText w:val="(%1)"/>
      <w:lvlJc w:val="left"/>
      <w:pPr>
        <w:ind w:left="1530" w:hanging="360"/>
      </w:pPr>
      <w:rPr>
        <w:rFonts w:hint="default"/>
      </w:rPr>
    </w:lvl>
    <w:lvl w:ilvl="1" w:tplc="86607A1E">
      <w:start w:val="1"/>
      <w:numFmt w:val="lowerLetter"/>
      <w:lvlText w:val="(%2)"/>
      <w:lvlJc w:val="left"/>
      <w:pPr>
        <w:ind w:left="2250" w:hanging="360"/>
      </w:pPr>
      <w:rPr>
        <w:rFonts w:hint="default"/>
      </w:r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14" w15:restartNumberingAfterBreak="0">
    <w:nsid w:val="42807229"/>
    <w:multiLevelType w:val="hybridMultilevel"/>
    <w:tmpl w:val="680C079C"/>
    <w:lvl w:ilvl="0" w:tplc="5C3254AE">
      <w:start w:val="1"/>
      <w:numFmt w:val="lowerLetter"/>
      <w:lvlText w:val="(%1)"/>
      <w:lvlJc w:val="left"/>
      <w:pPr>
        <w:ind w:left="1350" w:hanging="360"/>
      </w:pPr>
      <w:rPr>
        <w:rFonts w:hint="default"/>
        <w:b w:val="0"/>
        <w:sz w:val="24"/>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5" w15:restartNumberingAfterBreak="0">
    <w:nsid w:val="63A32753"/>
    <w:multiLevelType w:val="hybridMultilevel"/>
    <w:tmpl w:val="C2BC30F4"/>
    <w:lvl w:ilvl="0" w:tplc="73FE73F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CA550FD"/>
    <w:multiLevelType w:val="hybridMultilevel"/>
    <w:tmpl w:val="ECBC73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4470B7A"/>
    <w:multiLevelType w:val="hybridMultilevel"/>
    <w:tmpl w:val="31F4A950"/>
    <w:lvl w:ilvl="0" w:tplc="09E02F0E">
      <w:start w:val="1"/>
      <w:numFmt w:val="decimal"/>
      <w:lvlText w:val="(%1)"/>
      <w:lvlJc w:val="left"/>
      <w:pPr>
        <w:ind w:left="1530" w:hanging="360"/>
      </w:pPr>
      <w:rPr>
        <w:rFonts w:hint="default"/>
      </w:rPr>
    </w:lvl>
    <w:lvl w:ilvl="1" w:tplc="86607A1E">
      <w:start w:val="1"/>
      <w:numFmt w:val="lowerLetter"/>
      <w:lvlText w:val="(%2)"/>
      <w:lvlJc w:val="left"/>
      <w:pPr>
        <w:ind w:left="2250" w:hanging="360"/>
      </w:pPr>
      <w:rPr>
        <w:rFonts w:hint="default"/>
      </w:r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18" w15:restartNumberingAfterBreak="0">
    <w:nsid w:val="7C3973CF"/>
    <w:multiLevelType w:val="hybridMultilevel"/>
    <w:tmpl w:val="2CC26256"/>
    <w:lvl w:ilvl="0" w:tplc="080E51D6">
      <w:start w:val="1"/>
      <w:numFmt w:val="decimal"/>
      <w:lvlText w:val="(%1)"/>
      <w:lvlJc w:val="left"/>
      <w:pPr>
        <w:ind w:left="15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1676AE"/>
    <w:multiLevelType w:val="hybridMultilevel"/>
    <w:tmpl w:val="615C61E0"/>
    <w:lvl w:ilvl="0" w:tplc="5C3254AE">
      <w:start w:val="1"/>
      <w:numFmt w:val="lowerLetter"/>
      <w:lvlText w:val="(%1)"/>
      <w:lvlJc w:val="left"/>
      <w:pPr>
        <w:ind w:left="1287" w:hanging="360"/>
      </w:pPr>
      <w:rPr>
        <w:rFonts w:hint="default"/>
        <w:b w:val="0"/>
        <w:sz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abstractNumId w:val="6"/>
  </w:num>
  <w:num w:numId="2">
    <w:abstractNumId w:val="3"/>
  </w:num>
  <w:num w:numId="3">
    <w:abstractNumId w:val="10"/>
  </w:num>
  <w:num w:numId="4">
    <w:abstractNumId w:val="2"/>
  </w:num>
  <w:num w:numId="5">
    <w:abstractNumId w:val="9"/>
  </w:num>
  <w:num w:numId="6">
    <w:abstractNumId w:val="1"/>
  </w:num>
  <w:num w:numId="7">
    <w:abstractNumId w:val="12"/>
  </w:num>
  <w:num w:numId="8">
    <w:abstractNumId w:val="5"/>
  </w:num>
  <w:num w:numId="9">
    <w:abstractNumId w:val="14"/>
  </w:num>
  <w:num w:numId="10">
    <w:abstractNumId w:val="8"/>
  </w:num>
  <w:num w:numId="11">
    <w:abstractNumId w:val="19"/>
  </w:num>
  <w:num w:numId="12">
    <w:abstractNumId w:val="4"/>
  </w:num>
  <w:num w:numId="13">
    <w:abstractNumId w:val="15"/>
  </w:num>
  <w:num w:numId="14">
    <w:abstractNumId w:val="16"/>
  </w:num>
  <w:num w:numId="15">
    <w:abstractNumId w:val="7"/>
  </w:num>
  <w:num w:numId="16">
    <w:abstractNumId w:val="0"/>
  </w:num>
  <w:num w:numId="17">
    <w:abstractNumId w:val="11"/>
  </w:num>
  <w:num w:numId="18">
    <w:abstractNumId w:val="13"/>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6A"/>
    <w:rsid w:val="00004DC6"/>
    <w:rsid w:val="00012E3B"/>
    <w:rsid w:val="0002598F"/>
    <w:rsid w:val="00087D39"/>
    <w:rsid w:val="000939A1"/>
    <w:rsid w:val="0009717C"/>
    <w:rsid w:val="000A4EF6"/>
    <w:rsid w:val="000A5548"/>
    <w:rsid w:val="000B4A08"/>
    <w:rsid w:val="000D4EB9"/>
    <w:rsid w:val="000D5B86"/>
    <w:rsid w:val="000E4093"/>
    <w:rsid w:val="000F4FCC"/>
    <w:rsid w:val="001004E9"/>
    <w:rsid w:val="001026DD"/>
    <w:rsid w:val="001162D0"/>
    <w:rsid w:val="00141549"/>
    <w:rsid w:val="001815EB"/>
    <w:rsid w:val="00184A93"/>
    <w:rsid w:val="00186095"/>
    <w:rsid w:val="001A3CD7"/>
    <w:rsid w:val="001A6BEC"/>
    <w:rsid w:val="001B0F06"/>
    <w:rsid w:val="001B4B9A"/>
    <w:rsid w:val="001B6C6C"/>
    <w:rsid w:val="00207059"/>
    <w:rsid w:val="00224A72"/>
    <w:rsid w:val="00247738"/>
    <w:rsid w:val="00252483"/>
    <w:rsid w:val="0026197B"/>
    <w:rsid w:val="00276764"/>
    <w:rsid w:val="00293AA3"/>
    <w:rsid w:val="002A0B57"/>
    <w:rsid w:val="002B032F"/>
    <w:rsid w:val="002C3639"/>
    <w:rsid w:val="002C48E2"/>
    <w:rsid w:val="002E2CF9"/>
    <w:rsid w:val="002F5C3B"/>
    <w:rsid w:val="00317DCB"/>
    <w:rsid w:val="00321294"/>
    <w:rsid w:val="00341AEF"/>
    <w:rsid w:val="00347F51"/>
    <w:rsid w:val="00361B4C"/>
    <w:rsid w:val="00377AAA"/>
    <w:rsid w:val="00386C3A"/>
    <w:rsid w:val="00397EE0"/>
    <w:rsid w:val="003A11F5"/>
    <w:rsid w:val="003B281C"/>
    <w:rsid w:val="003B436B"/>
    <w:rsid w:val="003C0886"/>
    <w:rsid w:val="003D0E2C"/>
    <w:rsid w:val="003D645D"/>
    <w:rsid w:val="003D6F34"/>
    <w:rsid w:val="003F32CD"/>
    <w:rsid w:val="004053DB"/>
    <w:rsid w:val="00413FE6"/>
    <w:rsid w:val="00424CA1"/>
    <w:rsid w:val="00430D82"/>
    <w:rsid w:val="004354C2"/>
    <w:rsid w:val="00435FE1"/>
    <w:rsid w:val="004564E2"/>
    <w:rsid w:val="004625DA"/>
    <w:rsid w:val="00470709"/>
    <w:rsid w:val="004726EF"/>
    <w:rsid w:val="00473291"/>
    <w:rsid w:val="0049190D"/>
    <w:rsid w:val="00494C9B"/>
    <w:rsid w:val="00497426"/>
    <w:rsid w:val="004C4312"/>
    <w:rsid w:val="004C5A92"/>
    <w:rsid w:val="004D075E"/>
    <w:rsid w:val="004F62DB"/>
    <w:rsid w:val="00505D4B"/>
    <w:rsid w:val="00507A06"/>
    <w:rsid w:val="00526130"/>
    <w:rsid w:val="0053359C"/>
    <w:rsid w:val="00543DB6"/>
    <w:rsid w:val="00551380"/>
    <w:rsid w:val="00553896"/>
    <w:rsid w:val="005645A3"/>
    <w:rsid w:val="005766FA"/>
    <w:rsid w:val="00585C17"/>
    <w:rsid w:val="005865C1"/>
    <w:rsid w:val="005A3E3F"/>
    <w:rsid w:val="005A4AB5"/>
    <w:rsid w:val="005B021D"/>
    <w:rsid w:val="005B3C26"/>
    <w:rsid w:val="005B5ECD"/>
    <w:rsid w:val="005D22A2"/>
    <w:rsid w:val="005E0D85"/>
    <w:rsid w:val="005E0E9F"/>
    <w:rsid w:val="005F3357"/>
    <w:rsid w:val="00612D18"/>
    <w:rsid w:val="0063404E"/>
    <w:rsid w:val="00646685"/>
    <w:rsid w:val="0064780E"/>
    <w:rsid w:val="006518EA"/>
    <w:rsid w:val="00652B44"/>
    <w:rsid w:val="0065671A"/>
    <w:rsid w:val="00674247"/>
    <w:rsid w:val="00675E5A"/>
    <w:rsid w:val="00686C73"/>
    <w:rsid w:val="00690EEE"/>
    <w:rsid w:val="00697AFA"/>
    <w:rsid w:val="006A3CB9"/>
    <w:rsid w:val="006C33D6"/>
    <w:rsid w:val="006E11CF"/>
    <w:rsid w:val="00704FCF"/>
    <w:rsid w:val="007114EC"/>
    <w:rsid w:val="00717117"/>
    <w:rsid w:val="0072298B"/>
    <w:rsid w:val="00730710"/>
    <w:rsid w:val="007307B1"/>
    <w:rsid w:val="00771912"/>
    <w:rsid w:val="0078724D"/>
    <w:rsid w:val="007A143A"/>
    <w:rsid w:val="007B733F"/>
    <w:rsid w:val="007D0739"/>
    <w:rsid w:val="007D2B01"/>
    <w:rsid w:val="007F071D"/>
    <w:rsid w:val="00816020"/>
    <w:rsid w:val="00823770"/>
    <w:rsid w:val="00825FA1"/>
    <w:rsid w:val="008266E2"/>
    <w:rsid w:val="00830E35"/>
    <w:rsid w:val="0084111C"/>
    <w:rsid w:val="00847261"/>
    <w:rsid w:val="00877D80"/>
    <w:rsid w:val="00880ED9"/>
    <w:rsid w:val="008903F1"/>
    <w:rsid w:val="00891A44"/>
    <w:rsid w:val="00891B4B"/>
    <w:rsid w:val="00894324"/>
    <w:rsid w:val="008B50EE"/>
    <w:rsid w:val="008D092C"/>
    <w:rsid w:val="008E57BA"/>
    <w:rsid w:val="008F2185"/>
    <w:rsid w:val="008F3BA9"/>
    <w:rsid w:val="009150E1"/>
    <w:rsid w:val="009770A0"/>
    <w:rsid w:val="0099631B"/>
    <w:rsid w:val="009A4861"/>
    <w:rsid w:val="009A65CA"/>
    <w:rsid w:val="009A7EAA"/>
    <w:rsid w:val="009B095F"/>
    <w:rsid w:val="009B459B"/>
    <w:rsid w:val="00A01CA3"/>
    <w:rsid w:val="00A116F2"/>
    <w:rsid w:val="00A25B95"/>
    <w:rsid w:val="00A263B3"/>
    <w:rsid w:val="00A412EF"/>
    <w:rsid w:val="00A4230F"/>
    <w:rsid w:val="00A643A3"/>
    <w:rsid w:val="00A73C38"/>
    <w:rsid w:val="00A75AA2"/>
    <w:rsid w:val="00A817AF"/>
    <w:rsid w:val="00A81B2B"/>
    <w:rsid w:val="00A94536"/>
    <w:rsid w:val="00A95041"/>
    <w:rsid w:val="00AA435B"/>
    <w:rsid w:val="00AA66B5"/>
    <w:rsid w:val="00AE3618"/>
    <w:rsid w:val="00AE5E30"/>
    <w:rsid w:val="00B04E6F"/>
    <w:rsid w:val="00B2114C"/>
    <w:rsid w:val="00B36705"/>
    <w:rsid w:val="00B40828"/>
    <w:rsid w:val="00B66234"/>
    <w:rsid w:val="00B777BA"/>
    <w:rsid w:val="00B81822"/>
    <w:rsid w:val="00B94D77"/>
    <w:rsid w:val="00BD2A0D"/>
    <w:rsid w:val="00BE331C"/>
    <w:rsid w:val="00C157B2"/>
    <w:rsid w:val="00C2637B"/>
    <w:rsid w:val="00C5187D"/>
    <w:rsid w:val="00C63E0F"/>
    <w:rsid w:val="00C651B5"/>
    <w:rsid w:val="00C6688E"/>
    <w:rsid w:val="00C66D58"/>
    <w:rsid w:val="00C7306F"/>
    <w:rsid w:val="00C77058"/>
    <w:rsid w:val="00C80EE6"/>
    <w:rsid w:val="00CA5559"/>
    <w:rsid w:val="00CE5607"/>
    <w:rsid w:val="00CF0A87"/>
    <w:rsid w:val="00CF2437"/>
    <w:rsid w:val="00CF2CE8"/>
    <w:rsid w:val="00D05ED6"/>
    <w:rsid w:val="00D07C3B"/>
    <w:rsid w:val="00D31D25"/>
    <w:rsid w:val="00D35FA5"/>
    <w:rsid w:val="00D55F6C"/>
    <w:rsid w:val="00D566F6"/>
    <w:rsid w:val="00D75351"/>
    <w:rsid w:val="00D76BA9"/>
    <w:rsid w:val="00D8266D"/>
    <w:rsid w:val="00D847CF"/>
    <w:rsid w:val="00DB3551"/>
    <w:rsid w:val="00DB3972"/>
    <w:rsid w:val="00DC3DF3"/>
    <w:rsid w:val="00DD2C25"/>
    <w:rsid w:val="00DE7410"/>
    <w:rsid w:val="00E14457"/>
    <w:rsid w:val="00E15F48"/>
    <w:rsid w:val="00E17A61"/>
    <w:rsid w:val="00E20A97"/>
    <w:rsid w:val="00E218C9"/>
    <w:rsid w:val="00E22B7A"/>
    <w:rsid w:val="00E2671F"/>
    <w:rsid w:val="00E3721A"/>
    <w:rsid w:val="00E45E15"/>
    <w:rsid w:val="00E517AB"/>
    <w:rsid w:val="00E66BFA"/>
    <w:rsid w:val="00E85C14"/>
    <w:rsid w:val="00E91F73"/>
    <w:rsid w:val="00E92B02"/>
    <w:rsid w:val="00E92C8B"/>
    <w:rsid w:val="00E94A8C"/>
    <w:rsid w:val="00EA17BF"/>
    <w:rsid w:val="00EA6620"/>
    <w:rsid w:val="00ED50B8"/>
    <w:rsid w:val="00EE096A"/>
    <w:rsid w:val="00EE5AA8"/>
    <w:rsid w:val="00F06B49"/>
    <w:rsid w:val="00F3603D"/>
    <w:rsid w:val="00F507F7"/>
    <w:rsid w:val="00F54F3E"/>
    <w:rsid w:val="00F56273"/>
    <w:rsid w:val="00F56FC4"/>
    <w:rsid w:val="00F65D42"/>
    <w:rsid w:val="00F7699B"/>
    <w:rsid w:val="00FA0F51"/>
    <w:rsid w:val="00FA6CCC"/>
    <w:rsid w:val="00FB4C8F"/>
    <w:rsid w:val="00FC1718"/>
    <w:rsid w:val="00FF0A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6625"/>
    <o:shapelayout v:ext="edit">
      <o:idmap v:ext="edit" data="1"/>
    </o:shapelayout>
  </w:shapeDefaults>
  <w:decimalSymbol w:val="."/>
  <w:listSeparator w:val=","/>
  <w15:docId w15:val="{84610728-66CD-43D8-9BBE-9876F0B5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EEE"/>
    <w:pPr>
      <w:ind w:left="720"/>
      <w:contextualSpacing/>
    </w:pPr>
  </w:style>
  <w:style w:type="paragraph" w:styleId="Header">
    <w:name w:val="header"/>
    <w:basedOn w:val="Normal"/>
    <w:link w:val="HeaderChar"/>
    <w:unhideWhenUsed/>
    <w:rsid w:val="002A0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B57"/>
  </w:style>
  <w:style w:type="paragraph" w:styleId="Footer">
    <w:name w:val="footer"/>
    <w:basedOn w:val="Normal"/>
    <w:link w:val="FooterChar"/>
    <w:unhideWhenUsed/>
    <w:rsid w:val="002A0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B57"/>
  </w:style>
  <w:style w:type="paragraph" w:styleId="FootnoteText">
    <w:name w:val="footnote text"/>
    <w:basedOn w:val="Normal"/>
    <w:link w:val="FootnoteTextChar"/>
    <w:uiPriority w:val="99"/>
    <w:semiHidden/>
    <w:unhideWhenUsed/>
    <w:rsid w:val="00543D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DB6"/>
    <w:rPr>
      <w:sz w:val="20"/>
      <w:szCs w:val="20"/>
    </w:rPr>
  </w:style>
  <w:style w:type="character" w:styleId="FootnoteReference">
    <w:name w:val="footnote reference"/>
    <w:basedOn w:val="DefaultParagraphFont"/>
    <w:uiPriority w:val="99"/>
    <w:semiHidden/>
    <w:unhideWhenUsed/>
    <w:rsid w:val="00543DB6"/>
    <w:rPr>
      <w:vertAlign w:val="superscript"/>
    </w:rPr>
  </w:style>
  <w:style w:type="paragraph" w:styleId="BalloonText">
    <w:name w:val="Balloon Text"/>
    <w:basedOn w:val="Normal"/>
    <w:link w:val="BalloonTextChar"/>
    <w:uiPriority w:val="99"/>
    <w:semiHidden/>
    <w:unhideWhenUsed/>
    <w:rsid w:val="00C66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EFF57-92D6-4DAC-818B-BE4881AE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18B8450F</Template>
  <TotalTime>1</TotalTime>
  <Pages>4</Pages>
  <Words>1115</Words>
  <Characters>6360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Helen Bannerman</cp:lastModifiedBy>
  <cp:revision>2</cp:revision>
  <cp:lastPrinted>2018-07-24T04:17:00Z</cp:lastPrinted>
  <dcterms:created xsi:type="dcterms:W3CDTF">2019-01-17T06:19:00Z</dcterms:created>
  <dcterms:modified xsi:type="dcterms:W3CDTF">2019-01-17T06:19:00Z</dcterms:modified>
</cp:coreProperties>
</file>