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EF75" w14:textId="77777777" w:rsidR="002B6725" w:rsidRPr="00C60E53" w:rsidRDefault="002B6725" w:rsidP="002B6725">
      <w:r w:rsidRPr="00C60E53">
        <w:t xml:space="preserve">IN THE HIGH COURT OF AUSTRALIA   </w:t>
      </w:r>
    </w:p>
    <w:p w14:paraId="7DEE51F6" w14:textId="1029A441" w:rsidR="002B6725" w:rsidRPr="00C60E53" w:rsidRDefault="00244BBF" w:rsidP="002B6725">
      <w:pPr>
        <w:tabs>
          <w:tab w:val="right" w:pos="9071"/>
        </w:tabs>
      </w:pPr>
      <w:r>
        <w:t>BRISBANE</w:t>
      </w:r>
      <w:r w:rsidR="002B6725" w:rsidRPr="00C60E53">
        <w:t xml:space="preserve"> REGISTRY</w:t>
      </w:r>
    </w:p>
    <w:p w14:paraId="3ACB5150" w14:textId="77777777" w:rsidR="002B6725" w:rsidRPr="00C60E53" w:rsidRDefault="002B6725" w:rsidP="002B6725"/>
    <w:p w14:paraId="24FB4926" w14:textId="77777777" w:rsidR="002B6725" w:rsidRDefault="002B6725" w:rsidP="002B6725">
      <w:pPr>
        <w:tabs>
          <w:tab w:val="right" w:pos="9071"/>
        </w:tabs>
      </w:pPr>
    </w:p>
    <w:p w14:paraId="5731FD89" w14:textId="3A365A5F" w:rsidR="002B6725" w:rsidRPr="00244BBF" w:rsidRDefault="002B6725" w:rsidP="002B6725">
      <w:pPr>
        <w:tabs>
          <w:tab w:val="right" w:pos="9071"/>
        </w:tabs>
        <w:rPr>
          <w:b/>
          <w:bCs/>
        </w:rPr>
      </w:pPr>
      <w:r w:rsidRPr="00C60E53">
        <w:t>BETWEEN:</w:t>
      </w:r>
      <w:r w:rsidRPr="00C60E53">
        <w:tab/>
      </w:r>
      <w:r w:rsidR="00244BBF" w:rsidRPr="00244BBF">
        <w:rPr>
          <w:b/>
          <w:bCs/>
        </w:rPr>
        <w:t>RACHEL SMITH</w:t>
      </w:r>
    </w:p>
    <w:p w14:paraId="33D85C98" w14:textId="77777777" w:rsidR="002B6725" w:rsidRPr="00C60E53" w:rsidRDefault="002B6725" w:rsidP="002B6725">
      <w:pPr>
        <w:tabs>
          <w:tab w:val="right" w:pos="9071"/>
        </w:tabs>
      </w:pPr>
      <w:r w:rsidRPr="00C60E53">
        <w:tab/>
        <w:t>Applicant</w:t>
      </w:r>
    </w:p>
    <w:p w14:paraId="0E64F54F" w14:textId="77777777" w:rsidR="002B6725" w:rsidRDefault="002B6725" w:rsidP="002B6725">
      <w:pPr>
        <w:tabs>
          <w:tab w:val="right" w:pos="9071"/>
        </w:tabs>
      </w:pPr>
    </w:p>
    <w:p w14:paraId="39CFC150" w14:textId="77777777" w:rsidR="002B6725" w:rsidRPr="00C60E53" w:rsidRDefault="002B6725" w:rsidP="002B6725">
      <w:pPr>
        <w:tabs>
          <w:tab w:val="right" w:pos="9071"/>
        </w:tabs>
      </w:pPr>
      <w:r w:rsidRPr="00C60E53">
        <w:tab/>
        <w:t>and</w:t>
      </w:r>
    </w:p>
    <w:p w14:paraId="7237E49D" w14:textId="77777777" w:rsidR="002B6725" w:rsidRDefault="002B6725" w:rsidP="002B6725">
      <w:pPr>
        <w:tabs>
          <w:tab w:val="right" w:pos="9071"/>
        </w:tabs>
      </w:pPr>
    </w:p>
    <w:p w14:paraId="6F1136B2" w14:textId="4A8C7887" w:rsidR="002B6725" w:rsidRPr="000D3C88" w:rsidRDefault="002B6725" w:rsidP="002B6725">
      <w:pPr>
        <w:tabs>
          <w:tab w:val="right" w:pos="9071"/>
        </w:tabs>
        <w:rPr>
          <w:b/>
          <w:bCs/>
        </w:rPr>
      </w:pPr>
      <w:r w:rsidRPr="00C60E53">
        <w:tab/>
      </w:r>
      <w:r w:rsidR="00244BBF" w:rsidRPr="000D3C88">
        <w:rPr>
          <w:b/>
          <w:bCs/>
        </w:rPr>
        <w:t>CHIEF EXECUTIVE, QUEENSLNAD CORRECTIVE SERVICES</w:t>
      </w:r>
    </w:p>
    <w:p w14:paraId="026C4D7E" w14:textId="42D6B64D" w:rsidR="002B6725" w:rsidRDefault="002B6725" w:rsidP="002B6725">
      <w:pPr>
        <w:tabs>
          <w:tab w:val="right" w:pos="9071"/>
        </w:tabs>
      </w:pPr>
      <w:r w:rsidRPr="00C60E53">
        <w:tab/>
      </w:r>
      <w:r w:rsidR="00244BBF">
        <w:t xml:space="preserve">First </w:t>
      </w:r>
      <w:r w:rsidRPr="00C60E53">
        <w:t>Respondent</w:t>
      </w:r>
    </w:p>
    <w:p w14:paraId="5A2E5FEC" w14:textId="77777777" w:rsidR="00244BBF" w:rsidRDefault="00244BBF" w:rsidP="002B6725">
      <w:pPr>
        <w:tabs>
          <w:tab w:val="right" w:pos="9071"/>
        </w:tabs>
      </w:pPr>
    </w:p>
    <w:p w14:paraId="2BF1AF9C" w14:textId="549924D5" w:rsidR="00390FA9" w:rsidRDefault="000D3C88" w:rsidP="00390FA9">
      <w:pPr>
        <w:tabs>
          <w:tab w:val="right" w:pos="9071"/>
        </w:tabs>
        <w:jc w:val="right"/>
      </w:pPr>
      <w:r>
        <w:t>a</w:t>
      </w:r>
      <w:r w:rsidR="00390FA9">
        <w:t>nd</w:t>
      </w:r>
    </w:p>
    <w:p w14:paraId="534A48B8" w14:textId="77777777" w:rsidR="00390FA9" w:rsidRDefault="00390FA9" w:rsidP="00390FA9">
      <w:pPr>
        <w:tabs>
          <w:tab w:val="right" w:pos="9071"/>
        </w:tabs>
        <w:jc w:val="right"/>
      </w:pPr>
    </w:p>
    <w:p w14:paraId="5047C536" w14:textId="5CC01B9D" w:rsidR="00390FA9" w:rsidRPr="000D3C88" w:rsidRDefault="00390FA9" w:rsidP="00390FA9">
      <w:pPr>
        <w:tabs>
          <w:tab w:val="right" w:pos="9071"/>
        </w:tabs>
        <w:jc w:val="right"/>
        <w:rPr>
          <w:b/>
          <w:bCs/>
        </w:rPr>
      </w:pPr>
      <w:r w:rsidRPr="000D3C88">
        <w:rPr>
          <w:b/>
          <w:bCs/>
        </w:rPr>
        <w:t>ATTORNEY-GENERAL FOR THE STATE OF QUEENSLAND</w:t>
      </w:r>
    </w:p>
    <w:p w14:paraId="2DB94463" w14:textId="41959590" w:rsidR="00390FA9" w:rsidRDefault="00390FA9" w:rsidP="00390FA9">
      <w:pPr>
        <w:tabs>
          <w:tab w:val="right" w:pos="9071"/>
        </w:tabs>
        <w:jc w:val="right"/>
      </w:pPr>
      <w:r>
        <w:t xml:space="preserve">Second Respondent </w:t>
      </w:r>
    </w:p>
    <w:p w14:paraId="29F44D02" w14:textId="77777777" w:rsidR="00390FA9" w:rsidRDefault="00390FA9" w:rsidP="00390FA9">
      <w:pPr>
        <w:tabs>
          <w:tab w:val="right" w:pos="9071"/>
        </w:tabs>
        <w:jc w:val="right"/>
      </w:pPr>
    </w:p>
    <w:p w14:paraId="1FDB5605" w14:textId="300D60D4" w:rsidR="00390FA9" w:rsidRDefault="000D3C88" w:rsidP="00390FA9">
      <w:pPr>
        <w:tabs>
          <w:tab w:val="right" w:pos="9071"/>
        </w:tabs>
        <w:jc w:val="right"/>
      </w:pPr>
      <w:r>
        <w:t>a</w:t>
      </w:r>
      <w:r w:rsidR="00390FA9">
        <w:t>nd</w:t>
      </w:r>
    </w:p>
    <w:p w14:paraId="28577F3A" w14:textId="77777777" w:rsidR="00390FA9" w:rsidRDefault="00390FA9" w:rsidP="00390FA9">
      <w:pPr>
        <w:tabs>
          <w:tab w:val="right" w:pos="9071"/>
        </w:tabs>
        <w:jc w:val="right"/>
      </w:pPr>
    </w:p>
    <w:p w14:paraId="2BF8EB79" w14:textId="00475179" w:rsidR="00390FA9" w:rsidRPr="000D3C88" w:rsidRDefault="00390FA9" w:rsidP="00390FA9">
      <w:pPr>
        <w:tabs>
          <w:tab w:val="right" w:pos="9071"/>
        </w:tabs>
        <w:jc w:val="right"/>
        <w:rPr>
          <w:b/>
          <w:bCs/>
        </w:rPr>
      </w:pPr>
      <w:r w:rsidRPr="000D3C88">
        <w:rPr>
          <w:b/>
          <w:bCs/>
        </w:rPr>
        <w:t>QUEENSLAND HUMAN RIGHTS COMMISSION</w:t>
      </w:r>
    </w:p>
    <w:p w14:paraId="57AEC301" w14:textId="774F7C24" w:rsidR="00390FA9" w:rsidRPr="00C60E53" w:rsidRDefault="00390FA9" w:rsidP="00390FA9">
      <w:pPr>
        <w:tabs>
          <w:tab w:val="right" w:pos="9071"/>
        </w:tabs>
        <w:jc w:val="right"/>
      </w:pPr>
      <w:r>
        <w:t xml:space="preserve">Third Respondent </w:t>
      </w:r>
    </w:p>
    <w:p w14:paraId="0FE593F2" w14:textId="77777777" w:rsidR="002B6725" w:rsidRDefault="002B6725" w:rsidP="002B6725"/>
    <w:p w14:paraId="75697518" w14:textId="77777777" w:rsidR="002B6725" w:rsidRPr="00C60E53" w:rsidRDefault="002B6725" w:rsidP="002B6725"/>
    <w:p w14:paraId="69BE03D1" w14:textId="0BD30936" w:rsidR="002B6725" w:rsidRPr="0015086D" w:rsidRDefault="002B6725" w:rsidP="002B6725">
      <w:pPr>
        <w:jc w:val="center"/>
        <w:rPr>
          <w:b/>
        </w:rPr>
      </w:pPr>
      <w:r w:rsidRPr="0015086D">
        <w:rPr>
          <w:b/>
        </w:rPr>
        <w:t>RESPONSE</w:t>
      </w:r>
      <w:r w:rsidR="00096638">
        <w:rPr>
          <w:b/>
        </w:rPr>
        <w:t xml:space="preserve"> OF THE THIRD RESPONDENT</w:t>
      </w:r>
    </w:p>
    <w:p w14:paraId="39A54A8F" w14:textId="77777777" w:rsidR="002B6725" w:rsidRDefault="002B6725" w:rsidP="002B6725"/>
    <w:p w14:paraId="79F42B16" w14:textId="0A94F546" w:rsidR="002B6725" w:rsidRDefault="002B6725" w:rsidP="009E23F7">
      <w:pPr>
        <w:tabs>
          <w:tab w:val="left" w:pos="1418"/>
        </w:tabs>
        <w:spacing w:before="120" w:after="240" w:line="360" w:lineRule="auto"/>
        <w:ind w:left="1418" w:hanging="1418"/>
      </w:pPr>
      <w:r w:rsidRPr="00CB325E">
        <w:rPr>
          <w:b/>
          <w:bCs/>
        </w:rPr>
        <w:t>Part I</w:t>
      </w:r>
      <w:r w:rsidRPr="007E3B93">
        <w:rPr>
          <w:b/>
          <w:bCs/>
        </w:rPr>
        <w:t>:</w:t>
      </w:r>
      <w:r>
        <w:rPr>
          <w:b/>
          <w:bCs/>
        </w:rPr>
        <w:tab/>
      </w:r>
      <w:r w:rsidR="00705C41" w:rsidRPr="00705C41">
        <w:rPr>
          <w:b/>
          <w:bCs/>
        </w:rPr>
        <w:t>S</w:t>
      </w:r>
      <w:r w:rsidRPr="00705C41">
        <w:rPr>
          <w:b/>
          <w:bCs/>
        </w:rPr>
        <w:t>pecial leave should</w:t>
      </w:r>
      <w:r w:rsidR="00705C41" w:rsidRPr="00705C41">
        <w:rPr>
          <w:b/>
          <w:bCs/>
        </w:rPr>
        <w:t xml:space="preserve"> </w:t>
      </w:r>
      <w:r w:rsidRPr="00705C41">
        <w:rPr>
          <w:b/>
          <w:bCs/>
        </w:rPr>
        <w:t>be granted</w:t>
      </w:r>
    </w:p>
    <w:p w14:paraId="2725E2BB" w14:textId="4AFD5AB3" w:rsidR="002B6725" w:rsidRPr="00543545" w:rsidRDefault="00543545" w:rsidP="00BC40F9">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BC40F9">
        <w:rPr>
          <w:rFonts w:ascii="Times New Roman" w:hAnsi="Times New Roman" w:cs="Times New Roman"/>
          <w:sz w:val="24"/>
          <w:szCs w:val="24"/>
        </w:rPr>
        <w:t>The Third Respondent</w:t>
      </w:r>
      <w:r>
        <w:rPr>
          <w:rFonts w:ascii="Times New Roman" w:hAnsi="Times New Roman" w:cs="Times New Roman"/>
          <w:sz w:val="24"/>
          <w:szCs w:val="24"/>
        </w:rPr>
        <w:t xml:space="preserve">, the Queensland Human Rights </w:t>
      </w:r>
      <w:r w:rsidRPr="00B941C1">
        <w:rPr>
          <w:rFonts w:ascii="Times New Roman" w:hAnsi="Times New Roman" w:cs="Times New Roman"/>
          <w:b/>
          <w:bCs/>
          <w:sz w:val="24"/>
          <w:szCs w:val="24"/>
        </w:rPr>
        <w:t>Commission</w:t>
      </w:r>
      <w:r>
        <w:rPr>
          <w:rFonts w:ascii="Times New Roman" w:hAnsi="Times New Roman" w:cs="Times New Roman"/>
          <w:sz w:val="24"/>
          <w:szCs w:val="24"/>
        </w:rPr>
        <w:t xml:space="preserve">, supports the </w:t>
      </w:r>
      <w:r w:rsidRPr="00E22EE7">
        <w:rPr>
          <w:rFonts w:ascii="Times New Roman" w:hAnsi="Times New Roman" w:cs="Times New Roman"/>
          <w:b/>
          <w:bCs/>
          <w:sz w:val="24"/>
          <w:szCs w:val="24"/>
        </w:rPr>
        <w:t>A</w:t>
      </w:r>
      <w:r>
        <w:rPr>
          <w:rFonts w:ascii="Times New Roman" w:hAnsi="Times New Roman" w:cs="Times New Roman"/>
          <w:sz w:val="24"/>
          <w:szCs w:val="24"/>
        </w:rPr>
        <w:t>pplication for Special Leave to Appea</w:t>
      </w:r>
      <w:r w:rsidR="00E22EE7">
        <w:rPr>
          <w:rFonts w:ascii="Times New Roman" w:hAnsi="Times New Roman" w:cs="Times New Roman"/>
          <w:sz w:val="24"/>
          <w:szCs w:val="24"/>
        </w:rPr>
        <w:t>l</w:t>
      </w:r>
      <w:r w:rsidR="000D5E87">
        <w:rPr>
          <w:rFonts w:ascii="Times New Roman" w:hAnsi="Times New Roman" w:cs="Times New Roman"/>
          <w:sz w:val="24"/>
          <w:szCs w:val="24"/>
        </w:rPr>
        <w:t xml:space="preserve"> for the reasons stated at </w:t>
      </w:r>
      <w:proofErr w:type="gramStart"/>
      <w:r w:rsidR="000D5E87">
        <w:rPr>
          <w:rFonts w:ascii="Times New Roman" w:hAnsi="Times New Roman" w:cs="Times New Roman"/>
          <w:sz w:val="24"/>
          <w:szCs w:val="24"/>
        </w:rPr>
        <w:t>A</w:t>
      </w:r>
      <w:r w:rsidR="00A647D0">
        <w:rPr>
          <w:rFonts w:ascii="Times New Roman" w:hAnsi="Times New Roman" w:cs="Times New Roman"/>
          <w:sz w:val="24"/>
          <w:szCs w:val="24"/>
        </w:rPr>
        <w:t>[</w:t>
      </w:r>
      <w:proofErr w:type="gramEnd"/>
      <w:r w:rsidR="00A647D0">
        <w:rPr>
          <w:rFonts w:ascii="Times New Roman" w:hAnsi="Times New Roman" w:cs="Times New Roman"/>
          <w:sz w:val="24"/>
          <w:szCs w:val="24"/>
        </w:rPr>
        <w:t xml:space="preserve">27]-[32] and </w:t>
      </w:r>
      <w:r w:rsidR="00AF5657">
        <w:rPr>
          <w:rFonts w:ascii="Times New Roman" w:hAnsi="Times New Roman" w:cs="Times New Roman"/>
          <w:sz w:val="24"/>
          <w:szCs w:val="24"/>
        </w:rPr>
        <w:t xml:space="preserve">in paragraphs </w:t>
      </w:r>
      <w:r w:rsidR="00AF5657">
        <w:rPr>
          <w:rFonts w:ascii="Times New Roman" w:hAnsi="Times New Roman" w:cs="Times New Roman"/>
          <w:sz w:val="24"/>
          <w:szCs w:val="24"/>
        </w:rPr>
        <w:fldChar w:fldCharType="begin"/>
      </w:r>
      <w:r w:rsidR="00AF5657">
        <w:rPr>
          <w:rFonts w:ascii="Times New Roman" w:hAnsi="Times New Roman" w:cs="Times New Roman"/>
          <w:sz w:val="24"/>
          <w:szCs w:val="24"/>
        </w:rPr>
        <w:instrText xml:space="preserve"> REF _Ref234237288 \r \h </w:instrText>
      </w:r>
      <w:r w:rsidR="00AF5657">
        <w:rPr>
          <w:rFonts w:ascii="Times New Roman" w:hAnsi="Times New Roman" w:cs="Times New Roman"/>
          <w:sz w:val="24"/>
          <w:szCs w:val="24"/>
        </w:rPr>
      </w:r>
      <w:r w:rsidR="00AF5657">
        <w:rPr>
          <w:rFonts w:ascii="Times New Roman" w:hAnsi="Times New Roman" w:cs="Times New Roman"/>
          <w:sz w:val="24"/>
          <w:szCs w:val="24"/>
        </w:rPr>
        <w:fldChar w:fldCharType="separate"/>
      </w:r>
      <w:r w:rsidR="00C976AC">
        <w:rPr>
          <w:rFonts w:ascii="Times New Roman" w:hAnsi="Times New Roman" w:cs="Times New Roman"/>
          <w:sz w:val="24"/>
          <w:szCs w:val="24"/>
        </w:rPr>
        <w:t>5</w:t>
      </w:r>
      <w:r w:rsidR="00AF5657">
        <w:rPr>
          <w:rFonts w:ascii="Times New Roman" w:hAnsi="Times New Roman" w:cs="Times New Roman"/>
          <w:sz w:val="24"/>
          <w:szCs w:val="24"/>
        </w:rPr>
        <w:fldChar w:fldCharType="end"/>
      </w:r>
      <w:r w:rsidR="00AF5657">
        <w:rPr>
          <w:rFonts w:ascii="Times New Roman" w:hAnsi="Times New Roman" w:cs="Times New Roman"/>
          <w:sz w:val="24"/>
          <w:szCs w:val="24"/>
        </w:rPr>
        <w:t xml:space="preserve"> and </w:t>
      </w:r>
      <w:r w:rsidR="00AF5657">
        <w:rPr>
          <w:rFonts w:ascii="Times New Roman" w:hAnsi="Times New Roman" w:cs="Times New Roman"/>
          <w:sz w:val="24"/>
          <w:szCs w:val="24"/>
        </w:rPr>
        <w:fldChar w:fldCharType="begin"/>
      </w:r>
      <w:r w:rsidR="00AF5657">
        <w:rPr>
          <w:rFonts w:ascii="Times New Roman" w:hAnsi="Times New Roman" w:cs="Times New Roman"/>
          <w:sz w:val="24"/>
          <w:szCs w:val="24"/>
        </w:rPr>
        <w:instrText xml:space="preserve"> REF _Ref234237289 \r \h </w:instrText>
      </w:r>
      <w:r w:rsidR="00AF5657">
        <w:rPr>
          <w:rFonts w:ascii="Times New Roman" w:hAnsi="Times New Roman" w:cs="Times New Roman"/>
          <w:sz w:val="24"/>
          <w:szCs w:val="24"/>
        </w:rPr>
      </w:r>
      <w:r w:rsidR="00AF5657">
        <w:rPr>
          <w:rFonts w:ascii="Times New Roman" w:hAnsi="Times New Roman" w:cs="Times New Roman"/>
          <w:sz w:val="24"/>
          <w:szCs w:val="24"/>
        </w:rPr>
        <w:fldChar w:fldCharType="separate"/>
      </w:r>
      <w:r w:rsidR="00C976AC">
        <w:rPr>
          <w:rFonts w:ascii="Times New Roman" w:hAnsi="Times New Roman" w:cs="Times New Roman"/>
          <w:sz w:val="24"/>
          <w:szCs w:val="24"/>
        </w:rPr>
        <w:t>6</w:t>
      </w:r>
      <w:r w:rsidR="00AF5657">
        <w:rPr>
          <w:rFonts w:ascii="Times New Roman" w:hAnsi="Times New Roman" w:cs="Times New Roman"/>
          <w:sz w:val="24"/>
          <w:szCs w:val="24"/>
        </w:rPr>
        <w:fldChar w:fldCharType="end"/>
      </w:r>
      <w:r w:rsidR="00AF5657">
        <w:rPr>
          <w:rFonts w:ascii="Times New Roman" w:hAnsi="Times New Roman" w:cs="Times New Roman"/>
          <w:sz w:val="24"/>
          <w:szCs w:val="24"/>
        </w:rPr>
        <w:t xml:space="preserve"> below</w:t>
      </w:r>
      <w:r w:rsidR="00A74284">
        <w:rPr>
          <w:rFonts w:ascii="Times New Roman" w:hAnsi="Times New Roman" w:cs="Times New Roman"/>
          <w:sz w:val="24"/>
          <w:szCs w:val="24"/>
        </w:rPr>
        <w:t xml:space="preserve"> (ground 1) and </w:t>
      </w:r>
      <w:proofErr w:type="gramStart"/>
      <w:r w:rsidR="00A74284">
        <w:rPr>
          <w:rFonts w:ascii="Times New Roman" w:hAnsi="Times New Roman" w:cs="Times New Roman"/>
          <w:sz w:val="24"/>
          <w:szCs w:val="24"/>
        </w:rPr>
        <w:t>A[</w:t>
      </w:r>
      <w:proofErr w:type="gramEnd"/>
      <w:r w:rsidR="00A74284">
        <w:rPr>
          <w:rFonts w:ascii="Times New Roman" w:hAnsi="Times New Roman" w:cs="Times New Roman"/>
          <w:sz w:val="24"/>
          <w:szCs w:val="24"/>
        </w:rPr>
        <w:t xml:space="preserve">33]-[35] and paragraphs </w:t>
      </w:r>
      <w:r w:rsidR="00A74284">
        <w:rPr>
          <w:rFonts w:ascii="Times New Roman" w:hAnsi="Times New Roman" w:cs="Times New Roman"/>
          <w:sz w:val="24"/>
          <w:szCs w:val="24"/>
        </w:rPr>
        <w:fldChar w:fldCharType="begin"/>
      </w:r>
      <w:r w:rsidR="00A74284">
        <w:rPr>
          <w:rFonts w:ascii="Times New Roman" w:hAnsi="Times New Roman" w:cs="Times New Roman"/>
          <w:sz w:val="24"/>
          <w:szCs w:val="24"/>
        </w:rPr>
        <w:instrText xml:space="preserve"> REF _Ref234238085 \r \h </w:instrText>
      </w:r>
      <w:r w:rsidR="00A74284">
        <w:rPr>
          <w:rFonts w:ascii="Times New Roman" w:hAnsi="Times New Roman" w:cs="Times New Roman"/>
          <w:sz w:val="24"/>
          <w:szCs w:val="24"/>
        </w:rPr>
      </w:r>
      <w:r w:rsidR="00A74284">
        <w:rPr>
          <w:rFonts w:ascii="Times New Roman" w:hAnsi="Times New Roman" w:cs="Times New Roman"/>
          <w:sz w:val="24"/>
          <w:szCs w:val="24"/>
        </w:rPr>
        <w:fldChar w:fldCharType="separate"/>
      </w:r>
      <w:r w:rsidR="00C976AC">
        <w:rPr>
          <w:rFonts w:ascii="Times New Roman" w:hAnsi="Times New Roman" w:cs="Times New Roman"/>
          <w:sz w:val="24"/>
          <w:szCs w:val="24"/>
        </w:rPr>
        <w:t>7</w:t>
      </w:r>
      <w:r w:rsidR="00A74284">
        <w:rPr>
          <w:rFonts w:ascii="Times New Roman" w:hAnsi="Times New Roman" w:cs="Times New Roman"/>
          <w:sz w:val="24"/>
          <w:szCs w:val="24"/>
        </w:rPr>
        <w:fldChar w:fldCharType="end"/>
      </w:r>
      <w:r w:rsidR="00A74284">
        <w:rPr>
          <w:rFonts w:ascii="Times New Roman" w:hAnsi="Times New Roman" w:cs="Times New Roman"/>
          <w:sz w:val="24"/>
          <w:szCs w:val="24"/>
        </w:rPr>
        <w:t xml:space="preserve"> to </w:t>
      </w:r>
      <w:r w:rsidR="00A74284">
        <w:rPr>
          <w:rFonts w:ascii="Times New Roman" w:hAnsi="Times New Roman" w:cs="Times New Roman"/>
          <w:sz w:val="24"/>
          <w:szCs w:val="24"/>
        </w:rPr>
        <w:fldChar w:fldCharType="begin"/>
      </w:r>
      <w:r w:rsidR="00A74284">
        <w:rPr>
          <w:rFonts w:ascii="Times New Roman" w:hAnsi="Times New Roman" w:cs="Times New Roman"/>
          <w:sz w:val="24"/>
          <w:szCs w:val="24"/>
        </w:rPr>
        <w:instrText xml:space="preserve"> REF _Ref234235459 \r \h </w:instrText>
      </w:r>
      <w:r w:rsidR="00A74284">
        <w:rPr>
          <w:rFonts w:ascii="Times New Roman" w:hAnsi="Times New Roman" w:cs="Times New Roman"/>
          <w:sz w:val="24"/>
          <w:szCs w:val="24"/>
        </w:rPr>
      </w:r>
      <w:r w:rsidR="00A74284">
        <w:rPr>
          <w:rFonts w:ascii="Times New Roman" w:hAnsi="Times New Roman" w:cs="Times New Roman"/>
          <w:sz w:val="24"/>
          <w:szCs w:val="24"/>
        </w:rPr>
        <w:fldChar w:fldCharType="separate"/>
      </w:r>
      <w:r w:rsidR="00C976AC">
        <w:rPr>
          <w:rFonts w:ascii="Times New Roman" w:hAnsi="Times New Roman" w:cs="Times New Roman"/>
          <w:sz w:val="24"/>
          <w:szCs w:val="24"/>
        </w:rPr>
        <w:t>31</w:t>
      </w:r>
      <w:r w:rsidR="00A74284">
        <w:rPr>
          <w:rFonts w:ascii="Times New Roman" w:hAnsi="Times New Roman" w:cs="Times New Roman"/>
          <w:sz w:val="24"/>
          <w:szCs w:val="24"/>
        </w:rPr>
        <w:fldChar w:fldCharType="end"/>
      </w:r>
      <w:r w:rsidR="00A74284">
        <w:rPr>
          <w:rFonts w:ascii="Times New Roman" w:hAnsi="Times New Roman" w:cs="Times New Roman"/>
          <w:sz w:val="24"/>
          <w:szCs w:val="24"/>
        </w:rPr>
        <w:t xml:space="preserve"> below (ground 2).</w:t>
      </w:r>
    </w:p>
    <w:p w14:paraId="7377DD99" w14:textId="3B0342E6" w:rsidR="002B6725" w:rsidRDefault="002B6725" w:rsidP="009E23F7">
      <w:pPr>
        <w:tabs>
          <w:tab w:val="left" w:pos="1418"/>
        </w:tabs>
        <w:spacing w:before="120" w:after="240" w:line="360" w:lineRule="auto"/>
        <w:ind w:left="1418" w:hanging="1418"/>
        <w:rPr>
          <w:b/>
          <w:bCs/>
        </w:rPr>
      </w:pPr>
      <w:r>
        <w:rPr>
          <w:b/>
          <w:bCs/>
        </w:rPr>
        <w:t>Part II:</w:t>
      </w:r>
      <w:r>
        <w:rPr>
          <w:b/>
          <w:bCs/>
        </w:rPr>
        <w:tab/>
      </w:r>
      <w:r w:rsidR="00705C41" w:rsidRPr="00705C41">
        <w:rPr>
          <w:b/>
          <w:bCs/>
        </w:rPr>
        <w:t>Facts</w:t>
      </w:r>
    </w:p>
    <w:p w14:paraId="7CDA7BFB" w14:textId="6C60E7EB" w:rsidR="00705C41" w:rsidRDefault="005C5F54" w:rsidP="00BC40F9">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BC40F9">
        <w:rPr>
          <w:rFonts w:ascii="Times New Roman" w:hAnsi="Times New Roman" w:cs="Times New Roman"/>
          <w:sz w:val="24"/>
          <w:szCs w:val="24"/>
        </w:rPr>
        <w:t>Th</w:t>
      </w:r>
      <w:r w:rsidR="00C3658E" w:rsidRPr="00BC40F9">
        <w:rPr>
          <w:rFonts w:ascii="Times New Roman" w:hAnsi="Times New Roman" w:cs="Times New Roman"/>
          <w:sz w:val="24"/>
          <w:szCs w:val="24"/>
        </w:rPr>
        <w:t>e</w:t>
      </w:r>
      <w:r w:rsidRPr="00BC40F9">
        <w:rPr>
          <w:rFonts w:ascii="Times New Roman" w:hAnsi="Times New Roman" w:cs="Times New Roman"/>
          <w:sz w:val="24"/>
          <w:szCs w:val="24"/>
        </w:rPr>
        <w:t xml:space="preserve"> </w:t>
      </w:r>
      <w:r w:rsidR="00B941C1" w:rsidRPr="00543545">
        <w:rPr>
          <w:rFonts w:ascii="Times New Roman" w:hAnsi="Times New Roman" w:cs="Times New Roman"/>
          <w:sz w:val="24"/>
          <w:szCs w:val="24"/>
        </w:rPr>
        <w:t>Commission</w:t>
      </w:r>
      <w:r w:rsidR="007E517E" w:rsidRPr="00BC40F9">
        <w:rPr>
          <w:rFonts w:ascii="Times New Roman" w:hAnsi="Times New Roman" w:cs="Times New Roman"/>
          <w:sz w:val="24"/>
          <w:szCs w:val="24"/>
        </w:rPr>
        <w:t xml:space="preserve"> agrees with </w:t>
      </w:r>
      <w:r w:rsidR="00C3658E" w:rsidRPr="00BC40F9">
        <w:rPr>
          <w:rFonts w:ascii="Times New Roman" w:hAnsi="Times New Roman" w:cs="Times New Roman"/>
          <w:sz w:val="24"/>
          <w:szCs w:val="24"/>
        </w:rPr>
        <w:t xml:space="preserve">the summary at </w:t>
      </w:r>
      <w:proofErr w:type="gramStart"/>
      <w:r w:rsidR="007E517E" w:rsidRPr="00E22EE7">
        <w:rPr>
          <w:rFonts w:ascii="Times New Roman" w:hAnsi="Times New Roman" w:cs="Times New Roman"/>
          <w:sz w:val="24"/>
          <w:szCs w:val="24"/>
        </w:rPr>
        <w:t>A</w:t>
      </w:r>
      <w:r w:rsidR="007E517E" w:rsidRPr="00BC40F9">
        <w:rPr>
          <w:rFonts w:ascii="Times New Roman" w:hAnsi="Times New Roman" w:cs="Times New Roman"/>
          <w:sz w:val="24"/>
          <w:szCs w:val="24"/>
        </w:rPr>
        <w:t>[</w:t>
      </w:r>
      <w:proofErr w:type="gramEnd"/>
      <w:r w:rsidR="007E517E" w:rsidRPr="00BC40F9">
        <w:rPr>
          <w:rFonts w:ascii="Times New Roman" w:hAnsi="Times New Roman" w:cs="Times New Roman"/>
          <w:sz w:val="24"/>
          <w:szCs w:val="24"/>
        </w:rPr>
        <w:t>10]-[</w:t>
      </w:r>
      <w:r w:rsidR="00C3658E" w:rsidRPr="00BC40F9">
        <w:rPr>
          <w:rFonts w:ascii="Times New Roman" w:hAnsi="Times New Roman" w:cs="Times New Roman"/>
          <w:sz w:val="24"/>
          <w:szCs w:val="24"/>
        </w:rPr>
        <w:t>25].</w:t>
      </w:r>
    </w:p>
    <w:p w14:paraId="0388863B" w14:textId="36948331" w:rsidR="00BC40F9" w:rsidRPr="00BC40F9" w:rsidRDefault="002865D0" w:rsidP="00BC40F9">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Pr>
          <w:rFonts w:ascii="Times New Roman" w:hAnsi="Times New Roman" w:cs="Times New Roman"/>
          <w:sz w:val="24"/>
          <w:szCs w:val="24"/>
        </w:rPr>
        <w:t>It is also relevant for the human rights analysis</w:t>
      </w:r>
      <w:r w:rsidR="001A663F">
        <w:rPr>
          <w:rFonts w:ascii="Times New Roman" w:hAnsi="Times New Roman" w:cs="Times New Roman"/>
          <w:sz w:val="24"/>
          <w:szCs w:val="24"/>
        </w:rPr>
        <w:t xml:space="preserve"> that what the Applicant seeks is access to a form of health care </w:t>
      </w:r>
      <w:r w:rsidR="00422F66">
        <w:rPr>
          <w:rFonts w:ascii="Times New Roman" w:hAnsi="Times New Roman" w:cs="Times New Roman"/>
          <w:sz w:val="24"/>
          <w:szCs w:val="24"/>
        </w:rPr>
        <w:t xml:space="preserve">partly aimed at </w:t>
      </w:r>
      <w:r w:rsidR="001A663F">
        <w:rPr>
          <w:rFonts w:ascii="Times New Roman" w:hAnsi="Times New Roman" w:cs="Times New Roman"/>
          <w:sz w:val="24"/>
          <w:szCs w:val="24"/>
        </w:rPr>
        <w:t>ward</w:t>
      </w:r>
      <w:r w:rsidR="00422F66">
        <w:rPr>
          <w:rFonts w:ascii="Times New Roman" w:hAnsi="Times New Roman" w:cs="Times New Roman"/>
          <w:sz w:val="24"/>
          <w:szCs w:val="24"/>
        </w:rPr>
        <w:t>ing</w:t>
      </w:r>
      <w:r w:rsidR="005C77F0">
        <w:rPr>
          <w:rFonts w:ascii="Times New Roman" w:hAnsi="Times New Roman" w:cs="Times New Roman"/>
          <w:sz w:val="24"/>
          <w:szCs w:val="24"/>
        </w:rPr>
        <w:t xml:space="preserve"> </w:t>
      </w:r>
      <w:r w:rsidR="001A663F">
        <w:rPr>
          <w:rFonts w:ascii="Times New Roman" w:hAnsi="Times New Roman" w:cs="Times New Roman"/>
          <w:sz w:val="24"/>
          <w:szCs w:val="24"/>
        </w:rPr>
        <w:t>of</w:t>
      </w:r>
      <w:r w:rsidR="00422F66">
        <w:rPr>
          <w:rFonts w:ascii="Times New Roman" w:hAnsi="Times New Roman" w:cs="Times New Roman"/>
          <w:sz w:val="24"/>
          <w:szCs w:val="24"/>
        </w:rPr>
        <w:t>f</w:t>
      </w:r>
      <w:r w:rsidR="001A663F">
        <w:rPr>
          <w:rFonts w:ascii="Times New Roman" w:hAnsi="Times New Roman" w:cs="Times New Roman"/>
          <w:sz w:val="24"/>
          <w:szCs w:val="24"/>
        </w:rPr>
        <w:t xml:space="preserve"> the risk declining </w:t>
      </w:r>
      <w:r w:rsidR="00411309">
        <w:rPr>
          <w:rFonts w:ascii="Times New Roman" w:hAnsi="Times New Roman" w:cs="Times New Roman"/>
          <w:sz w:val="24"/>
          <w:szCs w:val="24"/>
        </w:rPr>
        <w:t>egg viability poses to her own health</w:t>
      </w:r>
      <w:r w:rsidR="00283561">
        <w:rPr>
          <w:rFonts w:ascii="Times New Roman" w:hAnsi="Times New Roman" w:cs="Times New Roman"/>
          <w:sz w:val="24"/>
          <w:szCs w:val="24"/>
        </w:rPr>
        <w:t xml:space="preserve"> as a prospective geriatric mother. </w:t>
      </w:r>
      <w:r w:rsidR="0097149B">
        <w:rPr>
          <w:rFonts w:ascii="Times New Roman" w:hAnsi="Times New Roman" w:cs="Times New Roman"/>
          <w:sz w:val="24"/>
          <w:szCs w:val="24"/>
        </w:rPr>
        <w:t>Unchallenged evidence</w:t>
      </w:r>
      <w:r w:rsidR="00EA4B4F">
        <w:rPr>
          <w:rStyle w:val="FootnoteReference"/>
          <w:szCs w:val="24"/>
        </w:rPr>
        <w:footnoteReference w:id="1"/>
      </w:r>
      <w:r w:rsidR="0097149B">
        <w:rPr>
          <w:rFonts w:ascii="Times New Roman" w:hAnsi="Times New Roman" w:cs="Times New Roman"/>
          <w:sz w:val="24"/>
          <w:szCs w:val="24"/>
        </w:rPr>
        <w:t xml:space="preserve"> before the primary judge was to the effect that</w:t>
      </w:r>
      <w:r w:rsidR="002C5817">
        <w:rPr>
          <w:rFonts w:ascii="Times New Roman" w:hAnsi="Times New Roman" w:cs="Times New Roman"/>
          <w:sz w:val="24"/>
          <w:szCs w:val="24"/>
        </w:rPr>
        <w:t xml:space="preserve"> conception and pregnancy beyond age 35 gave r</w:t>
      </w:r>
      <w:r w:rsidR="002C45F2">
        <w:rPr>
          <w:rFonts w:ascii="Times New Roman" w:hAnsi="Times New Roman" w:cs="Times New Roman"/>
          <w:sz w:val="24"/>
          <w:szCs w:val="24"/>
        </w:rPr>
        <w:t xml:space="preserve">ise </w:t>
      </w:r>
      <w:r w:rsidR="002C45F2">
        <w:rPr>
          <w:rFonts w:ascii="Times New Roman" w:hAnsi="Times New Roman" w:cs="Times New Roman"/>
          <w:sz w:val="24"/>
          <w:szCs w:val="24"/>
        </w:rPr>
        <w:lastRenderedPageBreak/>
        <w:t>to significant risks to both the mother and child that can be mitigated by women freezing their eggs before they reach</w:t>
      </w:r>
      <w:r w:rsidR="00414E28">
        <w:rPr>
          <w:rFonts w:ascii="Times New Roman" w:hAnsi="Times New Roman" w:cs="Times New Roman"/>
          <w:sz w:val="24"/>
          <w:szCs w:val="24"/>
        </w:rPr>
        <w:t xml:space="preserve"> that age.</w:t>
      </w:r>
      <w:r w:rsidR="00414E28">
        <w:rPr>
          <w:rStyle w:val="FootnoteReference"/>
          <w:szCs w:val="24"/>
        </w:rPr>
        <w:footnoteReference w:id="2"/>
      </w:r>
      <w:r w:rsidR="00FF26D1">
        <w:rPr>
          <w:rFonts w:ascii="Times New Roman" w:hAnsi="Times New Roman" w:cs="Times New Roman"/>
          <w:sz w:val="24"/>
          <w:szCs w:val="24"/>
        </w:rPr>
        <w:t xml:space="preserve"> </w:t>
      </w:r>
    </w:p>
    <w:p w14:paraId="53BD5098" w14:textId="47CD445A" w:rsidR="002B6725" w:rsidRDefault="002B6725" w:rsidP="009E23F7">
      <w:pPr>
        <w:tabs>
          <w:tab w:val="left" w:pos="1418"/>
        </w:tabs>
        <w:spacing w:before="120" w:after="240" w:line="360" w:lineRule="auto"/>
        <w:ind w:left="1418" w:hanging="1418"/>
        <w:rPr>
          <w:b/>
          <w:bCs/>
        </w:rPr>
      </w:pPr>
      <w:r>
        <w:rPr>
          <w:b/>
          <w:bCs/>
        </w:rPr>
        <w:t>Part III:</w:t>
      </w:r>
      <w:r>
        <w:rPr>
          <w:b/>
          <w:bCs/>
        </w:rPr>
        <w:tab/>
      </w:r>
      <w:r w:rsidR="009E23F7" w:rsidRPr="009E23F7">
        <w:rPr>
          <w:b/>
          <w:bCs/>
        </w:rPr>
        <w:t xml:space="preserve">Third Respondent’s Argument </w:t>
      </w:r>
    </w:p>
    <w:p w14:paraId="44EC49A3" w14:textId="7334A1D8" w:rsidR="00022D41" w:rsidRPr="00022D41" w:rsidRDefault="00022D41" w:rsidP="009E23F7">
      <w:pPr>
        <w:tabs>
          <w:tab w:val="left" w:pos="1418"/>
        </w:tabs>
        <w:spacing w:before="120" w:after="240" w:line="360" w:lineRule="auto"/>
        <w:ind w:left="1418" w:hanging="1418"/>
        <w:rPr>
          <w:u w:val="single"/>
        </w:rPr>
      </w:pPr>
      <w:r>
        <w:rPr>
          <w:u w:val="single"/>
        </w:rPr>
        <w:t xml:space="preserve">Ground 1 – </w:t>
      </w:r>
      <w:r w:rsidR="000E6E3E">
        <w:rPr>
          <w:u w:val="single"/>
        </w:rPr>
        <w:t>T</w:t>
      </w:r>
      <w:r>
        <w:rPr>
          <w:u w:val="single"/>
        </w:rPr>
        <w:t>he Interpretive Obligation</w:t>
      </w:r>
    </w:p>
    <w:p w14:paraId="5098915F" w14:textId="4A3209B1" w:rsidR="00260DAD" w:rsidRDefault="00D7555D" w:rsidP="005A2A6C">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Pr>
          <w:rFonts w:ascii="Times New Roman" w:hAnsi="Times New Roman" w:cs="Times New Roman"/>
          <w:sz w:val="24"/>
          <w:szCs w:val="24"/>
        </w:rPr>
        <w:t xml:space="preserve">The Commission </w:t>
      </w:r>
      <w:r w:rsidR="00FF6B2F">
        <w:rPr>
          <w:rFonts w:ascii="Times New Roman" w:hAnsi="Times New Roman" w:cs="Times New Roman"/>
          <w:sz w:val="24"/>
          <w:szCs w:val="24"/>
        </w:rPr>
        <w:t>respectfully adopts</w:t>
      </w:r>
      <w:r>
        <w:rPr>
          <w:rFonts w:ascii="Times New Roman" w:hAnsi="Times New Roman" w:cs="Times New Roman"/>
          <w:sz w:val="24"/>
          <w:szCs w:val="24"/>
        </w:rPr>
        <w:t xml:space="preserve"> </w:t>
      </w:r>
      <w:r w:rsidR="00D27E7F">
        <w:rPr>
          <w:rFonts w:ascii="Times New Roman" w:hAnsi="Times New Roman" w:cs="Times New Roman"/>
          <w:sz w:val="24"/>
          <w:szCs w:val="24"/>
        </w:rPr>
        <w:t xml:space="preserve">the Applicant’s submissions at </w:t>
      </w:r>
      <w:proofErr w:type="gramStart"/>
      <w:r w:rsidR="00D27E7F">
        <w:rPr>
          <w:rFonts w:ascii="Times New Roman" w:hAnsi="Times New Roman" w:cs="Times New Roman"/>
          <w:sz w:val="24"/>
          <w:szCs w:val="24"/>
        </w:rPr>
        <w:t>A[</w:t>
      </w:r>
      <w:proofErr w:type="gramEnd"/>
      <w:r w:rsidR="00D27E7F">
        <w:rPr>
          <w:rFonts w:ascii="Times New Roman" w:hAnsi="Times New Roman" w:cs="Times New Roman"/>
          <w:sz w:val="24"/>
          <w:szCs w:val="24"/>
        </w:rPr>
        <w:t>2</w:t>
      </w:r>
      <w:r w:rsidR="00921FA3">
        <w:rPr>
          <w:rFonts w:ascii="Times New Roman" w:hAnsi="Times New Roman" w:cs="Times New Roman"/>
          <w:sz w:val="24"/>
          <w:szCs w:val="24"/>
        </w:rPr>
        <w:t>7</w:t>
      </w:r>
      <w:r w:rsidR="00D27E7F">
        <w:rPr>
          <w:rFonts w:ascii="Times New Roman" w:hAnsi="Times New Roman" w:cs="Times New Roman"/>
          <w:sz w:val="24"/>
          <w:szCs w:val="24"/>
        </w:rPr>
        <w:t>]-</w:t>
      </w:r>
      <w:r w:rsidR="00FF6B2F">
        <w:rPr>
          <w:rFonts w:ascii="Times New Roman" w:hAnsi="Times New Roman" w:cs="Times New Roman"/>
          <w:sz w:val="24"/>
          <w:szCs w:val="24"/>
        </w:rPr>
        <w:t>[32</w:t>
      </w:r>
      <w:r w:rsidR="00D27E7F">
        <w:rPr>
          <w:rFonts w:ascii="Times New Roman" w:hAnsi="Times New Roman" w:cs="Times New Roman"/>
          <w:sz w:val="24"/>
          <w:szCs w:val="24"/>
        </w:rPr>
        <w:t>]</w:t>
      </w:r>
      <w:r w:rsidR="00FF6B2F">
        <w:rPr>
          <w:rFonts w:ascii="Times New Roman" w:hAnsi="Times New Roman" w:cs="Times New Roman"/>
          <w:sz w:val="24"/>
          <w:szCs w:val="24"/>
        </w:rPr>
        <w:t>.</w:t>
      </w:r>
      <w:r w:rsidR="00B26770" w:rsidRPr="00B26770">
        <w:rPr>
          <w:rFonts w:ascii="Times New Roman" w:hAnsi="Times New Roman" w:cs="Times New Roman"/>
          <w:sz w:val="24"/>
          <w:szCs w:val="24"/>
        </w:rPr>
        <w:t xml:space="preserve"> </w:t>
      </w:r>
    </w:p>
    <w:p w14:paraId="33AAC0D9" w14:textId="5218798F" w:rsidR="005A2A6C" w:rsidRDefault="00B26770" w:rsidP="005A2A6C">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bookmarkStart w:id="0" w:name="_Ref234237288"/>
      <w:r>
        <w:rPr>
          <w:rFonts w:ascii="Times New Roman" w:hAnsi="Times New Roman" w:cs="Times New Roman"/>
          <w:sz w:val="24"/>
          <w:szCs w:val="24"/>
        </w:rPr>
        <w:t xml:space="preserve">The general operation of s 48 </w:t>
      </w:r>
      <w:r w:rsidR="00337A0D">
        <w:rPr>
          <w:rFonts w:ascii="Times New Roman" w:hAnsi="Times New Roman" w:cs="Times New Roman"/>
          <w:sz w:val="24"/>
          <w:szCs w:val="24"/>
        </w:rPr>
        <w:t>of the</w:t>
      </w:r>
      <w:r>
        <w:rPr>
          <w:rFonts w:ascii="Times New Roman" w:hAnsi="Times New Roman" w:cs="Times New Roman"/>
          <w:sz w:val="24"/>
          <w:szCs w:val="24"/>
        </w:rPr>
        <w:t xml:space="preserve"> </w:t>
      </w:r>
      <w:r w:rsidR="00AC10AE" w:rsidRPr="00AC10AE">
        <w:rPr>
          <w:rFonts w:ascii="Times New Roman" w:hAnsi="Times New Roman" w:cs="Times New Roman"/>
          <w:b/>
          <w:bCs/>
          <w:i/>
          <w:iCs/>
          <w:sz w:val="24"/>
          <w:szCs w:val="24"/>
        </w:rPr>
        <w:t>H</w:t>
      </w:r>
      <w:r w:rsidR="00AC10AE">
        <w:rPr>
          <w:rFonts w:ascii="Times New Roman" w:hAnsi="Times New Roman" w:cs="Times New Roman"/>
          <w:i/>
          <w:iCs/>
          <w:sz w:val="24"/>
          <w:szCs w:val="24"/>
        </w:rPr>
        <w:t xml:space="preserve">uman </w:t>
      </w:r>
      <w:r w:rsidR="00AC10AE" w:rsidRPr="00AC10AE">
        <w:rPr>
          <w:rFonts w:ascii="Times New Roman" w:hAnsi="Times New Roman" w:cs="Times New Roman"/>
          <w:b/>
          <w:bCs/>
          <w:i/>
          <w:iCs/>
          <w:sz w:val="24"/>
          <w:szCs w:val="24"/>
        </w:rPr>
        <w:t>R</w:t>
      </w:r>
      <w:r w:rsidR="00AC10AE">
        <w:rPr>
          <w:rFonts w:ascii="Times New Roman" w:hAnsi="Times New Roman" w:cs="Times New Roman"/>
          <w:i/>
          <w:iCs/>
          <w:sz w:val="24"/>
          <w:szCs w:val="24"/>
        </w:rPr>
        <w:t xml:space="preserve">ights </w:t>
      </w:r>
      <w:r w:rsidR="00AC10AE" w:rsidRPr="00AC10AE">
        <w:rPr>
          <w:rFonts w:ascii="Times New Roman" w:hAnsi="Times New Roman" w:cs="Times New Roman"/>
          <w:b/>
          <w:bCs/>
          <w:i/>
          <w:iCs/>
          <w:sz w:val="24"/>
          <w:szCs w:val="24"/>
        </w:rPr>
        <w:t>Act</w:t>
      </w:r>
      <w:r w:rsidR="00AC10AE">
        <w:rPr>
          <w:rFonts w:ascii="Times New Roman" w:hAnsi="Times New Roman" w:cs="Times New Roman"/>
          <w:i/>
          <w:iCs/>
          <w:sz w:val="24"/>
          <w:szCs w:val="24"/>
        </w:rPr>
        <w:t xml:space="preserve"> 2019</w:t>
      </w:r>
      <w:r w:rsidR="00E644B3">
        <w:rPr>
          <w:rStyle w:val="FootnoteReference"/>
          <w:szCs w:val="24"/>
        </w:rPr>
        <w:footnoteReference w:id="3"/>
      </w:r>
      <w:r>
        <w:rPr>
          <w:rFonts w:ascii="Times New Roman" w:hAnsi="Times New Roman" w:cs="Times New Roman"/>
          <w:sz w:val="24"/>
          <w:szCs w:val="24"/>
        </w:rPr>
        <w:t xml:space="preserve"> has not been considered by this Court.</w:t>
      </w:r>
      <w:r w:rsidR="00B3632E">
        <w:rPr>
          <w:rFonts w:ascii="Times New Roman" w:hAnsi="Times New Roman" w:cs="Times New Roman"/>
          <w:sz w:val="24"/>
          <w:szCs w:val="24"/>
        </w:rPr>
        <w:t xml:space="preserve"> The general operation of a substantially similar provision,</w:t>
      </w:r>
      <w:r w:rsidR="00B179D4">
        <w:rPr>
          <w:rStyle w:val="FootnoteReference"/>
          <w:szCs w:val="24"/>
        </w:rPr>
        <w:footnoteReference w:id="4"/>
      </w:r>
      <w:r w:rsidR="00B3632E">
        <w:rPr>
          <w:rFonts w:ascii="Times New Roman" w:hAnsi="Times New Roman" w:cs="Times New Roman"/>
          <w:sz w:val="24"/>
          <w:szCs w:val="24"/>
        </w:rPr>
        <w:t xml:space="preserve"> s 32(1)</w:t>
      </w:r>
      <w:r w:rsidR="00C877E0">
        <w:rPr>
          <w:rFonts w:ascii="Times New Roman" w:hAnsi="Times New Roman" w:cs="Times New Roman"/>
          <w:sz w:val="24"/>
          <w:szCs w:val="24"/>
        </w:rPr>
        <w:t xml:space="preserve"> of the</w:t>
      </w:r>
      <w:r w:rsidR="003021F1">
        <w:rPr>
          <w:rFonts w:ascii="Times New Roman" w:hAnsi="Times New Roman" w:cs="Times New Roman"/>
          <w:sz w:val="24"/>
          <w:szCs w:val="24"/>
        </w:rPr>
        <w:t xml:space="preserve"> </w:t>
      </w:r>
      <w:r w:rsidR="003021F1" w:rsidRPr="00FF5B41">
        <w:rPr>
          <w:rFonts w:ascii="Times New Roman" w:hAnsi="Times New Roman" w:cs="Times New Roman"/>
          <w:b/>
          <w:bCs/>
          <w:i/>
          <w:iCs/>
          <w:sz w:val="24"/>
          <w:szCs w:val="24"/>
        </w:rPr>
        <w:t>Charter</w:t>
      </w:r>
      <w:r w:rsidR="003021F1">
        <w:rPr>
          <w:rFonts w:ascii="Times New Roman" w:hAnsi="Times New Roman" w:cs="Times New Roman"/>
          <w:i/>
          <w:iCs/>
          <w:sz w:val="24"/>
          <w:szCs w:val="24"/>
        </w:rPr>
        <w:t xml:space="preserve"> of Human Rights and Responsibilities </w:t>
      </w:r>
      <w:r w:rsidR="003021F1">
        <w:rPr>
          <w:rFonts w:ascii="Times New Roman" w:hAnsi="Times New Roman" w:cs="Times New Roman"/>
          <w:sz w:val="24"/>
          <w:szCs w:val="24"/>
        </w:rPr>
        <w:t>(Vic)</w:t>
      </w:r>
      <w:r w:rsidR="00733453">
        <w:rPr>
          <w:rFonts w:ascii="Times New Roman" w:hAnsi="Times New Roman" w:cs="Times New Roman"/>
          <w:sz w:val="24"/>
          <w:szCs w:val="24"/>
        </w:rPr>
        <w:t>, remains unresolved.</w:t>
      </w:r>
      <w:r w:rsidR="00733453">
        <w:rPr>
          <w:rStyle w:val="FootnoteReference"/>
          <w:szCs w:val="24"/>
        </w:rPr>
        <w:footnoteReference w:id="5"/>
      </w:r>
      <w:r w:rsidR="00710F79">
        <w:rPr>
          <w:rFonts w:ascii="Times New Roman" w:hAnsi="Times New Roman" w:cs="Times New Roman"/>
          <w:sz w:val="24"/>
          <w:szCs w:val="24"/>
        </w:rPr>
        <w:t xml:space="preserve"> </w:t>
      </w:r>
      <w:r w:rsidR="00F63E72">
        <w:rPr>
          <w:rFonts w:ascii="Times New Roman" w:hAnsi="Times New Roman" w:cs="Times New Roman"/>
          <w:sz w:val="24"/>
          <w:szCs w:val="24"/>
        </w:rPr>
        <w:t>The appeal</w:t>
      </w:r>
      <w:r w:rsidR="00503925">
        <w:rPr>
          <w:rFonts w:ascii="Times New Roman" w:hAnsi="Times New Roman" w:cs="Times New Roman"/>
          <w:sz w:val="24"/>
          <w:szCs w:val="24"/>
        </w:rPr>
        <w:t xml:space="preserve"> in </w:t>
      </w:r>
      <w:r w:rsidR="00503925">
        <w:rPr>
          <w:rFonts w:ascii="Times New Roman" w:hAnsi="Times New Roman" w:cs="Times New Roman"/>
          <w:i/>
          <w:iCs/>
          <w:sz w:val="24"/>
          <w:szCs w:val="24"/>
        </w:rPr>
        <w:t>Momcilovic</w:t>
      </w:r>
      <w:r w:rsidR="00255BD8">
        <w:rPr>
          <w:rStyle w:val="FootnoteReference"/>
          <w:i/>
          <w:iCs/>
          <w:szCs w:val="24"/>
        </w:rPr>
        <w:footnoteReference w:id="6"/>
      </w:r>
      <w:r w:rsidR="00503925">
        <w:rPr>
          <w:rFonts w:ascii="Times New Roman" w:hAnsi="Times New Roman" w:cs="Times New Roman"/>
          <w:i/>
          <w:iCs/>
          <w:sz w:val="24"/>
          <w:szCs w:val="24"/>
        </w:rPr>
        <w:t xml:space="preserve"> </w:t>
      </w:r>
      <w:r w:rsidR="00503925" w:rsidRPr="00384CFC">
        <w:rPr>
          <w:rFonts w:ascii="Times New Roman" w:hAnsi="Times New Roman" w:cs="Times New Roman"/>
          <w:sz w:val="24"/>
          <w:szCs w:val="24"/>
        </w:rPr>
        <w:t xml:space="preserve">succeeded on the </w:t>
      </w:r>
      <w:r w:rsidR="00C5655C" w:rsidRPr="00384CFC">
        <w:rPr>
          <w:rFonts w:ascii="Times New Roman" w:hAnsi="Times New Roman" w:cs="Times New Roman"/>
          <w:sz w:val="24"/>
          <w:szCs w:val="24"/>
        </w:rPr>
        <w:t xml:space="preserve">interpretation </w:t>
      </w:r>
      <w:r w:rsidR="00FF5B41" w:rsidRPr="00384CFC">
        <w:rPr>
          <w:rFonts w:ascii="Times New Roman" w:hAnsi="Times New Roman" w:cs="Times New Roman"/>
          <w:sz w:val="24"/>
          <w:szCs w:val="24"/>
        </w:rPr>
        <w:t xml:space="preserve">of ss 5, 71AC and 73(2) of the </w:t>
      </w:r>
      <w:r w:rsidR="00FF5B41" w:rsidRPr="00384CFC">
        <w:rPr>
          <w:rFonts w:ascii="Times New Roman" w:hAnsi="Times New Roman" w:cs="Times New Roman"/>
          <w:i/>
          <w:iCs/>
          <w:sz w:val="24"/>
          <w:szCs w:val="24"/>
        </w:rPr>
        <w:t xml:space="preserve">Drugs, Poisons and Controlled Substances Act 1981 </w:t>
      </w:r>
      <w:r w:rsidR="00FF5B41" w:rsidRPr="00384CFC">
        <w:rPr>
          <w:rFonts w:ascii="Times New Roman" w:hAnsi="Times New Roman" w:cs="Times New Roman"/>
          <w:sz w:val="24"/>
          <w:szCs w:val="24"/>
        </w:rPr>
        <w:t>(Vic).</w:t>
      </w:r>
      <w:r w:rsidR="00C56EED">
        <w:rPr>
          <w:rStyle w:val="FootnoteReference"/>
          <w:szCs w:val="24"/>
        </w:rPr>
        <w:footnoteReference w:id="7"/>
      </w:r>
      <w:r w:rsidR="00FF5B41">
        <w:rPr>
          <w:rFonts w:ascii="Times New Roman" w:hAnsi="Times New Roman" w:cs="Times New Roman"/>
          <w:sz w:val="24"/>
          <w:szCs w:val="24"/>
        </w:rPr>
        <w:t xml:space="preserve"> </w:t>
      </w:r>
      <w:r w:rsidR="00DA38A1">
        <w:rPr>
          <w:rFonts w:ascii="Times New Roman" w:hAnsi="Times New Roman" w:cs="Times New Roman"/>
          <w:sz w:val="24"/>
          <w:szCs w:val="24"/>
        </w:rPr>
        <w:t xml:space="preserve">While a </w:t>
      </w:r>
      <w:r w:rsidR="00DA38A1" w:rsidRPr="00F8421A">
        <w:rPr>
          <w:rFonts w:ascii="Times New Roman" w:hAnsi="Times New Roman" w:cs="Times New Roman"/>
          <w:i/>
          <w:iCs/>
          <w:sz w:val="24"/>
          <w:szCs w:val="24"/>
        </w:rPr>
        <w:t>ratio</w:t>
      </w:r>
      <w:r w:rsidR="00DA38A1">
        <w:rPr>
          <w:rFonts w:ascii="Times New Roman" w:hAnsi="Times New Roman" w:cs="Times New Roman"/>
          <w:sz w:val="24"/>
          <w:szCs w:val="24"/>
        </w:rPr>
        <w:t xml:space="preserve"> </w:t>
      </w:r>
      <w:r w:rsidR="00F8421A">
        <w:rPr>
          <w:rFonts w:ascii="Times New Roman" w:hAnsi="Times New Roman" w:cs="Times New Roman"/>
          <w:sz w:val="24"/>
          <w:szCs w:val="24"/>
        </w:rPr>
        <w:t xml:space="preserve">emerges from the majority reasons </w:t>
      </w:r>
      <w:r w:rsidR="00BD100B">
        <w:rPr>
          <w:rFonts w:ascii="Times New Roman" w:hAnsi="Times New Roman" w:cs="Times New Roman"/>
          <w:sz w:val="24"/>
          <w:szCs w:val="24"/>
        </w:rPr>
        <w:t>in support of</w:t>
      </w:r>
      <w:r w:rsidR="00F8421A">
        <w:rPr>
          <w:rFonts w:ascii="Times New Roman" w:hAnsi="Times New Roman" w:cs="Times New Roman"/>
          <w:sz w:val="24"/>
          <w:szCs w:val="24"/>
        </w:rPr>
        <w:t xml:space="preserve"> the proposition that the Charter </w:t>
      </w:r>
      <w:r w:rsidR="00BD100B">
        <w:rPr>
          <w:rFonts w:ascii="Times New Roman" w:hAnsi="Times New Roman" w:cs="Times New Roman"/>
          <w:sz w:val="24"/>
          <w:szCs w:val="24"/>
        </w:rPr>
        <w:t xml:space="preserve">is constitutionally </w:t>
      </w:r>
      <w:r w:rsidR="000565C4">
        <w:rPr>
          <w:rFonts w:ascii="Times New Roman" w:hAnsi="Times New Roman" w:cs="Times New Roman"/>
          <w:sz w:val="24"/>
          <w:szCs w:val="24"/>
        </w:rPr>
        <w:t xml:space="preserve">valid </w:t>
      </w:r>
      <w:r w:rsidR="00BD100B">
        <w:rPr>
          <w:rFonts w:ascii="Times New Roman" w:hAnsi="Times New Roman" w:cs="Times New Roman"/>
          <w:sz w:val="24"/>
          <w:szCs w:val="24"/>
        </w:rPr>
        <w:t xml:space="preserve">and is a </w:t>
      </w:r>
      <w:r w:rsidR="00180EA0">
        <w:rPr>
          <w:rFonts w:ascii="Times New Roman" w:hAnsi="Times New Roman" w:cs="Times New Roman"/>
          <w:sz w:val="24"/>
          <w:szCs w:val="24"/>
        </w:rPr>
        <w:t>statutory mandated rule of statutory construction (and not a power to re-write legislation),</w:t>
      </w:r>
      <w:r w:rsidR="00F8421A">
        <w:rPr>
          <w:rFonts w:ascii="Times New Roman" w:hAnsi="Times New Roman" w:cs="Times New Roman"/>
          <w:sz w:val="24"/>
          <w:szCs w:val="24"/>
        </w:rPr>
        <w:t xml:space="preserve"> </w:t>
      </w:r>
      <w:r w:rsidR="00F712F2">
        <w:rPr>
          <w:rFonts w:ascii="Times New Roman" w:hAnsi="Times New Roman" w:cs="Times New Roman"/>
          <w:sz w:val="24"/>
          <w:szCs w:val="24"/>
        </w:rPr>
        <w:t xml:space="preserve">there is no clear </w:t>
      </w:r>
      <w:r w:rsidR="00F712F2">
        <w:rPr>
          <w:rFonts w:ascii="Times New Roman" w:hAnsi="Times New Roman" w:cs="Times New Roman"/>
          <w:i/>
          <w:iCs/>
          <w:sz w:val="24"/>
          <w:szCs w:val="24"/>
        </w:rPr>
        <w:t xml:space="preserve">ratio </w:t>
      </w:r>
      <w:r w:rsidR="00F712F2">
        <w:rPr>
          <w:rFonts w:ascii="Times New Roman" w:hAnsi="Times New Roman" w:cs="Times New Roman"/>
          <w:sz w:val="24"/>
          <w:szCs w:val="24"/>
        </w:rPr>
        <w:t xml:space="preserve">for how the interpretive obligation is to be </w:t>
      </w:r>
      <w:r w:rsidR="003F17F2">
        <w:rPr>
          <w:rFonts w:ascii="Times New Roman" w:hAnsi="Times New Roman" w:cs="Times New Roman"/>
          <w:sz w:val="24"/>
          <w:szCs w:val="24"/>
        </w:rPr>
        <w:t>applied (and o</w:t>
      </w:r>
      <w:r w:rsidR="00FF5B41">
        <w:rPr>
          <w:rFonts w:ascii="Times New Roman" w:hAnsi="Times New Roman" w:cs="Times New Roman"/>
          <w:sz w:val="24"/>
          <w:szCs w:val="24"/>
        </w:rPr>
        <w:t xml:space="preserve">nly French CJ </w:t>
      </w:r>
      <w:r w:rsidR="00984C96">
        <w:rPr>
          <w:rFonts w:ascii="Times New Roman" w:hAnsi="Times New Roman" w:cs="Times New Roman"/>
          <w:sz w:val="24"/>
          <w:szCs w:val="24"/>
        </w:rPr>
        <w:t xml:space="preserve">and Bell J </w:t>
      </w:r>
      <w:r w:rsidR="00FF5B41">
        <w:rPr>
          <w:rFonts w:ascii="Times New Roman" w:hAnsi="Times New Roman" w:cs="Times New Roman"/>
          <w:sz w:val="24"/>
          <w:szCs w:val="24"/>
        </w:rPr>
        <w:t xml:space="preserve">relied on the Charter </w:t>
      </w:r>
      <w:r w:rsidR="00CF4EDC">
        <w:rPr>
          <w:rFonts w:ascii="Times New Roman" w:hAnsi="Times New Roman" w:cs="Times New Roman"/>
          <w:sz w:val="24"/>
          <w:szCs w:val="24"/>
        </w:rPr>
        <w:t>in re</w:t>
      </w:r>
      <w:r w:rsidR="00A00E22">
        <w:rPr>
          <w:rFonts w:ascii="Times New Roman" w:hAnsi="Times New Roman" w:cs="Times New Roman"/>
          <w:sz w:val="24"/>
          <w:szCs w:val="24"/>
        </w:rPr>
        <w:t xml:space="preserve">solving the </w:t>
      </w:r>
      <w:r w:rsidR="00D77094">
        <w:rPr>
          <w:rFonts w:ascii="Times New Roman" w:hAnsi="Times New Roman" w:cs="Times New Roman"/>
          <w:sz w:val="24"/>
          <w:szCs w:val="24"/>
        </w:rPr>
        <w:t>question of construction</w:t>
      </w:r>
      <w:r w:rsidR="002D1D58">
        <w:rPr>
          <w:rFonts w:ascii="Times New Roman" w:hAnsi="Times New Roman" w:cs="Times New Roman"/>
          <w:sz w:val="24"/>
          <w:szCs w:val="24"/>
        </w:rPr>
        <w:t xml:space="preserve"> </w:t>
      </w:r>
      <w:r w:rsidR="00D77094">
        <w:rPr>
          <w:rFonts w:ascii="Times New Roman" w:hAnsi="Times New Roman" w:cs="Times New Roman"/>
          <w:sz w:val="24"/>
          <w:szCs w:val="24"/>
        </w:rPr>
        <w:t xml:space="preserve">in </w:t>
      </w:r>
      <w:r w:rsidR="00D77094">
        <w:rPr>
          <w:rFonts w:ascii="Times New Roman" w:hAnsi="Times New Roman" w:cs="Times New Roman"/>
          <w:i/>
          <w:iCs/>
          <w:sz w:val="24"/>
          <w:szCs w:val="24"/>
        </w:rPr>
        <w:t>Momcilovic.</w:t>
      </w:r>
      <w:r w:rsidR="00384CFC" w:rsidRPr="00C5768C">
        <w:rPr>
          <w:rStyle w:val="FootnoteReference"/>
          <w:szCs w:val="24"/>
        </w:rPr>
        <w:footnoteReference w:id="8"/>
      </w:r>
      <w:r w:rsidR="003F17F2">
        <w:rPr>
          <w:rFonts w:ascii="Times New Roman" w:hAnsi="Times New Roman" w:cs="Times New Roman"/>
          <w:sz w:val="24"/>
          <w:szCs w:val="24"/>
        </w:rPr>
        <w:t>)</w:t>
      </w:r>
      <w:r w:rsidR="00D77094">
        <w:rPr>
          <w:rFonts w:ascii="Times New Roman" w:hAnsi="Times New Roman" w:cs="Times New Roman"/>
          <w:i/>
          <w:iCs/>
          <w:sz w:val="24"/>
          <w:szCs w:val="24"/>
        </w:rPr>
        <w:t xml:space="preserve"> </w:t>
      </w:r>
      <w:r w:rsidR="00433182">
        <w:rPr>
          <w:rFonts w:ascii="Times New Roman" w:hAnsi="Times New Roman" w:cs="Times New Roman"/>
          <w:sz w:val="24"/>
          <w:szCs w:val="24"/>
        </w:rPr>
        <w:t xml:space="preserve">The observations by </w:t>
      </w:r>
      <w:r w:rsidR="002B1E69">
        <w:rPr>
          <w:rFonts w:ascii="Times New Roman" w:hAnsi="Times New Roman" w:cs="Times New Roman"/>
          <w:sz w:val="24"/>
          <w:szCs w:val="24"/>
        </w:rPr>
        <w:t xml:space="preserve">the judges in the majority about the </w:t>
      </w:r>
      <w:r w:rsidR="002D1D58">
        <w:rPr>
          <w:rFonts w:ascii="Times New Roman" w:hAnsi="Times New Roman" w:cs="Times New Roman"/>
          <w:sz w:val="24"/>
          <w:szCs w:val="24"/>
        </w:rPr>
        <w:t xml:space="preserve">approach to be taken in applying </w:t>
      </w:r>
      <w:r w:rsidR="002B1E69">
        <w:rPr>
          <w:rFonts w:ascii="Times New Roman" w:hAnsi="Times New Roman" w:cs="Times New Roman"/>
          <w:sz w:val="24"/>
          <w:szCs w:val="24"/>
        </w:rPr>
        <w:t>s 32</w:t>
      </w:r>
      <w:r w:rsidR="00696979">
        <w:rPr>
          <w:rStyle w:val="FootnoteReference"/>
          <w:szCs w:val="24"/>
        </w:rPr>
        <w:footnoteReference w:id="9"/>
      </w:r>
      <w:r w:rsidR="002B1E69">
        <w:rPr>
          <w:rFonts w:ascii="Times New Roman" w:hAnsi="Times New Roman" w:cs="Times New Roman"/>
          <w:sz w:val="24"/>
          <w:szCs w:val="24"/>
        </w:rPr>
        <w:t xml:space="preserve"> are therefore </w:t>
      </w:r>
      <w:r w:rsidR="002B1E69">
        <w:rPr>
          <w:rFonts w:ascii="Times New Roman" w:hAnsi="Times New Roman" w:cs="Times New Roman"/>
          <w:i/>
          <w:iCs/>
          <w:sz w:val="24"/>
          <w:szCs w:val="24"/>
        </w:rPr>
        <w:t>obiter</w:t>
      </w:r>
      <w:r w:rsidR="00194131">
        <w:rPr>
          <w:rFonts w:ascii="Times New Roman" w:hAnsi="Times New Roman" w:cs="Times New Roman"/>
          <w:i/>
          <w:iCs/>
          <w:sz w:val="24"/>
          <w:szCs w:val="24"/>
        </w:rPr>
        <w:t xml:space="preserve"> dicta</w:t>
      </w:r>
      <w:r w:rsidR="002B1E69">
        <w:rPr>
          <w:rFonts w:ascii="Times New Roman" w:hAnsi="Times New Roman" w:cs="Times New Roman"/>
          <w:i/>
          <w:iCs/>
          <w:sz w:val="24"/>
          <w:szCs w:val="24"/>
        </w:rPr>
        <w:t xml:space="preserve">. </w:t>
      </w:r>
      <w:r w:rsidR="009170B3">
        <w:rPr>
          <w:rFonts w:ascii="Times New Roman" w:hAnsi="Times New Roman" w:cs="Times New Roman"/>
          <w:sz w:val="24"/>
          <w:szCs w:val="24"/>
        </w:rPr>
        <w:t>A</w:t>
      </w:r>
      <w:r w:rsidR="002E697D">
        <w:rPr>
          <w:rFonts w:ascii="Times New Roman" w:hAnsi="Times New Roman" w:cs="Times New Roman"/>
          <w:sz w:val="24"/>
          <w:szCs w:val="24"/>
        </w:rPr>
        <w:t>ppropriately,</w:t>
      </w:r>
      <w:r w:rsidR="00053781">
        <w:rPr>
          <w:rStyle w:val="FootnoteReference"/>
          <w:szCs w:val="24"/>
        </w:rPr>
        <w:footnoteReference w:id="10"/>
      </w:r>
      <w:r w:rsidR="002E697D">
        <w:rPr>
          <w:rFonts w:ascii="Times New Roman" w:hAnsi="Times New Roman" w:cs="Times New Roman"/>
          <w:sz w:val="24"/>
          <w:szCs w:val="24"/>
        </w:rPr>
        <w:t xml:space="preserve"> </w:t>
      </w:r>
      <w:r w:rsidR="009042C8">
        <w:rPr>
          <w:rFonts w:ascii="Times New Roman" w:hAnsi="Times New Roman" w:cs="Times New Roman"/>
          <w:sz w:val="24"/>
          <w:szCs w:val="24"/>
        </w:rPr>
        <w:t xml:space="preserve">trial and intermediate appellate courts have </w:t>
      </w:r>
      <w:r w:rsidR="00BB41B4">
        <w:rPr>
          <w:rFonts w:ascii="Times New Roman" w:hAnsi="Times New Roman" w:cs="Times New Roman"/>
          <w:sz w:val="24"/>
          <w:szCs w:val="24"/>
        </w:rPr>
        <w:t xml:space="preserve">sought to </w:t>
      </w:r>
      <w:r w:rsidR="001545C7">
        <w:rPr>
          <w:rFonts w:ascii="Times New Roman" w:hAnsi="Times New Roman" w:cs="Times New Roman"/>
          <w:sz w:val="24"/>
          <w:szCs w:val="24"/>
        </w:rPr>
        <w:t xml:space="preserve">follow </w:t>
      </w:r>
      <w:r w:rsidR="00531499">
        <w:rPr>
          <w:rFonts w:ascii="Times New Roman" w:hAnsi="Times New Roman" w:cs="Times New Roman"/>
          <w:sz w:val="24"/>
          <w:szCs w:val="24"/>
        </w:rPr>
        <w:t>the</w:t>
      </w:r>
      <w:r w:rsidR="003C31A7">
        <w:rPr>
          <w:rFonts w:ascii="Times New Roman" w:hAnsi="Times New Roman" w:cs="Times New Roman"/>
          <w:sz w:val="24"/>
          <w:szCs w:val="24"/>
        </w:rPr>
        <w:t xml:space="preserve"> guidance </w:t>
      </w:r>
      <w:r w:rsidR="00C56EED">
        <w:rPr>
          <w:rFonts w:ascii="Times New Roman" w:hAnsi="Times New Roman" w:cs="Times New Roman"/>
          <w:sz w:val="24"/>
          <w:szCs w:val="24"/>
        </w:rPr>
        <w:t xml:space="preserve">concerning the operation of s 32 </w:t>
      </w:r>
      <w:r w:rsidR="00531499">
        <w:rPr>
          <w:rFonts w:ascii="Times New Roman" w:hAnsi="Times New Roman" w:cs="Times New Roman"/>
          <w:sz w:val="24"/>
          <w:szCs w:val="24"/>
        </w:rPr>
        <w:t xml:space="preserve">discerned </w:t>
      </w:r>
      <w:r w:rsidR="001545C7">
        <w:rPr>
          <w:rFonts w:ascii="Times New Roman" w:hAnsi="Times New Roman" w:cs="Times New Roman"/>
          <w:sz w:val="24"/>
          <w:szCs w:val="24"/>
        </w:rPr>
        <w:t>from the majority’s reasons</w:t>
      </w:r>
      <w:r w:rsidR="008612B9">
        <w:rPr>
          <w:rFonts w:ascii="Times New Roman" w:hAnsi="Times New Roman" w:cs="Times New Roman"/>
          <w:sz w:val="24"/>
          <w:szCs w:val="24"/>
        </w:rPr>
        <w:t>, though</w:t>
      </w:r>
      <w:r w:rsidR="007009F6">
        <w:rPr>
          <w:rFonts w:ascii="Times New Roman" w:hAnsi="Times New Roman" w:cs="Times New Roman"/>
          <w:sz w:val="24"/>
          <w:szCs w:val="24"/>
        </w:rPr>
        <w:t>, problematically,</w:t>
      </w:r>
      <w:r w:rsidR="00B327FC">
        <w:rPr>
          <w:rFonts w:ascii="Times New Roman" w:hAnsi="Times New Roman" w:cs="Times New Roman"/>
          <w:sz w:val="24"/>
          <w:szCs w:val="24"/>
        </w:rPr>
        <w:t xml:space="preserve"> in diverging ways.</w:t>
      </w:r>
      <w:r w:rsidR="00696979">
        <w:rPr>
          <w:rStyle w:val="FootnoteReference"/>
          <w:szCs w:val="24"/>
        </w:rPr>
        <w:footnoteReference w:id="11"/>
      </w:r>
      <w:r w:rsidR="003B0271">
        <w:rPr>
          <w:rFonts w:ascii="Times New Roman" w:hAnsi="Times New Roman" w:cs="Times New Roman"/>
          <w:sz w:val="24"/>
          <w:szCs w:val="24"/>
        </w:rPr>
        <w:t xml:space="preserve"> </w:t>
      </w:r>
      <w:r w:rsidR="00E0478F">
        <w:rPr>
          <w:rFonts w:ascii="Times New Roman" w:hAnsi="Times New Roman" w:cs="Times New Roman"/>
          <w:sz w:val="24"/>
          <w:szCs w:val="24"/>
        </w:rPr>
        <w:t>Given t</w:t>
      </w:r>
      <w:r w:rsidR="00E0478F" w:rsidRPr="004C413C">
        <w:rPr>
          <w:rFonts w:ascii="Times New Roman" w:hAnsi="Times New Roman" w:cs="Times New Roman"/>
          <w:sz w:val="24"/>
          <w:szCs w:val="24"/>
        </w:rPr>
        <w:t>h</w:t>
      </w:r>
      <w:r w:rsidR="0041335C" w:rsidRPr="004C413C">
        <w:rPr>
          <w:rFonts w:ascii="Times New Roman" w:hAnsi="Times New Roman" w:cs="Times New Roman"/>
          <w:sz w:val="24"/>
          <w:szCs w:val="24"/>
        </w:rPr>
        <w:t>e</w:t>
      </w:r>
      <w:r w:rsidR="00D41DC3">
        <w:rPr>
          <w:rFonts w:ascii="Times New Roman" w:hAnsi="Times New Roman" w:cs="Times New Roman"/>
          <w:sz w:val="24"/>
          <w:szCs w:val="24"/>
        </w:rPr>
        <w:t xml:space="preserve"> different</w:t>
      </w:r>
      <w:r w:rsidR="0041335C" w:rsidRPr="004C413C">
        <w:rPr>
          <w:rFonts w:ascii="Times New Roman" w:hAnsi="Times New Roman" w:cs="Times New Roman"/>
          <w:sz w:val="24"/>
          <w:szCs w:val="24"/>
        </w:rPr>
        <w:t xml:space="preserve"> approaches </w:t>
      </w:r>
      <w:r w:rsidR="00604B23" w:rsidRPr="004C413C">
        <w:rPr>
          <w:rFonts w:ascii="Times New Roman" w:hAnsi="Times New Roman" w:cs="Times New Roman"/>
          <w:sz w:val="24"/>
          <w:szCs w:val="24"/>
        </w:rPr>
        <w:t>by the majority,</w:t>
      </w:r>
      <w:r w:rsidR="00604B23" w:rsidRPr="004C413C">
        <w:rPr>
          <w:rStyle w:val="FootnoteReference"/>
          <w:szCs w:val="24"/>
        </w:rPr>
        <w:footnoteReference w:id="12"/>
      </w:r>
      <w:r w:rsidR="00604B23" w:rsidRPr="004C413C">
        <w:rPr>
          <w:rFonts w:ascii="Times New Roman" w:hAnsi="Times New Roman" w:cs="Times New Roman"/>
          <w:sz w:val="24"/>
          <w:szCs w:val="24"/>
        </w:rPr>
        <w:t xml:space="preserve"> </w:t>
      </w:r>
      <w:r w:rsidR="004C413C">
        <w:rPr>
          <w:rFonts w:ascii="Times New Roman" w:hAnsi="Times New Roman" w:cs="Times New Roman"/>
          <w:sz w:val="24"/>
          <w:szCs w:val="24"/>
        </w:rPr>
        <w:t xml:space="preserve">and </w:t>
      </w:r>
      <w:r w:rsidR="000762D7" w:rsidRPr="005B4BAB">
        <w:rPr>
          <w:rFonts w:ascii="Times New Roman" w:hAnsi="Times New Roman" w:cs="Times New Roman"/>
          <w:sz w:val="24"/>
          <w:szCs w:val="24"/>
        </w:rPr>
        <w:t>for the reasons identified by the Applicant</w:t>
      </w:r>
      <w:r w:rsidR="002E1071">
        <w:rPr>
          <w:rFonts w:ascii="Times New Roman" w:hAnsi="Times New Roman" w:cs="Times New Roman"/>
          <w:sz w:val="24"/>
          <w:szCs w:val="24"/>
        </w:rPr>
        <w:t xml:space="preserve"> at A[27]-[</w:t>
      </w:r>
      <w:r w:rsidR="00877B7A">
        <w:rPr>
          <w:rFonts w:ascii="Times New Roman" w:hAnsi="Times New Roman" w:cs="Times New Roman"/>
          <w:sz w:val="24"/>
          <w:szCs w:val="24"/>
        </w:rPr>
        <w:t>32]</w:t>
      </w:r>
      <w:r w:rsidR="00DA1B33" w:rsidRPr="005B4BAB">
        <w:rPr>
          <w:rFonts w:ascii="Times New Roman" w:hAnsi="Times New Roman" w:cs="Times New Roman"/>
          <w:sz w:val="24"/>
          <w:szCs w:val="24"/>
        </w:rPr>
        <w:t>,</w:t>
      </w:r>
      <w:r w:rsidR="00DA1B33">
        <w:rPr>
          <w:rFonts w:ascii="Times New Roman" w:hAnsi="Times New Roman" w:cs="Times New Roman"/>
          <w:sz w:val="24"/>
          <w:szCs w:val="24"/>
        </w:rPr>
        <w:t xml:space="preserve"> </w:t>
      </w:r>
      <w:r w:rsidR="001C41A0">
        <w:rPr>
          <w:rFonts w:ascii="Times New Roman" w:hAnsi="Times New Roman" w:cs="Times New Roman"/>
          <w:sz w:val="24"/>
          <w:szCs w:val="24"/>
        </w:rPr>
        <w:t>clarif</w:t>
      </w:r>
      <w:r w:rsidR="006570ED">
        <w:rPr>
          <w:rFonts w:ascii="Times New Roman" w:hAnsi="Times New Roman" w:cs="Times New Roman"/>
          <w:sz w:val="24"/>
          <w:szCs w:val="24"/>
        </w:rPr>
        <w:t>ication is required as to</w:t>
      </w:r>
      <w:r w:rsidR="001C41A0">
        <w:rPr>
          <w:rFonts w:ascii="Times New Roman" w:hAnsi="Times New Roman" w:cs="Times New Roman"/>
          <w:sz w:val="24"/>
          <w:szCs w:val="24"/>
        </w:rPr>
        <w:t xml:space="preserve"> “when, and how, a particular statute </w:t>
      </w:r>
      <w:r w:rsidR="001C41A0">
        <w:rPr>
          <w:rFonts w:ascii="Times New Roman" w:hAnsi="Times New Roman" w:cs="Times New Roman"/>
          <w:sz w:val="24"/>
          <w:szCs w:val="24"/>
        </w:rPr>
        <w:lastRenderedPageBreak/>
        <w:t>can be interpreted so that it is consistent with a general result that is desired by [the HR Act]”,</w:t>
      </w:r>
      <w:r w:rsidR="001C41A0">
        <w:rPr>
          <w:rStyle w:val="FootnoteReference"/>
          <w:szCs w:val="24"/>
        </w:rPr>
        <w:footnoteReference w:id="13"/>
      </w:r>
      <w:r w:rsidR="001C41A0">
        <w:rPr>
          <w:rFonts w:ascii="Times New Roman" w:hAnsi="Times New Roman" w:cs="Times New Roman"/>
          <w:sz w:val="24"/>
          <w:szCs w:val="24"/>
        </w:rPr>
        <w:t xml:space="preserve"> (which will bear on the application of s 32(1) of the Charter and s 30 of the </w:t>
      </w:r>
      <w:r w:rsidR="001C41A0">
        <w:rPr>
          <w:rFonts w:ascii="Times New Roman" w:hAnsi="Times New Roman" w:cs="Times New Roman"/>
          <w:i/>
          <w:iCs/>
          <w:sz w:val="24"/>
          <w:szCs w:val="24"/>
        </w:rPr>
        <w:t xml:space="preserve">Human Rights Act 2004 </w:t>
      </w:r>
      <w:r w:rsidR="001C41A0">
        <w:rPr>
          <w:rFonts w:ascii="Times New Roman" w:hAnsi="Times New Roman" w:cs="Times New Roman"/>
          <w:sz w:val="24"/>
          <w:szCs w:val="24"/>
        </w:rPr>
        <w:t xml:space="preserve">(ACT)). </w:t>
      </w:r>
      <w:r w:rsidR="00D20FF7">
        <w:rPr>
          <w:rFonts w:ascii="Times New Roman" w:hAnsi="Times New Roman" w:cs="Times New Roman"/>
          <w:sz w:val="24"/>
          <w:szCs w:val="24"/>
        </w:rPr>
        <w:t xml:space="preserve">As leave to reopen </w:t>
      </w:r>
      <w:r w:rsidR="00D20FF7">
        <w:rPr>
          <w:rFonts w:ascii="Times New Roman" w:hAnsi="Times New Roman" w:cs="Times New Roman"/>
          <w:i/>
          <w:iCs/>
          <w:sz w:val="24"/>
          <w:szCs w:val="24"/>
        </w:rPr>
        <w:t xml:space="preserve">Momcilovic </w:t>
      </w:r>
      <w:r w:rsidR="00D20FF7">
        <w:rPr>
          <w:rFonts w:ascii="Times New Roman" w:hAnsi="Times New Roman" w:cs="Times New Roman"/>
          <w:sz w:val="24"/>
          <w:szCs w:val="24"/>
        </w:rPr>
        <w:t>is not required</w:t>
      </w:r>
      <w:r w:rsidR="006D77FC">
        <w:rPr>
          <w:rFonts w:ascii="Times New Roman" w:hAnsi="Times New Roman" w:cs="Times New Roman"/>
          <w:sz w:val="24"/>
          <w:szCs w:val="24"/>
        </w:rPr>
        <w:t xml:space="preserve"> to resolve this issue</w:t>
      </w:r>
      <w:r w:rsidR="00D20FF7">
        <w:rPr>
          <w:rFonts w:ascii="Times New Roman" w:hAnsi="Times New Roman" w:cs="Times New Roman"/>
          <w:sz w:val="24"/>
          <w:szCs w:val="24"/>
        </w:rPr>
        <w:t>,</w:t>
      </w:r>
      <w:r w:rsidR="00250C1D">
        <w:rPr>
          <w:rStyle w:val="FootnoteReference"/>
          <w:szCs w:val="24"/>
        </w:rPr>
        <w:footnoteReference w:id="14"/>
      </w:r>
      <w:r w:rsidR="00D20FF7">
        <w:rPr>
          <w:rFonts w:ascii="Times New Roman" w:hAnsi="Times New Roman" w:cs="Times New Roman"/>
          <w:sz w:val="24"/>
          <w:szCs w:val="24"/>
        </w:rPr>
        <w:t xml:space="preserve"> </w:t>
      </w:r>
      <w:r w:rsidR="00F22C73">
        <w:rPr>
          <w:rFonts w:ascii="Times New Roman" w:hAnsi="Times New Roman" w:cs="Times New Roman"/>
          <w:sz w:val="24"/>
          <w:szCs w:val="24"/>
        </w:rPr>
        <w:t xml:space="preserve">the burden of overcoming that hurdle does not </w:t>
      </w:r>
      <w:r w:rsidR="00772AC1">
        <w:rPr>
          <w:rFonts w:ascii="Times New Roman" w:hAnsi="Times New Roman" w:cs="Times New Roman"/>
          <w:sz w:val="24"/>
          <w:szCs w:val="24"/>
        </w:rPr>
        <w:t xml:space="preserve">stand in the way of </w:t>
      </w:r>
      <w:r w:rsidR="007009F6">
        <w:rPr>
          <w:rFonts w:ascii="Times New Roman" w:hAnsi="Times New Roman" w:cs="Times New Roman"/>
          <w:sz w:val="24"/>
          <w:szCs w:val="24"/>
        </w:rPr>
        <w:t xml:space="preserve">a grant of </w:t>
      </w:r>
      <w:r w:rsidR="00772AC1">
        <w:rPr>
          <w:rFonts w:ascii="Times New Roman" w:hAnsi="Times New Roman" w:cs="Times New Roman"/>
          <w:sz w:val="24"/>
          <w:szCs w:val="24"/>
        </w:rPr>
        <w:t>special leave.</w:t>
      </w:r>
      <w:bookmarkEnd w:id="0"/>
      <w:r w:rsidR="00772AC1">
        <w:rPr>
          <w:rFonts w:ascii="Times New Roman" w:hAnsi="Times New Roman" w:cs="Times New Roman"/>
          <w:sz w:val="24"/>
          <w:szCs w:val="24"/>
        </w:rPr>
        <w:t xml:space="preserve"> </w:t>
      </w:r>
    </w:p>
    <w:p w14:paraId="0E25A50C" w14:textId="4A712637" w:rsidR="00E73F6A" w:rsidRDefault="00E73F6A" w:rsidP="005A2A6C">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bookmarkStart w:id="1" w:name="_Ref234237289"/>
      <w:r>
        <w:rPr>
          <w:rFonts w:ascii="Times New Roman" w:hAnsi="Times New Roman" w:cs="Times New Roman"/>
          <w:sz w:val="24"/>
          <w:szCs w:val="24"/>
        </w:rPr>
        <w:t xml:space="preserve">The result would have been different </w:t>
      </w:r>
      <w:r w:rsidR="00230F9B">
        <w:rPr>
          <w:rFonts w:ascii="Times New Roman" w:hAnsi="Times New Roman" w:cs="Times New Roman"/>
          <w:sz w:val="24"/>
          <w:szCs w:val="24"/>
        </w:rPr>
        <w:t xml:space="preserve">for Ms Smith </w:t>
      </w:r>
      <w:r>
        <w:rPr>
          <w:rFonts w:ascii="Times New Roman" w:hAnsi="Times New Roman" w:cs="Times New Roman"/>
          <w:sz w:val="24"/>
          <w:szCs w:val="24"/>
        </w:rPr>
        <w:t xml:space="preserve">if the </w:t>
      </w:r>
      <w:r w:rsidR="00EB0EA7">
        <w:rPr>
          <w:rFonts w:ascii="Times New Roman" w:hAnsi="Times New Roman" w:cs="Times New Roman"/>
          <w:sz w:val="24"/>
          <w:szCs w:val="24"/>
        </w:rPr>
        <w:t xml:space="preserve">approach advanced by the Applicant </w:t>
      </w:r>
      <w:r w:rsidR="006559F9">
        <w:rPr>
          <w:rFonts w:ascii="Times New Roman" w:hAnsi="Times New Roman" w:cs="Times New Roman"/>
          <w:sz w:val="24"/>
          <w:szCs w:val="24"/>
        </w:rPr>
        <w:t xml:space="preserve">had been </w:t>
      </w:r>
      <w:r w:rsidR="00230F9B">
        <w:rPr>
          <w:rFonts w:ascii="Times New Roman" w:hAnsi="Times New Roman" w:cs="Times New Roman"/>
          <w:sz w:val="24"/>
          <w:szCs w:val="24"/>
        </w:rPr>
        <w:t>followed</w:t>
      </w:r>
      <w:r w:rsidR="006559F9">
        <w:rPr>
          <w:rFonts w:ascii="Times New Roman" w:hAnsi="Times New Roman" w:cs="Times New Roman"/>
          <w:sz w:val="24"/>
          <w:szCs w:val="24"/>
        </w:rPr>
        <w:t xml:space="preserve">. </w:t>
      </w:r>
      <w:r w:rsidR="006217D1">
        <w:rPr>
          <w:rFonts w:ascii="Times New Roman" w:hAnsi="Times New Roman" w:cs="Times New Roman"/>
          <w:sz w:val="24"/>
          <w:szCs w:val="24"/>
        </w:rPr>
        <w:t>Had</w:t>
      </w:r>
      <w:r w:rsidR="00A4711B">
        <w:rPr>
          <w:rFonts w:ascii="Times New Roman" w:hAnsi="Times New Roman" w:cs="Times New Roman"/>
          <w:sz w:val="24"/>
          <w:szCs w:val="24"/>
        </w:rPr>
        <w:t xml:space="preserve"> the Court of Appeal</w:t>
      </w:r>
      <w:r w:rsidR="00D17A28">
        <w:rPr>
          <w:rFonts w:ascii="Times New Roman" w:hAnsi="Times New Roman" w:cs="Times New Roman"/>
          <w:sz w:val="24"/>
          <w:szCs w:val="24"/>
        </w:rPr>
        <w:t>, in</w:t>
      </w:r>
      <w:r w:rsidR="00BD1AAD">
        <w:rPr>
          <w:rFonts w:ascii="Times New Roman" w:hAnsi="Times New Roman" w:cs="Times New Roman"/>
          <w:sz w:val="24"/>
          <w:szCs w:val="24"/>
        </w:rPr>
        <w:t xml:space="preserve"> giving the words of s 22(2) of the </w:t>
      </w:r>
      <w:r w:rsidR="00BD1AAD" w:rsidRPr="006C2B23">
        <w:rPr>
          <w:rFonts w:ascii="Times New Roman" w:hAnsi="Times New Roman" w:cs="Times New Roman"/>
          <w:b/>
          <w:i/>
          <w:sz w:val="24"/>
          <w:szCs w:val="24"/>
        </w:rPr>
        <w:t>C</w:t>
      </w:r>
      <w:r w:rsidR="00BD1AAD">
        <w:rPr>
          <w:rFonts w:ascii="Times New Roman" w:hAnsi="Times New Roman" w:cs="Times New Roman"/>
          <w:i/>
          <w:iCs/>
          <w:sz w:val="24"/>
          <w:szCs w:val="24"/>
        </w:rPr>
        <w:t xml:space="preserve">orrective </w:t>
      </w:r>
      <w:r w:rsidR="00BD1AAD" w:rsidRPr="006C2B23">
        <w:rPr>
          <w:rFonts w:ascii="Times New Roman" w:hAnsi="Times New Roman" w:cs="Times New Roman"/>
          <w:b/>
          <w:i/>
          <w:sz w:val="24"/>
          <w:szCs w:val="24"/>
        </w:rPr>
        <w:t>S</w:t>
      </w:r>
      <w:r w:rsidR="00BD1AAD">
        <w:rPr>
          <w:rFonts w:ascii="Times New Roman" w:hAnsi="Times New Roman" w:cs="Times New Roman"/>
          <w:i/>
          <w:iCs/>
          <w:sz w:val="24"/>
          <w:szCs w:val="24"/>
        </w:rPr>
        <w:t xml:space="preserve">ervices </w:t>
      </w:r>
      <w:r w:rsidR="00BD1AAD" w:rsidRPr="006C2B23">
        <w:rPr>
          <w:rFonts w:ascii="Times New Roman" w:hAnsi="Times New Roman" w:cs="Times New Roman"/>
          <w:b/>
          <w:i/>
          <w:sz w:val="24"/>
          <w:szCs w:val="24"/>
        </w:rPr>
        <w:t>Act</w:t>
      </w:r>
      <w:r w:rsidR="00BD1AAD">
        <w:rPr>
          <w:rFonts w:ascii="Times New Roman" w:hAnsi="Times New Roman" w:cs="Times New Roman"/>
          <w:i/>
          <w:iCs/>
          <w:sz w:val="24"/>
          <w:szCs w:val="24"/>
        </w:rPr>
        <w:t xml:space="preserve"> 2006 </w:t>
      </w:r>
      <w:r w:rsidR="00BD1AAD">
        <w:rPr>
          <w:rFonts w:ascii="Times New Roman" w:hAnsi="Times New Roman" w:cs="Times New Roman"/>
          <w:sz w:val="24"/>
          <w:szCs w:val="24"/>
        </w:rPr>
        <w:t>(Qld)</w:t>
      </w:r>
      <w:r w:rsidR="000D0203">
        <w:rPr>
          <w:rFonts w:ascii="Times New Roman" w:hAnsi="Times New Roman" w:cs="Times New Roman"/>
          <w:sz w:val="24"/>
          <w:szCs w:val="24"/>
        </w:rPr>
        <w:t xml:space="preserve"> the meaning that the legislature is taken to have intended th</w:t>
      </w:r>
      <w:r w:rsidR="00F012E8">
        <w:rPr>
          <w:rFonts w:ascii="Times New Roman" w:hAnsi="Times New Roman" w:cs="Times New Roman"/>
          <w:sz w:val="24"/>
          <w:szCs w:val="24"/>
        </w:rPr>
        <w:t>e</w:t>
      </w:r>
      <w:r w:rsidR="000D0203">
        <w:rPr>
          <w:rFonts w:ascii="Times New Roman" w:hAnsi="Times New Roman" w:cs="Times New Roman"/>
          <w:sz w:val="24"/>
          <w:szCs w:val="24"/>
        </w:rPr>
        <w:t xml:space="preserve">m to have, having regard to the grammatical meaning of the provision, </w:t>
      </w:r>
      <w:r w:rsidR="00F012E8">
        <w:rPr>
          <w:rFonts w:ascii="Times New Roman" w:hAnsi="Times New Roman" w:cs="Times New Roman"/>
          <w:sz w:val="24"/>
          <w:szCs w:val="24"/>
        </w:rPr>
        <w:t>“the context of the words, the consequences of a literal or grammatical construction, the purpose of the statute or the canons of construction</w:t>
      </w:r>
      <w:r w:rsidR="008C2ACC">
        <w:rPr>
          <w:rFonts w:ascii="Times New Roman" w:hAnsi="Times New Roman" w:cs="Times New Roman"/>
          <w:sz w:val="24"/>
          <w:szCs w:val="24"/>
        </w:rPr>
        <w:t>”</w:t>
      </w:r>
      <w:r w:rsidR="008C2ACC">
        <w:rPr>
          <w:rStyle w:val="FootnoteReference"/>
          <w:szCs w:val="24"/>
        </w:rPr>
        <w:footnoteReference w:id="15"/>
      </w:r>
      <w:r w:rsidR="00D875CD">
        <w:rPr>
          <w:rFonts w:ascii="Times New Roman" w:hAnsi="Times New Roman" w:cs="Times New Roman"/>
          <w:sz w:val="24"/>
          <w:szCs w:val="24"/>
        </w:rPr>
        <w:t xml:space="preserve">, including </w:t>
      </w:r>
      <w:r w:rsidR="00E8634F">
        <w:rPr>
          <w:rFonts w:ascii="Times New Roman" w:hAnsi="Times New Roman" w:cs="Times New Roman"/>
          <w:sz w:val="24"/>
          <w:szCs w:val="24"/>
        </w:rPr>
        <w:t>s 48 of the HR Act,</w:t>
      </w:r>
      <w:r w:rsidR="00BA4A01">
        <w:rPr>
          <w:rStyle w:val="FootnoteReference"/>
          <w:szCs w:val="24"/>
        </w:rPr>
        <w:footnoteReference w:id="16"/>
      </w:r>
      <w:r w:rsidR="00843C20">
        <w:rPr>
          <w:rFonts w:ascii="Times New Roman" w:hAnsi="Times New Roman" w:cs="Times New Roman"/>
          <w:sz w:val="24"/>
          <w:szCs w:val="24"/>
        </w:rPr>
        <w:t xml:space="preserve"> </w:t>
      </w:r>
      <w:r w:rsidR="00941B72">
        <w:rPr>
          <w:rFonts w:ascii="Times New Roman" w:hAnsi="Times New Roman" w:cs="Times New Roman"/>
          <w:sz w:val="24"/>
          <w:szCs w:val="24"/>
        </w:rPr>
        <w:t xml:space="preserve">it would have recognised </w:t>
      </w:r>
      <w:r w:rsidR="00E31923">
        <w:rPr>
          <w:rFonts w:ascii="Times New Roman" w:hAnsi="Times New Roman" w:cs="Times New Roman"/>
          <w:sz w:val="24"/>
          <w:szCs w:val="24"/>
        </w:rPr>
        <w:t>that</w:t>
      </w:r>
      <w:r w:rsidR="00C520A4">
        <w:rPr>
          <w:rFonts w:ascii="Times New Roman" w:hAnsi="Times New Roman" w:cs="Times New Roman"/>
          <w:sz w:val="24"/>
          <w:szCs w:val="24"/>
        </w:rPr>
        <w:t xml:space="preserve"> interpreting s 22(2) </w:t>
      </w:r>
      <w:r w:rsidR="00461042">
        <w:rPr>
          <w:rFonts w:ascii="Times New Roman" w:hAnsi="Times New Roman" w:cs="Times New Roman"/>
          <w:sz w:val="24"/>
          <w:szCs w:val="24"/>
        </w:rPr>
        <w:t xml:space="preserve">so as to </w:t>
      </w:r>
      <w:r w:rsidR="00C520A4">
        <w:rPr>
          <w:rFonts w:ascii="Times New Roman" w:hAnsi="Times New Roman" w:cs="Times New Roman"/>
          <w:sz w:val="24"/>
          <w:szCs w:val="24"/>
        </w:rPr>
        <w:t xml:space="preserve">prevent </w:t>
      </w:r>
      <w:r w:rsidR="00F41504">
        <w:rPr>
          <w:rFonts w:ascii="Times New Roman" w:hAnsi="Times New Roman" w:cs="Times New Roman"/>
          <w:sz w:val="24"/>
          <w:szCs w:val="24"/>
        </w:rPr>
        <w:t>the Applicant</w:t>
      </w:r>
      <w:r w:rsidR="00E31923">
        <w:rPr>
          <w:rFonts w:ascii="Times New Roman" w:hAnsi="Times New Roman" w:cs="Times New Roman"/>
          <w:sz w:val="24"/>
          <w:szCs w:val="24"/>
        </w:rPr>
        <w:t xml:space="preserve"> </w:t>
      </w:r>
      <w:r w:rsidR="00C520A4">
        <w:rPr>
          <w:rFonts w:ascii="Times New Roman" w:hAnsi="Times New Roman" w:cs="Times New Roman"/>
          <w:sz w:val="24"/>
          <w:szCs w:val="24"/>
        </w:rPr>
        <w:t xml:space="preserve">from having her eggs frozen, </w:t>
      </w:r>
      <w:r w:rsidR="00B722CC">
        <w:rPr>
          <w:rFonts w:ascii="Times New Roman" w:hAnsi="Times New Roman" w:cs="Times New Roman"/>
          <w:sz w:val="24"/>
          <w:szCs w:val="24"/>
        </w:rPr>
        <w:t>was not compatible with her</w:t>
      </w:r>
      <w:r w:rsidR="00E31923">
        <w:rPr>
          <w:rFonts w:ascii="Times New Roman" w:hAnsi="Times New Roman" w:cs="Times New Roman"/>
          <w:sz w:val="24"/>
          <w:szCs w:val="24"/>
        </w:rPr>
        <w:t xml:space="preserve"> right to health services</w:t>
      </w:r>
      <w:r w:rsidR="00244F7F">
        <w:rPr>
          <w:rStyle w:val="FootnoteReference"/>
          <w:szCs w:val="24"/>
        </w:rPr>
        <w:footnoteReference w:id="17"/>
      </w:r>
      <w:r w:rsidR="00E31923">
        <w:rPr>
          <w:rFonts w:ascii="Times New Roman" w:hAnsi="Times New Roman" w:cs="Times New Roman"/>
          <w:sz w:val="24"/>
          <w:szCs w:val="24"/>
        </w:rPr>
        <w:t xml:space="preserve"> and the right to humane treatment when deprived of liberty</w:t>
      </w:r>
      <w:r w:rsidR="00244F7F">
        <w:rPr>
          <w:rStyle w:val="FootnoteReference"/>
          <w:szCs w:val="24"/>
        </w:rPr>
        <w:footnoteReference w:id="18"/>
      </w:r>
      <w:r w:rsidR="00C520A4">
        <w:rPr>
          <w:rFonts w:ascii="Times New Roman" w:hAnsi="Times New Roman" w:cs="Times New Roman"/>
          <w:sz w:val="24"/>
          <w:szCs w:val="24"/>
        </w:rPr>
        <w:t xml:space="preserve"> </w:t>
      </w:r>
      <w:r w:rsidR="00011BB4">
        <w:rPr>
          <w:rFonts w:ascii="Times New Roman" w:hAnsi="Times New Roman" w:cs="Times New Roman"/>
          <w:sz w:val="24"/>
          <w:szCs w:val="24"/>
        </w:rPr>
        <w:t xml:space="preserve"> (see paragraphs </w:t>
      </w:r>
      <w:r w:rsidR="00011BB4">
        <w:rPr>
          <w:rFonts w:ascii="Times New Roman" w:hAnsi="Times New Roman" w:cs="Times New Roman"/>
          <w:sz w:val="24"/>
          <w:szCs w:val="24"/>
        </w:rPr>
        <w:fldChar w:fldCharType="begin"/>
      </w:r>
      <w:r w:rsidR="00011BB4">
        <w:rPr>
          <w:rFonts w:ascii="Times New Roman" w:hAnsi="Times New Roman" w:cs="Times New Roman"/>
          <w:sz w:val="24"/>
          <w:szCs w:val="24"/>
        </w:rPr>
        <w:instrText xml:space="preserve"> REF _Ref234235427 \r \h </w:instrText>
      </w:r>
      <w:r w:rsidR="00011BB4">
        <w:rPr>
          <w:rFonts w:ascii="Times New Roman" w:hAnsi="Times New Roman" w:cs="Times New Roman"/>
          <w:sz w:val="24"/>
          <w:szCs w:val="24"/>
        </w:rPr>
      </w:r>
      <w:r w:rsidR="00011BB4">
        <w:rPr>
          <w:rFonts w:ascii="Times New Roman" w:hAnsi="Times New Roman" w:cs="Times New Roman"/>
          <w:sz w:val="24"/>
          <w:szCs w:val="24"/>
        </w:rPr>
        <w:fldChar w:fldCharType="separate"/>
      </w:r>
      <w:r w:rsidR="00011BB4">
        <w:rPr>
          <w:rFonts w:ascii="Times New Roman" w:hAnsi="Times New Roman" w:cs="Times New Roman"/>
          <w:sz w:val="24"/>
          <w:szCs w:val="24"/>
        </w:rPr>
        <w:t>8</w:t>
      </w:r>
      <w:r w:rsidR="00011BB4">
        <w:rPr>
          <w:rFonts w:ascii="Times New Roman" w:hAnsi="Times New Roman" w:cs="Times New Roman"/>
          <w:sz w:val="24"/>
          <w:szCs w:val="24"/>
        </w:rPr>
        <w:fldChar w:fldCharType="end"/>
      </w:r>
      <w:r w:rsidR="00011BB4">
        <w:rPr>
          <w:rFonts w:ascii="Times New Roman" w:hAnsi="Times New Roman" w:cs="Times New Roman"/>
          <w:sz w:val="24"/>
          <w:szCs w:val="24"/>
        </w:rPr>
        <w:t xml:space="preserve"> to </w:t>
      </w:r>
      <w:r w:rsidR="00011BB4">
        <w:rPr>
          <w:rFonts w:ascii="Times New Roman" w:hAnsi="Times New Roman" w:cs="Times New Roman"/>
          <w:sz w:val="24"/>
          <w:szCs w:val="24"/>
        </w:rPr>
        <w:fldChar w:fldCharType="begin"/>
      </w:r>
      <w:r w:rsidR="00011BB4">
        <w:rPr>
          <w:rFonts w:ascii="Times New Roman" w:hAnsi="Times New Roman" w:cs="Times New Roman"/>
          <w:sz w:val="24"/>
          <w:szCs w:val="24"/>
        </w:rPr>
        <w:instrText xml:space="preserve"> REF _Ref234328186 \r \h </w:instrText>
      </w:r>
      <w:r w:rsidR="00011BB4">
        <w:rPr>
          <w:rFonts w:ascii="Times New Roman" w:hAnsi="Times New Roman" w:cs="Times New Roman"/>
          <w:sz w:val="24"/>
          <w:szCs w:val="24"/>
        </w:rPr>
      </w:r>
      <w:r w:rsidR="00011BB4">
        <w:rPr>
          <w:rFonts w:ascii="Times New Roman" w:hAnsi="Times New Roman" w:cs="Times New Roman"/>
          <w:sz w:val="24"/>
          <w:szCs w:val="24"/>
        </w:rPr>
        <w:fldChar w:fldCharType="separate"/>
      </w:r>
      <w:r w:rsidR="00011BB4">
        <w:rPr>
          <w:rFonts w:ascii="Times New Roman" w:hAnsi="Times New Roman" w:cs="Times New Roman"/>
          <w:sz w:val="24"/>
          <w:szCs w:val="24"/>
        </w:rPr>
        <w:t>30</w:t>
      </w:r>
      <w:r w:rsidR="00011BB4">
        <w:rPr>
          <w:rFonts w:ascii="Times New Roman" w:hAnsi="Times New Roman" w:cs="Times New Roman"/>
          <w:sz w:val="24"/>
          <w:szCs w:val="24"/>
        </w:rPr>
        <w:fldChar w:fldCharType="end"/>
      </w:r>
      <w:r w:rsidR="002E665D">
        <w:rPr>
          <w:rFonts w:ascii="Times New Roman" w:hAnsi="Times New Roman" w:cs="Times New Roman"/>
          <w:sz w:val="24"/>
          <w:szCs w:val="24"/>
        </w:rPr>
        <w:t xml:space="preserve"> below</w:t>
      </w:r>
      <w:r w:rsidR="00011BB4">
        <w:rPr>
          <w:rFonts w:ascii="Times New Roman" w:hAnsi="Times New Roman" w:cs="Times New Roman"/>
          <w:sz w:val="24"/>
          <w:szCs w:val="24"/>
        </w:rPr>
        <w:t xml:space="preserve">) </w:t>
      </w:r>
      <w:r w:rsidR="00B722CC">
        <w:rPr>
          <w:rFonts w:ascii="Times New Roman" w:hAnsi="Times New Roman" w:cs="Times New Roman"/>
          <w:sz w:val="24"/>
          <w:szCs w:val="24"/>
        </w:rPr>
        <w:t xml:space="preserve">and </w:t>
      </w:r>
      <w:r w:rsidR="00C520A4">
        <w:rPr>
          <w:rFonts w:ascii="Times New Roman" w:hAnsi="Times New Roman" w:cs="Times New Roman"/>
          <w:sz w:val="24"/>
          <w:szCs w:val="24"/>
        </w:rPr>
        <w:t xml:space="preserve">was not </w:t>
      </w:r>
      <w:r w:rsidR="000F3B3D">
        <w:rPr>
          <w:rFonts w:ascii="Times New Roman" w:hAnsi="Times New Roman" w:cs="Times New Roman"/>
          <w:sz w:val="24"/>
          <w:szCs w:val="24"/>
        </w:rPr>
        <w:t>a meaning that was</w:t>
      </w:r>
      <w:r w:rsidR="009C1766">
        <w:rPr>
          <w:rFonts w:ascii="Times New Roman" w:hAnsi="Times New Roman" w:cs="Times New Roman"/>
          <w:sz w:val="24"/>
          <w:szCs w:val="24"/>
        </w:rPr>
        <w:t xml:space="preserve"> clearly expressed</w:t>
      </w:r>
      <w:r w:rsidR="00E252CC">
        <w:rPr>
          <w:rFonts w:ascii="Times New Roman" w:hAnsi="Times New Roman" w:cs="Times New Roman"/>
          <w:sz w:val="24"/>
          <w:szCs w:val="24"/>
        </w:rPr>
        <w:t xml:space="preserve"> or consistent with the purpose of the provision</w:t>
      </w:r>
      <w:r w:rsidR="00EB6DFF">
        <w:rPr>
          <w:rFonts w:ascii="Times New Roman" w:hAnsi="Times New Roman" w:cs="Times New Roman"/>
          <w:sz w:val="24"/>
          <w:szCs w:val="24"/>
        </w:rPr>
        <w:t>, for the reasons stated at A[34]</w:t>
      </w:r>
      <w:r w:rsidR="0071155D">
        <w:rPr>
          <w:rFonts w:ascii="Times New Roman" w:hAnsi="Times New Roman" w:cs="Times New Roman"/>
          <w:sz w:val="24"/>
          <w:szCs w:val="24"/>
        </w:rPr>
        <w:t>-[35]</w:t>
      </w:r>
      <w:r w:rsidR="00B722CC">
        <w:rPr>
          <w:rFonts w:ascii="Times New Roman" w:hAnsi="Times New Roman" w:cs="Times New Roman"/>
          <w:sz w:val="24"/>
          <w:szCs w:val="24"/>
        </w:rPr>
        <w:t>.</w:t>
      </w:r>
      <w:bookmarkEnd w:id="1"/>
    </w:p>
    <w:p w14:paraId="34B3C500" w14:textId="3778320D" w:rsidR="00022D41" w:rsidRDefault="00022D41" w:rsidP="00E9209C">
      <w:pPr>
        <w:tabs>
          <w:tab w:val="left" w:pos="567"/>
        </w:tabs>
        <w:spacing w:before="120" w:after="240" w:line="360" w:lineRule="auto"/>
        <w:ind w:left="567" w:hanging="567"/>
        <w:rPr>
          <w:u w:val="single"/>
        </w:rPr>
      </w:pPr>
      <w:r>
        <w:rPr>
          <w:u w:val="single"/>
        </w:rPr>
        <w:t>Ground 2 – the proper construction of s 22(2)</w:t>
      </w:r>
    </w:p>
    <w:p w14:paraId="4E9AB245" w14:textId="599C6AB5" w:rsidR="009A0958" w:rsidRPr="003F0F1D" w:rsidRDefault="003360EA" w:rsidP="003F0F1D">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bookmarkStart w:id="2" w:name="_Ref234238085"/>
      <w:r>
        <w:rPr>
          <w:rFonts w:ascii="Times New Roman" w:hAnsi="Times New Roman" w:cs="Times New Roman"/>
          <w:sz w:val="24"/>
          <w:szCs w:val="24"/>
        </w:rPr>
        <w:t>G</w:t>
      </w:r>
      <w:r w:rsidR="00D62A45" w:rsidRPr="003F0F1D">
        <w:rPr>
          <w:rFonts w:ascii="Times New Roman" w:hAnsi="Times New Roman" w:cs="Times New Roman"/>
          <w:sz w:val="24"/>
          <w:szCs w:val="24"/>
        </w:rPr>
        <w:t xml:space="preserve">round 2 </w:t>
      </w:r>
      <w:r w:rsidR="007A3C52">
        <w:rPr>
          <w:rFonts w:ascii="Times New Roman" w:hAnsi="Times New Roman" w:cs="Times New Roman"/>
          <w:sz w:val="24"/>
          <w:szCs w:val="24"/>
        </w:rPr>
        <w:t xml:space="preserve">requires the interpretive exercise under </w:t>
      </w:r>
      <w:r w:rsidR="00291007">
        <w:rPr>
          <w:rFonts w:ascii="Times New Roman" w:hAnsi="Times New Roman" w:cs="Times New Roman"/>
          <w:sz w:val="24"/>
          <w:szCs w:val="24"/>
        </w:rPr>
        <w:t>the HR Act to</w:t>
      </w:r>
      <w:r w:rsidR="00083015" w:rsidRPr="003F0F1D">
        <w:rPr>
          <w:rFonts w:ascii="Times New Roman" w:hAnsi="Times New Roman" w:cs="Times New Roman"/>
          <w:sz w:val="24"/>
          <w:szCs w:val="24"/>
        </w:rPr>
        <w:t xml:space="preserve"> </w:t>
      </w:r>
      <w:r w:rsidR="006F7318" w:rsidRPr="003F0F1D">
        <w:rPr>
          <w:rFonts w:ascii="Times New Roman" w:hAnsi="Times New Roman" w:cs="Times New Roman"/>
          <w:sz w:val="24"/>
          <w:szCs w:val="24"/>
        </w:rPr>
        <w:t xml:space="preserve">be conducted </w:t>
      </w:r>
      <w:r w:rsidR="000A7C29" w:rsidRPr="003F0F1D">
        <w:rPr>
          <w:rFonts w:ascii="Times New Roman" w:hAnsi="Times New Roman" w:cs="Times New Roman"/>
          <w:sz w:val="24"/>
          <w:szCs w:val="24"/>
        </w:rPr>
        <w:t>to ascertain the meaning of s 22(2) of the CS Act.</w:t>
      </w:r>
      <w:r w:rsidR="00C62ADD">
        <w:rPr>
          <w:rStyle w:val="FootnoteReference"/>
          <w:szCs w:val="24"/>
        </w:rPr>
        <w:footnoteReference w:id="19"/>
      </w:r>
      <w:r w:rsidR="000A7C29" w:rsidRPr="003F0F1D">
        <w:rPr>
          <w:rFonts w:ascii="Times New Roman" w:hAnsi="Times New Roman" w:cs="Times New Roman"/>
          <w:sz w:val="24"/>
          <w:szCs w:val="24"/>
        </w:rPr>
        <w:t xml:space="preserve"> </w:t>
      </w:r>
      <w:r w:rsidR="00181BA7">
        <w:rPr>
          <w:rFonts w:ascii="Times New Roman" w:hAnsi="Times New Roman" w:cs="Times New Roman"/>
          <w:sz w:val="24"/>
          <w:szCs w:val="24"/>
        </w:rPr>
        <w:t>A</w:t>
      </w:r>
      <w:r w:rsidR="006C5AD1" w:rsidRPr="003F0F1D">
        <w:rPr>
          <w:rFonts w:ascii="Times New Roman" w:hAnsi="Times New Roman" w:cs="Times New Roman"/>
          <w:sz w:val="24"/>
          <w:szCs w:val="24"/>
        </w:rPr>
        <w:t>pplication of th</w:t>
      </w:r>
      <w:r w:rsidR="00E3240D">
        <w:rPr>
          <w:rFonts w:ascii="Times New Roman" w:hAnsi="Times New Roman" w:cs="Times New Roman"/>
          <w:sz w:val="24"/>
          <w:szCs w:val="24"/>
        </w:rPr>
        <w:t>at</w:t>
      </w:r>
      <w:r w:rsidR="00F63C9E">
        <w:rPr>
          <w:rFonts w:ascii="Times New Roman" w:hAnsi="Times New Roman" w:cs="Times New Roman"/>
          <w:sz w:val="24"/>
          <w:szCs w:val="24"/>
        </w:rPr>
        <w:t xml:space="preserve"> </w:t>
      </w:r>
      <w:r w:rsidR="006C5AD1" w:rsidRPr="003F0F1D">
        <w:rPr>
          <w:rFonts w:ascii="Times New Roman" w:hAnsi="Times New Roman" w:cs="Times New Roman"/>
          <w:sz w:val="24"/>
          <w:szCs w:val="24"/>
        </w:rPr>
        <w:t>analysis supports the Applicant’s construction.</w:t>
      </w:r>
      <w:bookmarkEnd w:id="2"/>
      <w:r w:rsidR="006C5AD1" w:rsidRPr="003F0F1D">
        <w:rPr>
          <w:rFonts w:ascii="Times New Roman" w:hAnsi="Times New Roman" w:cs="Times New Roman"/>
          <w:sz w:val="24"/>
          <w:szCs w:val="24"/>
        </w:rPr>
        <w:t xml:space="preserve"> </w:t>
      </w:r>
    </w:p>
    <w:p w14:paraId="50F728F8" w14:textId="30C5B398" w:rsidR="009A0958" w:rsidRPr="003B6D7C" w:rsidRDefault="009A0958" w:rsidP="003B6D7C">
      <w:pPr>
        <w:pStyle w:val="NumberLevel1"/>
        <w:numPr>
          <w:ilvl w:val="0"/>
          <w:numId w:val="8"/>
        </w:numPr>
        <w:spacing w:before="120" w:after="240" w:line="360" w:lineRule="auto"/>
        <w:ind w:left="567" w:right="-285" w:hanging="567"/>
        <w:jc w:val="both"/>
        <w:rPr>
          <w:rFonts w:ascii="Times New Roman" w:hAnsi="Times New Roman" w:cs="Times New Roman"/>
          <w:sz w:val="8"/>
          <w:szCs w:val="8"/>
        </w:rPr>
      </w:pPr>
      <w:bookmarkStart w:id="3" w:name="_Ref234235427"/>
      <w:r>
        <w:rPr>
          <w:rFonts w:ascii="Times New Roman" w:hAnsi="Times New Roman" w:cs="Times New Roman"/>
          <w:sz w:val="24"/>
          <w:szCs w:val="24"/>
        </w:rPr>
        <w:t>Before the primary judge and in this appeal</w:t>
      </w:r>
      <w:r w:rsidRPr="00A13DB8">
        <w:rPr>
          <w:rFonts w:ascii="Times New Roman" w:hAnsi="Times New Roman" w:cs="Times New Roman"/>
          <w:sz w:val="24"/>
          <w:szCs w:val="24"/>
        </w:rPr>
        <w:t>, the App</w:t>
      </w:r>
      <w:r w:rsidR="00F34460" w:rsidRPr="00A13DB8">
        <w:rPr>
          <w:rFonts w:ascii="Times New Roman" w:hAnsi="Times New Roman" w:cs="Times New Roman"/>
          <w:sz w:val="24"/>
          <w:szCs w:val="24"/>
        </w:rPr>
        <w:t>licant</w:t>
      </w:r>
      <w:r w:rsidRPr="00A13DB8">
        <w:rPr>
          <w:rFonts w:ascii="Times New Roman" w:hAnsi="Times New Roman" w:cs="Times New Roman"/>
          <w:sz w:val="24"/>
          <w:szCs w:val="24"/>
        </w:rPr>
        <w:t xml:space="preserve"> relied</w:t>
      </w:r>
      <w:r>
        <w:rPr>
          <w:rFonts w:ascii="Times New Roman" w:hAnsi="Times New Roman" w:cs="Times New Roman"/>
          <w:sz w:val="24"/>
          <w:szCs w:val="24"/>
        </w:rPr>
        <w:t xml:space="preserve"> on </w:t>
      </w:r>
      <w:r w:rsidRPr="00921182">
        <w:rPr>
          <w:rFonts w:ascii="Times New Roman" w:hAnsi="Times New Roman" w:cs="Times New Roman"/>
          <w:sz w:val="24"/>
          <w:szCs w:val="24"/>
        </w:rPr>
        <w:t>the right to health services provided for in s 37(1) of the HR Act and, the right to humane treatment when deprived of liberty provided for in s 30(1) of the HR Act.</w:t>
      </w:r>
      <w:r>
        <w:rPr>
          <w:rFonts w:cs="Times New Roman"/>
        </w:rPr>
        <w:t xml:space="preserve"> </w:t>
      </w:r>
      <w:r w:rsidRPr="00921182">
        <w:rPr>
          <w:rFonts w:ascii="Times New Roman" w:hAnsi="Times New Roman" w:cs="Times New Roman"/>
          <w:sz w:val="24"/>
          <w:szCs w:val="24"/>
        </w:rPr>
        <w:t xml:space="preserve">The phrase “compatible with human rights” used in s 48(1) and (2) is defined in s </w:t>
      </w:r>
      <w:r w:rsidR="00FF7BDB">
        <w:rPr>
          <w:rFonts w:ascii="Times New Roman" w:hAnsi="Times New Roman" w:cs="Times New Roman"/>
          <w:sz w:val="24"/>
          <w:szCs w:val="24"/>
        </w:rPr>
        <w:t>8.</w:t>
      </w:r>
      <w:r w:rsidR="00CD7553">
        <w:rPr>
          <w:rStyle w:val="FootnoteReference"/>
          <w:szCs w:val="24"/>
        </w:rPr>
        <w:footnoteReference w:id="20"/>
      </w:r>
      <w:r w:rsidR="00FF7BDB">
        <w:rPr>
          <w:rFonts w:ascii="Times New Roman" w:hAnsi="Times New Roman" w:cs="Times New Roman"/>
          <w:sz w:val="24"/>
          <w:szCs w:val="24"/>
        </w:rPr>
        <w:t xml:space="preserve"> I</w:t>
      </w:r>
      <w:r w:rsidRPr="003B6D7C">
        <w:rPr>
          <w:rFonts w:ascii="Times New Roman" w:hAnsi="Times New Roman" w:cs="Times New Roman"/>
          <w:sz w:val="24"/>
          <w:szCs w:val="24"/>
        </w:rPr>
        <w:t xml:space="preserve">t is apparent from s 8(b) that the legislature is permitted, to an extent, to interfere with human rights. In identifying the extent of permissible interference, s 13 </w:t>
      </w:r>
      <w:r w:rsidR="00C83D33" w:rsidRPr="003B6D7C">
        <w:rPr>
          <w:rFonts w:ascii="Times New Roman" w:hAnsi="Times New Roman" w:cs="Times New Roman"/>
          <w:sz w:val="24"/>
          <w:szCs w:val="24"/>
        </w:rPr>
        <w:t xml:space="preserve">is to be applied. </w:t>
      </w:r>
      <w:r w:rsidRPr="003B6D7C">
        <w:rPr>
          <w:rFonts w:ascii="Times New Roman" w:hAnsi="Times New Roman" w:cs="Times New Roman"/>
          <w:sz w:val="24"/>
          <w:szCs w:val="24"/>
        </w:rPr>
        <w:t>Section 13</w:t>
      </w:r>
      <w:r w:rsidR="0078667F">
        <w:rPr>
          <w:rFonts w:ascii="Times New Roman" w:hAnsi="Times New Roman" w:cs="Times New Roman"/>
          <w:sz w:val="24"/>
          <w:szCs w:val="24"/>
        </w:rPr>
        <w:t xml:space="preserve"> imposes </w:t>
      </w:r>
      <w:r w:rsidRPr="003B6D7C">
        <w:rPr>
          <w:rFonts w:ascii="Times New Roman" w:hAnsi="Times New Roman" w:cs="Times New Roman"/>
          <w:sz w:val="24"/>
          <w:szCs w:val="24"/>
        </w:rPr>
        <w:t xml:space="preserve">a </w:t>
      </w:r>
      <w:r w:rsidRPr="003B6D7C">
        <w:rPr>
          <w:rFonts w:ascii="Times New Roman" w:hAnsi="Times New Roman" w:cs="Times New Roman"/>
          <w:sz w:val="24"/>
          <w:szCs w:val="24"/>
        </w:rPr>
        <w:lastRenderedPageBreak/>
        <w:t>proportionality test</w:t>
      </w:r>
      <w:r>
        <w:rPr>
          <w:rStyle w:val="FootnoteReference"/>
          <w:szCs w:val="24"/>
        </w:rPr>
        <w:footnoteReference w:id="21"/>
      </w:r>
      <w:r w:rsidRPr="003B6D7C">
        <w:rPr>
          <w:rFonts w:ascii="Times New Roman" w:hAnsi="Times New Roman" w:cs="Times New Roman"/>
          <w:sz w:val="24"/>
          <w:szCs w:val="24"/>
        </w:rPr>
        <w:t xml:space="preserve"> to determine whether the potential interpretations are justified before the ultimate meaning of the provision is ascertained.</w:t>
      </w:r>
      <w:r w:rsidRPr="003B6D7C">
        <w:rPr>
          <w:rFonts w:ascii="Times New Roman" w:hAnsi="Times New Roman" w:cs="Times New Roman"/>
          <w:b/>
          <w:bCs/>
          <w:sz w:val="24"/>
          <w:szCs w:val="24"/>
        </w:rPr>
        <w:t xml:space="preserve"> </w:t>
      </w:r>
      <w:r w:rsidRPr="003B6D7C">
        <w:rPr>
          <w:rFonts w:ascii="Times New Roman" w:hAnsi="Times New Roman" w:cs="Times New Roman"/>
          <w:sz w:val="24"/>
          <w:szCs w:val="24"/>
        </w:rPr>
        <w:t>Compatibility with human rights is to be considered in three stages: engagement,</w:t>
      </w:r>
      <w:r>
        <w:rPr>
          <w:rStyle w:val="FootnoteReference"/>
          <w:szCs w:val="24"/>
        </w:rPr>
        <w:footnoteReference w:id="22"/>
      </w:r>
      <w:r w:rsidRPr="003B6D7C">
        <w:rPr>
          <w:rFonts w:ascii="Times New Roman" w:hAnsi="Times New Roman" w:cs="Times New Roman"/>
          <w:sz w:val="24"/>
          <w:szCs w:val="24"/>
        </w:rPr>
        <w:t xml:space="preserve"> limitation,</w:t>
      </w:r>
      <w:r>
        <w:rPr>
          <w:rStyle w:val="FootnoteReference"/>
          <w:szCs w:val="24"/>
        </w:rPr>
        <w:footnoteReference w:id="23"/>
      </w:r>
      <w:r w:rsidRPr="003B6D7C">
        <w:rPr>
          <w:rFonts w:ascii="Times New Roman" w:hAnsi="Times New Roman" w:cs="Times New Roman"/>
          <w:sz w:val="24"/>
          <w:szCs w:val="24"/>
        </w:rPr>
        <w:t xml:space="preserve"> and justification.</w:t>
      </w:r>
      <w:r>
        <w:rPr>
          <w:rStyle w:val="FootnoteReference"/>
          <w:szCs w:val="24"/>
        </w:rPr>
        <w:footnoteReference w:id="24"/>
      </w:r>
      <w:r w:rsidRPr="003B6D7C">
        <w:rPr>
          <w:rFonts w:ascii="Times New Roman" w:hAnsi="Times New Roman" w:cs="Times New Roman"/>
          <w:sz w:val="24"/>
          <w:szCs w:val="24"/>
        </w:rPr>
        <w:t xml:space="preserve"> The onus (which is stringent) rests with the </w:t>
      </w:r>
      <w:r w:rsidR="004B2745">
        <w:rPr>
          <w:rFonts w:ascii="Times New Roman" w:hAnsi="Times New Roman" w:cs="Times New Roman"/>
          <w:sz w:val="24"/>
          <w:szCs w:val="24"/>
        </w:rPr>
        <w:t xml:space="preserve">First </w:t>
      </w:r>
      <w:r w:rsidRPr="003B6D7C">
        <w:rPr>
          <w:rFonts w:ascii="Times New Roman" w:hAnsi="Times New Roman" w:cs="Times New Roman"/>
          <w:sz w:val="24"/>
          <w:szCs w:val="24"/>
        </w:rPr>
        <w:t>Respondent to establish, at least, justification.</w:t>
      </w:r>
      <w:r>
        <w:rPr>
          <w:rStyle w:val="FootnoteReference"/>
          <w:szCs w:val="24"/>
        </w:rPr>
        <w:footnoteReference w:id="25"/>
      </w:r>
      <w:bookmarkEnd w:id="3"/>
    </w:p>
    <w:p w14:paraId="7B5815D5" w14:textId="77777777" w:rsidR="00F715A5" w:rsidRDefault="00F715A5" w:rsidP="00F715A5">
      <w:pPr>
        <w:pStyle w:val="NumberLevel1"/>
        <w:widowControl w:val="0"/>
        <w:numPr>
          <w:ilvl w:val="0"/>
          <w:numId w:val="0"/>
        </w:numPr>
        <w:spacing w:before="120" w:after="240" w:line="360" w:lineRule="auto"/>
        <w:ind w:left="284" w:right="-285" w:hanging="284"/>
        <w:jc w:val="both"/>
        <w:rPr>
          <w:rFonts w:ascii="Times New Roman" w:hAnsi="Times New Roman" w:cs="Times New Roman"/>
          <w:i/>
          <w:iCs/>
          <w:sz w:val="24"/>
          <w:szCs w:val="24"/>
        </w:rPr>
      </w:pPr>
      <w:r w:rsidRPr="004B2745">
        <w:rPr>
          <w:rFonts w:ascii="Times New Roman" w:hAnsi="Times New Roman" w:cs="Times New Roman"/>
          <w:i/>
          <w:iCs/>
          <w:sz w:val="24"/>
          <w:szCs w:val="24"/>
        </w:rPr>
        <w:t xml:space="preserve">Engagement </w:t>
      </w:r>
      <w:r w:rsidRPr="00F715A5">
        <w:rPr>
          <w:rFonts w:ascii="Times New Roman" w:hAnsi="Times New Roman" w:cs="Times New Roman"/>
          <w:i/>
          <w:iCs/>
          <w:sz w:val="24"/>
          <w:szCs w:val="24"/>
        </w:rPr>
        <w:t>of the s 30 and s 37 rights</w:t>
      </w:r>
    </w:p>
    <w:p w14:paraId="6BA8063A" w14:textId="07D4621D" w:rsidR="00F715A5" w:rsidRPr="00F715A5" w:rsidRDefault="00F715A5" w:rsidP="003F0F1D">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r w:rsidRPr="003F0F1D">
        <w:rPr>
          <w:rFonts w:ascii="Times New Roman" w:hAnsi="Times New Roman" w:cs="Times New Roman"/>
          <w:sz w:val="24"/>
          <w:szCs w:val="24"/>
        </w:rPr>
        <w:t>Section 37 of the</w:t>
      </w:r>
      <w:r>
        <w:rPr>
          <w:rFonts w:ascii="Times New Roman" w:hAnsi="Times New Roman" w:cs="Times New Roman"/>
          <w:sz w:val="24"/>
          <w:szCs w:val="24"/>
        </w:rPr>
        <w:t xml:space="preserve"> HR Act relevantly provides</w:t>
      </w:r>
      <w:r w:rsidR="009777A3">
        <w:rPr>
          <w:rFonts w:ascii="Times New Roman" w:hAnsi="Times New Roman" w:cs="Times New Roman"/>
          <w:sz w:val="24"/>
          <w:szCs w:val="24"/>
        </w:rPr>
        <w:t>, “</w:t>
      </w:r>
      <w:r w:rsidR="004B2745">
        <w:rPr>
          <w:rFonts w:ascii="Times New Roman" w:hAnsi="Times New Roman" w:cs="Times New Roman"/>
          <w:sz w:val="24"/>
          <w:szCs w:val="24"/>
        </w:rPr>
        <w:t>[e]</w:t>
      </w:r>
      <w:r w:rsidR="009777A3">
        <w:rPr>
          <w:rFonts w:ascii="Times New Roman" w:hAnsi="Times New Roman" w:cs="Times New Roman"/>
          <w:sz w:val="24"/>
          <w:szCs w:val="24"/>
        </w:rPr>
        <w:t>very person has the right to access health services without discrimination”.</w:t>
      </w:r>
      <w:r>
        <w:rPr>
          <w:rFonts w:ascii="Times New Roman" w:hAnsi="Times New Roman" w:cs="Times New Roman"/>
          <w:sz w:val="24"/>
          <w:szCs w:val="24"/>
        </w:rPr>
        <w:t xml:space="preserve"> </w:t>
      </w:r>
    </w:p>
    <w:p w14:paraId="167E00C7" w14:textId="023F63D3" w:rsidR="00F715A5" w:rsidRPr="00807B6C" w:rsidRDefault="00F715A5" w:rsidP="00BC40F9">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bookmarkStart w:id="4" w:name="_Ref199415887"/>
      <w:r>
        <w:rPr>
          <w:rFonts w:ascii="Times New Roman" w:hAnsi="Times New Roman" w:cs="Times New Roman"/>
          <w:sz w:val="24"/>
          <w:szCs w:val="24"/>
        </w:rPr>
        <w:t>“Every person” includes prisoners.</w:t>
      </w:r>
      <w:r>
        <w:rPr>
          <w:rStyle w:val="FootnoteReference"/>
          <w:szCs w:val="24"/>
        </w:rPr>
        <w:footnoteReference w:id="26"/>
      </w:r>
      <w:bookmarkStart w:id="5" w:name="_Ref199326074"/>
      <w:r>
        <w:rPr>
          <w:rFonts w:ascii="Times New Roman" w:hAnsi="Times New Roman" w:cs="Times New Roman"/>
          <w:sz w:val="24"/>
          <w:szCs w:val="24"/>
        </w:rPr>
        <w:t xml:space="preserve"> </w:t>
      </w:r>
      <w:r w:rsidRPr="00807B6C">
        <w:rPr>
          <w:rFonts w:ascii="Times New Roman" w:hAnsi="Times New Roman" w:cs="Times New Roman"/>
          <w:sz w:val="24"/>
          <w:szCs w:val="24"/>
        </w:rPr>
        <w:t>The primary judge accepted</w:t>
      </w:r>
      <w:r>
        <w:rPr>
          <w:rStyle w:val="FootnoteReference"/>
          <w:szCs w:val="24"/>
        </w:rPr>
        <w:footnoteReference w:id="27"/>
      </w:r>
      <w:r w:rsidRPr="00807B6C">
        <w:rPr>
          <w:rFonts w:ascii="Times New Roman" w:hAnsi="Times New Roman" w:cs="Times New Roman"/>
          <w:sz w:val="24"/>
          <w:szCs w:val="24"/>
        </w:rPr>
        <w:t xml:space="preserve"> that privately funded “assisted reproductive technology”, which his Honour found included egg freezing, was an available health service</w:t>
      </w:r>
      <w:r>
        <w:rPr>
          <w:rStyle w:val="FootnoteReference"/>
          <w:szCs w:val="24"/>
        </w:rPr>
        <w:footnoteReference w:id="28"/>
      </w:r>
      <w:r w:rsidRPr="00807B6C">
        <w:rPr>
          <w:rFonts w:ascii="Times New Roman" w:hAnsi="Times New Roman" w:cs="Times New Roman"/>
          <w:sz w:val="24"/>
          <w:szCs w:val="24"/>
        </w:rPr>
        <w:t xml:space="preserve"> and there was no dispute below that the service </w:t>
      </w:r>
      <w:r w:rsidR="00F51E03">
        <w:rPr>
          <w:rFonts w:ascii="Times New Roman" w:hAnsi="Times New Roman" w:cs="Times New Roman"/>
          <w:sz w:val="24"/>
          <w:szCs w:val="24"/>
        </w:rPr>
        <w:t xml:space="preserve">the </w:t>
      </w:r>
      <w:r w:rsidRPr="00807B6C">
        <w:rPr>
          <w:rFonts w:ascii="Times New Roman" w:hAnsi="Times New Roman" w:cs="Times New Roman"/>
          <w:sz w:val="24"/>
          <w:szCs w:val="24"/>
        </w:rPr>
        <w:t>App</w:t>
      </w:r>
      <w:r w:rsidR="00ED6CC6">
        <w:rPr>
          <w:rFonts w:ascii="Times New Roman" w:hAnsi="Times New Roman" w:cs="Times New Roman"/>
          <w:sz w:val="24"/>
          <w:szCs w:val="24"/>
        </w:rPr>
        <w:t>licant</w:t>
      </w:r>
      <w:r w:rsidRPr="00807B6C">
        <w:rPr>
          <w:rFonts w:ascii="Times New Roman" w:hAnsi="Times New Roman" w:cs="Times New Roman"/>
          <w:sz w:val="24"/>
          <w:szCs w:val="24"/>
        </w:rPr>
        <w:t xml:space="preserve"> </w:t>
      </w:r>
      <w:r w:rsidR="00F51E03">
        <w:rPr>
          <w:rFonts w:ascii="Times New Roman" w:hAnsi="Times New Roman" w:cs="Times New Roman"/>
          <w:sz w:val="24"/>
          <w:szCs w:val="24"/>
        </w:rPr>
        <w:t xml:space="preserve">seeks </w:t>
      </w:r>
      <w:r w:rsidRPr="00807B6C">
        <w:rPr>
          <w:rFonts w:ascii="Times New Roman" w:hAnsi="Times New Roman" w:cs="Times New Roman"/>
          <w:sz w:val="24"/>
          <w:szCs w:val="24"/>
        </w:rPr>
        <w:t>is a “health service”. Indeed, for s 22(1) to have application, approval must have been sought “to be examined or treated by a health practitioner”, clear indicia of the provision of a “health service”.</w:t>
      </w:r>
      <w:bookmarkEnd w:id="4"/>
      <w:bookmarkEnd w:id="5"/>
      <w:r w:rsidRPr="00807B6C">
        <w:rPr>
          <w:rFonts w:ascii="Times New Roman" w:hAnsi="Times New Roman" w:cs="Times New Roman"/>
          <w:sz w:val="24"/>
          <w:szCs w:val="24"/>
        </w:rPr>
        <w:t xml:space="preserve"> </w:t>
      </w:r>
    </w:p>
    <w:p w14:paraId="25E06047" w14:textId="24504784" w:rsidR="00F715A5" w:rsidRPr="00A46438" w:rsidRDefault="00D0322C" w:rsidP="00A46438">
      <w:pPr>
        <w:pStyle w:val="NumberLevel1"/>
        <w:numPr>
          <w:ilvl w:val="0"/>
          <w:numId w:val="8"/>
        </w:numPr>
        <w:spacing w:before="120" w:after="240" w:line="360" w:lineRule="auto"/>
        <w:ind w:left="567" w:right="-285" w:hanging="567"/>
        <w:jc w:val="both"/>
      </w:pPr>
      <w:r>
        <w:rPr>
          <w:rFonts w:ascii="Times New Roman" w:hAnsi="Times New Roman" w:cs="Times New Roman"/>
          <w:sz w:val="24"/>
          <w:szCs w:val="24"/>
        </w:rPr>
        <w:t>T</w:t>
      </w:r>
      <w:r w:rsidR="00F715A5">
        <w:rPr>
          <w:rFonts w:ascii="Times New Roman" w:hAnsi="Times New Roman" w:cs="Times New Roman"/>
          <w:sz w:val="24"/>
          <w:szCs w:val="24"/>
        </w:rPr>
        <w:t>here ought to be no room for doubt that the App</w:t>
      </w:r>
      <w:r w:rsidR="009F69BA">
        <w:rPr>
          <w:rFonts w:ascii="Times New Roman" w:hAnsi="Times New Roman" w:cs="Times New Roman"/>
          <w:sz w:val="24"/>
          <w:szCs w:val="24"/>
        </w:rPr>
        <w:t xml:space="preserve">licant </w:t>
      </w:r>
      <w:r w:rsidR="00F715A5">
        <w:rPr>
          <w:rFonts w:ascii="Times New Roman" w:hAnsi="Times New Roman" w:cs="Times New Roman"/>
          <w:sz w:val="24"/>
          <w:szCs w:val="24"/>
        </w:rPr>
        <w:t>is being indirectly discriminated against on the basis of her sex</w:t>
      </w:r>
      <w:r w:rsidR="00F715A5">
        <w:rPr>
          <w:rStyle w:val="FootnoteReference"/>
          <w:szCs w:val="24"/>
        </w:rPr>
        <w:footnoteReference w:id="29"/>
      </w:r>
      <w:r w:rsidR="00F715A5">
        <w:rPr>
          <w:rFonts w:ascii="Times New Roman" w:hAnsi="Times New Roman" w:cs="Times New Roman"/>
          <w:sz w:val="24"/>
          <w:szCs w:val="24"/>
        </w:rPr>
        <w:t xml:space="preserve"> because, as a female, she is </w:t>
      </w:r>
      <w:r w:rsidR="00F715A5" w:rsidRPr="002329E8">
        <w:rPr>
          <w:rFonts w:ascii="Times New Roman" w:hAnsi="Times New Roman" w:cs="Times New Roman"/>
          <w:sz w:val="24"/>
          <w:szCs w:val="24"/>
        </w:rPr>
        <w:t xml:space="preserve">biologically limited in </w:t>
      </w:r>
      <w:r w:rsidR="00F715A5">
        <w:rPr>
          <w:rFonts w:ascii="Times New Roman" w:hAnsi="Times New Roman" w:cs="Times New Roman"/>
          <w:sz w:val="24"/>
          <w:szCs w:val="24"/>
        </w:rPr>
        <w:t>her</w:t>
      </w:r>
      <w:r w:rsidR="00F715A5" w:rsidRPr="002329E8">
        <w:rPr>
          <w:rFonts w:ascii="Times New Roman" w:hAnsi="Times New Roman" w:cs="Times New Roman"/>
          <w:sz w:val="24"/>
          <w:szCs w:val="24"/>
        </w:rPr>
        <w:t xml:space="preserve"> ability to become </w:t>
      </w:r>
      <w:r w:rsidR="00F715A5">
        <w:rPr>
          <w:rFonts w:ascii="Times New Roman" w:hAnsi="Times New Roman" w:cs="Times New Roman"/>
          <w:sz w:val="24"/>
          <w:szCs w:val="24"/>
        </w:rPr>
        <w:t xml:space="preserve">a </w:t>
      </w:r>
      <w:r w:rsidR="00F715A5" w:rsidRPr="002329E8">
        <w:rPr>
          <w:rFonts w:ascii="Times New Roman" w:hAnsi="Times New Roman" w:cs="Times New Roman"/>
          <w:sz w:val="24"/>
          <w:szCs w:val="24"/>
        </w:rPr>
        <w:t xml:space="preserve">genetic parent to </w:t>
      </w:r>
      <w:r w:rsidR="00F715A5">
        <w:rPr>
          <w:rFonts w:ascii="Times New Roman" w:hAnsi="Times New Roman" w:cs="Times New Roman"/>
          <w:sz w:val="24"/>
          <w:szCs w:val="24"/>
        </w:rPr>
        <w:t xml:space="preserve">a much greater extent than </w:t>
      </w:r>
      <w:r w:rsidR="008C66C9">
        <w:rPr>
          <w:rFonts w:ascii="Times New Roman" w:hAnsi="Times New Roman" w:cs="Times New Roman"/>
          <w:sz w:val="24"/>
          <w:szCs w:val="24"/>
        </w:rPr>
        <w:t xml:space="preserve">incarcerated </w:t>
      </w:r>
      <w:r w:rsidR="00F715A5">
        <w:rPr>
          <w:rFonts w:ascii="Times New Roman" w:hAnsi="Times New Roman" w:cs="Times New Roman"/>
          <w:sz w:val="24"/>
          <w:szCs w:val="24"/>
        </w:rPr>
        <w:t>males.</w:t>
      </w:r>
      <w:r w:rsidR="00F715A5">
        <w:rPr>
          <w:rStyle w:val="FootnoteReference"/>
          <w:szCs w:val="24"/>
        </w:rPr>
        <w:footnoteReference w:id="30"/>
      </w:r>
      <w:r w:rsidR="00F715A5">
        <w:rPr>
          <w:rFonts w:ascii="Times New Roman" w:hAnsi="Times New Roman" w:cs="Times New Roman"/>
          <w:sz w:val="24"/>
          <w:szCs w:val="24"/>
        </w:rPr>
        <w:t xml:space="preserve"> While </w:t>
      </w:r>
      <w:r w:rsidR="00306DEC">
        <w:rPr>
          <w:rFonts w:ascii="Times New Roman" w:hAnsi="Times New Roman" w:cs="Times New Roman"/>
          <w:sz w:val="24"/>
          <w:szCs w:val="24"/>
        </w:rPr>
        <w:t>the primary judge f</w:t>
      </w:r>
      <w:r w:rsidR="00F715A5">
        <w:rPr>
          <w:rFonts w:ascii="Times New Roman" w:hAnsi="Times New Roman" w:cs="Times New Roman"/>
          <w:sz w:val="24"/>
          <w:szCs w:val="24"/>
        </w:rPr>
        <w:t>ound that the expansive construction</w:t>
      </w:r>
      <w:r w:rsidR="00D04EF8">
        <w:rPr>
          <w:rStyle w:val="FootnoteReference"/>
          <w:szCs w:val="24"/>
        </w:rPr>
        <w:footnoteReference w:id="31"/>
      </w:r>
      <w:r w:rsidR="00F715A5">
        <w:rPr>
          <w:rFonts w:ascii="Times New Roman" w:hAnsi="Times New Roman" w:cs="Times New Roman"/>
          <w:sz w:val="24"/>
          <w:szCs w:val="24"/>
        </w:rPr>
        <w:t xml:space="preserve"> “ensures equality”, there nevertheless remains discrimination </w:t>
      </w:r>
      <w:r w:rsidR="00E21E5F">
        <w:rPr>
          <w:rFonts w:ascii="Times New Roman" w:hAnsi="Times New Roman" w:cs="Times New Roman"/>
          <w:sz w:val="24"/>
          <w:szCs w:val="24"/>
        </w:rPr>
        <w:t xml:space="preserve">against </w:t>
      </w:r>
      <w:r w:rsidR="00F715A5">
        <w:rPr>
          <w:rFonts w:ascii="Times New Roman" w:hAnsi="Times New Roman" w:cs="Times New Roman"/>
          <w:sz w:val="24"/>
          <w:szCs w:val="24"/>
        </w:rPr>
        <w:t>the App</w:t>
      </w:r>
      <w:r w:rsidR="004259BA">
        <w:rPr>
          <w:rFonts w:ascii="Times New Roman" w:hAnsi="Times New Roman" w:cs="Times New Roman"/>
          <w:sz w:val="24"/>
          <w:szCs w:val="24"/>
        </w:rPr>
        <w:t>licant</w:t>
      </w:r>
      <w:r w:rsidR="00F715A5">
        <w:rPr>
          <w:rFonts w:ascii="Times New Roman" w:hAnsi="Times New Roman" w:cs="Times New Roman"/>
          <w:sz w:val="24"/>
          <w:szCs w:val="24"/>
        </w:rPr>
        <w:t xml:space="preserve"> in her ability to become a genetic parent, because as a female with a limited reproductive window, she cannot access egg freezing to preserve her ability to safety become a genetic parent post-release. </w:t>
      </w:r>
      <w:r w:rsidR="00F715A5" w:rsidRPr="002329E8">
        <w:rPr>
          <w:rFonts w:ascii="Times New Roman" w:hAnsi="Times New Roman" w:cs="Times New Roman"/>
          <w:sz w:val="24"/>
          <w:szCs w:val="24"/>
        </w:rPr>
        <w:t xml:space="preserve">Pursuant to Article 12 of the Convention on the Elimination of All Forms of </w:t>
      </w:r>
      <w:r w:rsidR="00F715A5" w:rsidRPr="002329E8">
        <w:rPr>
          <w:rFonts w:ascii="Times New Roman" w:hAnsi="Times New Roman" w:cs="Times New Roman"/>
          <w:sz w:val="24"/>
          <w:szCs w:val="24"/>
        </w:rPr>
        <w:lastRenderedPageBreak/>
        <w:t>Discrimination against Women, “State Parties shall take all appropriate measures to eliminate discrimination against women in the field of health care in order to ensure, on a basis of equality of men and women, access to health care services, including those related to family planning.”</w:t>
      </w:r>
      <w:r w:rsidR="00F715A5">
        <w:rPr>
          <w:rStyle w:val="FootnoteReference"/>
          <w:szCs w:val="24"/>
        </w:rPr>
        <w:footnoteReference w:id="32"/>
      </w:r>
      <w:r w:rsidR="00F715A5">
        <w:t xml:space="preserve"> </w:t>
      </w:r>
      <w:r w:rsidR="00F715A5" w:rsidRPr="00C4388C">
        <w:rPr>
          <w:rFonts w:ascii="Times New Roman" w:hAnsi="Times New Roman" w:cs="Times New Roman"/>
          <w:sz w:val="24"/>
          <w:szCs w:val="24"/>
        </w:rPr>
        <w:t>In this regard, it has been recognised that</w:t>
      </w:r>
      <w:r w:rsidR="00A46438">
        <w:rPr>
          <w:rFonts w:ascii="Times New Roman" w:hAnsi="Times New Roman" w:cs="Times New Roman"/>
          <w:sz w:val="24"/>
          <w:szCs w:val="24"/>
        </w:rPr>
        <w:t xml:space="preserve">, </w:t>
      </w:r>
      <w:r w:rsidR="00F715A5" w:rsidRPr="00A46438">
        <w:rPr>
          <w:rFonts w:ascii="Times New Roman" w:hAnsi="Times New Roman" w:cs="Times New Roman"/>
          <w:sz w:val="24"/>
          <w:szCs w:val="24"/>
        </w:rPr>
        <w:t>“[g]</w:t>
      </w:r>
      <w:proofErr w:type="spellStart"/>
      <w:r w:rsidR="00F715A5" w:rsidRPr="00A46438">
        <w:rPr>
          <w:rFonts w:ascii="Times New Roman" w:hAnsi="Times New Roman" w:cs="Times New Roman"/>
          <w:sz w:val="24"/>
          <w:szCs w:val="24"/>
        </w:rPr>
        <w:t>ender</w:t>
      </w:r>
      <w:proofErr w:type="spellEnd"/>
      <w:r w:rsidR="00F715A5" w:rsidRPr="00A46438">
        <w:rPr>
          <w:rFonts w:ascii="Times New Roman" w:hAnsi="Times New Roman" w:cs="Times New Roman"/>
          <w:sz w:val="24"/>
          <w:szCs w:val="24"/>
        </w:rPr>
        <w:t xml:space="preserve"> equality requires that the health needs of women, different from those of men, be taken into account and appropriate services provided for women in accordance with their life cycles”</w:t>
      </w:r>
      <w:r w:rsidR="00F715A5">
        <w:rPr>
          <w:rStyle w:val="FootnoteReference"/>
          <w:szCs w:val="24"/>
        </w:rPr>
        <w:footnoteReference w:id="33"/>
      </w:r>
      <w:r w:rsidR="00A46438">
        <w:rPr>
          <w:rFonts w:ascii="Times New Roman" w:hAnsi="Times New Roman" w:cs="Times New Roman"/>
          <w:sz w:val="24"/>
          <w:szCs w:val="24"/>
        </w:rPr>
        <w:t xml:space="preserve"> and, </w:t>
      </w:r>
      <w:r w:rsidR="00F715A5" w:rsidRPr="00A46438">
        <w:rPr>
          <w:rFonts w:ascii="Times New Roman" w:hAnsi="Times New Roman" w:cs="Times New Roman"/>
          <w:sz w:val="24"/>
          <w:szCs w:val="24"/>
        </w:rPr>
        <w:t>“[s]</w:t>
      </w:r>
      <w:proofErr w:type="spellStart"/>
      <w:r w:rsidR="00F715A5" w:rsidRPr="00A46438">
        <w:rPr>
          <w:rFonts w:ascii="Times New Roman" w:hAnsi="Times New Roman" w:cs="Times New Roman"/>
          <w:sz w:val="24"/>
          <w:szCs w:val="24"/>
        </w:rPr>
        <w:t>eemingly</w:t>
      </w:r>
      <w:proofErr w:type="spellEnd"/>
      <w:r w:rsidR="00F715A5" w:rsidRPr="00A46438">
        <w:rPr>
          <w:rFonts w:ascii="Times New Roman" w:hAnsi="Times New Roman" w:cs="Times New Roman"/>
          <w:sz w:val="24"/>
          <w:szCs w:val="24"/>
        </w:rPr>
        <w:t xml:space="preserve"> neutral laws, policies and practices can perpetuate already existing gender inequalities and discrimination against women. Substantive equality requires that laws, policies and practices do not maintain, but rather alleviate, the inherent disadvantage that women experience in exercising their right to</w:t>
      </w:r>
      <w:r w:rsidR="00036404">
        <w:rPr>
          <w:rFonts w:ascii="Times New Roman" w:hAnsi="Times New Roman" w:cs="Times New Roman"/>
          <w:sz w:val="24"/>
          <w:szCs w:val="24"/>
        </w:rPr>
        <w:t>…</w:t>
      </w:r>
      <w:r w:rsidR="00F715A5" w:rsidRPr="00A46438">
        <w:rPr>
          <w:rFonts w:ascii="Times New Roman" w:hAnsi="Times New Roman" w:cs="Times New Roman"/>
          <w:sz w:val="24"/>
          <w:szCs w:val="24"/>
        </w:rPr>
        <w:t>reproductive health.”</w:t>
      </w:r>
      <w:r w:rsidR="00F715A5">
        <w:rPr>
          <w:rStyle w:val="FootnoteReference"/>
          <w:szCs w:val="24"/>
        </w:rPr>
        <w:footnoteReference w:id="34"/>
      </w:r>
    </w:p>
    <w:p w14:paraId="571A2CA6" w14:textId="0944CE0B" w:rsidR="00CE31BC" w:rsidRDefault="00F715A5" w:rsidP="00CE31BC">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CE31BC">
        <w:rPr>
          <w:rFonts w:ascii="Times New Roman" w:hAnsi="Times New Roman" w:cs="Times New Roman"/>
          <w:sz w:val="24"/>
          <w:szCs w:val="24"/>
        </w:rPr>
        <w:t xml:space="preserve">Accordingly, the right in s 37(1) HR Act is engaged. </w:t>
      </w:r>
    </w:p>
    <w:p w14:paraId="4CAC9E2C" w14:textId="21A3B3AA" w:rsidR="00F715A5" w:rsidRPr="00BC40F9" w:rsidRDefault="00F715A5" w:rsidP="00BC40F9">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CE31BC">
        <w:rPr>
          <w:rFonts w:ascii="Times New Roman" w:hAnsi="Times New Roman" w:cs="Times New Roman"/>
          <w:sz w:val="24"/>
          <w:szCs w:val="24"/>
        </w:rPr>
        <w:t>Section 30 of the HR Act relevantly provides</w:t>
      </w:r>
      <w:r w:rsidR="00EF09A3">
        <w:rPr>
          <w:rFonts w:ascii="Times New Roman" w:hAnsi="Times New Roman" w:cs="Times New Roman"/>
          <w:sz w:val="24"/>
          <w:szCs w:val="24"/>
        </w:rPr>
        <w:t>, “All persons deprived of liberty must be treated with humanity and with respect for the inherent dignity of the human person.”</w:t>
      </w:r>
      <w:r w:rsidRPr="00CE31BC">
        <w:rPr>
          <w:rFonts w:ascii="Times New Roman" w:hAnsi="Times New Roman" w:cs="Times New Roman"/>
          <w:sz w:val="24"/>
          <w:szCs w:val="24"/>
        </w:rPr>
        <w:t xml:space="preserve"> </w:t>
      </w:r>
      <w:r w:rsidRPr="00BC40F9">
        <w:rPr>
          <w:rFonts w:ascii="Times New Roman" w:hAnsi="Times New Roman" w:cs="Times New Roman"/>
          <w:sz w:val="24"/>
          <w:szCs w:val="24"/>
        </w:rPr>
        <w:t>The question of construction arises because the App</w:t>
      </w:r>
      <w:r w:rsidR="00CE31BC" w:rsidRPr="00BC40F9">
        <w:rPr>
          <w:rFonts w:ascii="Times New Roman" w:hAnsi="Times New Roman" w:cs="Times New Roman"/>
          <w:sz w:val="24"/>
          <w:szCs w:val="24"/>
        </w:rPr>
        <w:t>licant</w:t>
      </w:r>
      <w:r w:rsidRPr="00BC40F9">
        <w:rPr>
          <w:rFonts w:ascii="Times New Roman" w:hAnsi="Times New Roman" w:cs="Times New Roman"/>
          <w:sz w:val="24"/>
          <w:szCs w:val="24"/>
        </w:rPr>
        <w:t xml:space="preserve"> is a prisoner and is deprived of liberty. Accordingly, the right in s 30(1) HR Act is engaged as it is potentially limited by the restriction imposed by s 22(1). </w:t>
      </w:r>
    </w:p>
    <w:p w14:paraId="153CE16B" w14:textId="77777777" w:rsidR="00F715A5" w:rsidRPr="00F715A5" w:rsidRDefault="00F715A5" w:rsidP="00CB5AB5">
      <w:pPr>
        <w:pStyle w:val="NumberLevel1"/>
        <w:numPr>
          <w:ilvl w:val="0"/>
          <w:numId w:val="0"/>
        </w:numPr>
        <w:spacing w:before="120" w:after="240" w:line="360" w:lineRule="auto"/>
        <w:ind w:left="284" w:right="-285" w:hanging="284"/>
        <w:jc w:val="both"/>
        <w:rPr>
          <w:rFonts w:ascii="Times New Roman" w:hAnsi="Times New Roman" w:cs="Times New Roman"/>
          <w:i/>
          <w:iCs/>
          <w:sz w:val="24"/>
          <w:szCs w:val="24"/>
        </w:rPr>
      </w:pPr>
      <w:r w:rsidRPr="00FD46AC">
        <w:rPr>
          <w:rFonts w:ascii="Times New Roman" w:hAnsi="Times New Roman" w:cs="Times New Roman"/>
          <w:i/>
          <w:iCs/>
          <w:sz w:val="24"/>
          <w:szCs w:val="24"/>
        </w:rPr>
        <w:t xml:space="preserve">Limitation </w:t>
      </w:r>
      <w:r w:rsidRPr="00F715A5">
        <w:rPr>
          <w:rFonts w:ascii="Times New Roman" w:hAnsi="Times New Roman" w:cs="Times New Roman"/>
          <w:i/>
          <w:iCs/>
          <w:sz w:val="24"/>
          <w:szCs w:val="24"/>
        </w:rPr>
        <w:t xml:space="preserve">on the s 30 and s 37 rights </w:t>
      </w:r>
    </w:p>
    <w:p w14:paraId="5BA07AC5" w14:textId="33B00361" w:rsidR="00F715A5" w:rsidRDefault="00F715A5" w:rsidP="00CE31BC">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Pr>
          <w:rFonts w:ascii="Times New Roman" w:hAnsi="Times New Roman" w:cs="Times New Roman"/>
          <w:sz w:val="24"/>
          <w:szCs w:val="24"/>
        </w:rPr>
        <w:t>A human right will be limited if limitations or restrictions are applied to a right or there is interference with the human rights of a person.</w:t>
      </w:r>
      <w:r>
        <w:rPr>
          <w:rStyle w:val="FootnoteReference"/>
          <w:szCs w:val="24"/>
        </w:rPr>
        <w:footnoteReference w:id="35"/>
      </w:r>
      <w:r>
        <w:rPr>
          <w:rFonts w:ascii="Times New Roman" w:hAnsi="Times New Roman" w:cs="Times New Roman"/>
          <w:sz w:val="24"/>
          <w:szCs w:val="24"/>
        </w:rPr>
        <w:t xml:space="preserve"> Both alterative constructions </w:t>
      </w:r>
      <w:r w:rsidR="00037C9A">
        <w:rPr>
          <w:rFonts w:ascii="Times New Roman" w:hAnsi="Times New Roman" w:cs="Times New Roman"/>
          <w:sz w:val="24"/>
          <w:szCs w:val="24"/>
        </w:rPr>
        <w:t>of s 22(</w:t>
      </w:r>
      <w:r w:rsidR="007E7353">
        <w:rPr>
          <w:rFonts w:ascii="Times New Roman" w:hAnsi="Times New Roman" w:cs="Times New Roman"/>
          <w:sz w:val="24"/>
          <w:szCs w:val="24"/>
        </w:rPr>
        <w:t>2</w:t>
      </w:r>
      <w:r w:rsidR="00037C9A">
        <w:rPr>
          <w:rFonts w:ascii="Times New Roman" w:hAnsi="Times New Roman" w:cs="Times New Roman"/>
          <w:sz w:val="24"/>
          <w:szCs w:val="24"/>
        </w:rPr>
        <w:t>) of the CS Act</w:t>
      </w:r>
      <w:r>
        <w:rPr>
          <w:rFonts w:ascii="Times New Roman" w:hAnsi="Times New Roman" w:cs="Times New Roman"/>
          <w:sz w:val="24"/>
          <w:szCs w:val="24"/>
        </w:rPr>
        <w:t xml:space="preserve"> advanced in this case limit human rights (within the meaning of s 8(a) HR Act).</w:t>
      </w:r>
      <w:r>
        <w:rPr>
          <w:rStyle w:val="FootnoteReference"/>
          <w:szCs w:val="24"/>
        </w:rPr>
        <w:footnoteReference w:id="36"/>
      </w:r>
      <w:r>
        <w:rPr>
          <w:rFonts w:ascii="Times New Roman" w:hAnsi="Times New Roman" w:cs="Times New Roman"/>
          <w:sz w:val="24"/>
          <w:szCs w:val="24"/>
        </w:rPr>
        <w:t xml:space="preserve"> </w:t>
      </w:r>
    </w:p>
    <w:p w14:paraId="3692BA8C" w14:textId="62CFA119" w:rsidR="00F715A5" w:rsidRPr="00CC4FD7" w:rsidRDefault="00F715A5" w:rsidP="00CB5AB5">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Pr>
          <w:rFonts w:ascii="Times New Roman" w:hAnsi="Times New Roman" w:cs="Times New Roman"/>
          <w:sz w:val="24"/>
          <w:szCs w:val="24"/>
        </w:rPr>
        <w:t xml:space="preserve">Further to paragraph </w:t>
      </w:r>
      <w:r w:rsidR="00CA13A4">
        <w:rPr>
          <w:rFonts w:ascii="Times New Roman" w:hAnsi="Times New Roman" w:cs="Times New Roman"/>
          <w:sz w:val="24"/>
          <w:szCs w:val="24"/>
          <w:highlight w:val="yellow"/>
        </w:rPr>
        <w:fldChar w:fldCharType="begin"/>
      </w:r>
      <w:r w:rsidR="00CA13A4">
        <w:rPr>
          <w:rFonts w:ascii="Times New Roman" w:hAnsi="Times New Roman" w:cs="Times New Roman"/>
          <w:sz w:val="24"/>
          <w:szCs w:val="24"/>
        </w:rPr>
        <w:instrText xml:space="preserve"> REF _Ref199415887 \r \h </w:instrText>
      </w:r>
      <w:r w:rsidR="00CA13A4">
        <w:rPr>
          <w:rFonts w:ascii="Times New Roman" w:hAnsi="Times New Roman" w:cs="Times New Roman"/>
          <w:sz w:val="24"/>
          <w:szCs w:val="24"/>
          <w:highlight w:val="yellow"/>
        </w:rPr>
      </w:r>
      <w:r w:rsidR="00CA13A4">
        <w:rPr>
          <w:rFonts w:ascii="Times New Roman" w:hAnsi="Times New Roman" w:cs="Times New Roman"/>
          <w:sz w:val="24"/>
          <w:szCs w:val="24"/>
          <w:highlight w:val="yellow"/>
        </w:rPr>
        <w:fldChar w:fldCharType="separate"/>
      </w:r>
      <w:r w:rsidR="00C976AC">
        <w:rPr>
          <w:rFonts w:ascii="Times New Roman" w:hAnsi="Times New Roman" w:cs="Times New Roman"/>
          <w:sz w:val="24"/>
          <w:szCs w:val="24"/>
        </w:rPr>
        <w:t>10</w:t>
      </w:r>
      <w:r w:rsidR="00CA13A4">
        <w:rPr>
          <w:rFonts w:ascii="Times New Roman" w:hAnsi="Times New Roman" w:cs="Times New Roman"/>
          <w:sz w:val="24"/>
          <w:szCs w:val="24"/>
          <w:highlight w:val="yellow"/>
        </w:rPr>
        <w:fldChar w:fldCharType="end"/>
      </w:r>
      <w:r>
        <w:rPr>
          <w:rFonts w:ascii="Times New Roman" w:hAnsi="Times New Roman" w:cs="Times New Roman"/>
          <w:sz w:val="24"/>
          <w:szCs w:val="24"/>
        </w:rPr>
        <w:t xml:space="preserve"> above, egg freezing comes within the term “health services” in </w:t>
      </w:r>
      <w:r w:rsidR="007E7353">
        <w:rPr>
          <w:rFonts w:ascii="Times New Roman" w:hAnsi="Times New Roman" w:cs="Times New Roman"/>
          <w:sz w:val="24"/>
          <w:szCs w:val="24"/>
        </w:rPr>
        <w:br/>
      </w:r>
      <w:r>
        <w:rPr>
          <w:rFonts w:ascii="Times New Roman" w:hAnsi="Times New Roman" w:cs="Times New Roman"/>
          <w:sz w:val="24"/>
          <w:szCs w:val="24"/>
        </w:rPr>
        <w:t>s 37</w:t>
      </w:r>
      <w:r w:rsidR="00194A02">
        <w:rPr>
          <w:rFonts w:ascii="Times New Roman" w:hAnsi="Times New Roman" w:cs="Times New Roman"/>
          <w:sz w:val="24"/>
          <w:szCs w:val="24"/>
        </w:rPr>
        <w:t xml:space="preserve"> of the HR Act</w:t>
      </w:r>
      <w:r>
        <w:rPr>
          <w:rFonts w:ascii="Times New Roman" w:hAnsi="Times New Roman" w:cs="Times New Roman"/>
          <w:sz w:val="24"/>
          <w:szCs w:val="24"/>
        </w:rPr>
        <w:t xml:space="preserve">. While that term is not defined in the HR Act, the definition of that term in the </w:t>
      </w:r>
      <w:bookmarkStart w:id="6" w:name="_Hlk199444087"/>
      <w:r>
        <w:rPr>
          <w:rFonts w:ascii="Times New Roman" w:hAnsi="Times New Roman" w:cs="Times New Roman"/>
          <w:i/>
          <w:iCs/>
          <w:sz w:val="24"/>
          <w:szCs w:val="24"/>
        </w:rPr>
        <w:t>Hospital and Health Boards Act 2011</w:t>
      </w:r>
      <w:bookmarkEnd w:id="6"/>
      <w:r w:rsidR="00FB7CA6">
        <w:rPr>
          <w:rFonts w:ascii="Times New Roman" w:hAnsi="Times New Roman" w:cs="Times New Roman"/>
          <w:i/>
          <w:iCs/>
          <w:sz w:val="24"/>
          <w:szCs w:val="24"/>
        </w:rPr>
        <w:t xml:space="preserve"> </w:t>
      </w:r>
      <w:r w:rsidR="00FB7CA6">
        <w:rPr>
          <w:rFonts w:ascii="Times New Roman" w:hAnsi="Times New Roman" w:cs="Times New Roman"/>
          <w:sz w:val="24"/>
          <w:szCs w:val="24"/>
        </w:rPr>
        <w:t>(Qld)</w:t>
      </w:r>
      <w:r>
        <w:rPr>
          <w:rFonts w:ascii="Times New Roman" w:hAnsi="Times New Roman" w:cs="Times New Roman"/>
          <w:i/>
          <w:iCs/>
          <w:sz w:val="24"/>
          <w:szCs w:val="24"/>
        </w:rPr>
        <w:t xml:space="preserve">; </w:t>
      </w:r>
      <w:r>
        <w:rPr>
          <w:rFonts w:ascii="Times New Roman" w:hAnsi="Times New Roman" w:cs="Times New Roman"/>
          <w:sz w:val="24"/>
          <w:szCs w:val="24"/>
        </w:rPr>
        <w:t>“a service for maintaining, improving, restoring or managing people’s health and wellbeing”,</w:t>
      </w:r>
      <w:r>
        <w:rPr>
          <w:rStyle w:val="FootnoteReference"/>
          <w:szCs w:val="24"/>
        </w:rPr>
        <w:footnoteReference w:id="37"/>
      </w:r>
      <w:r>
        <w:rPr>
          <w:rFonts w:ascii="Times New Roman" w:hAnsi="Times New Roman" w:cs="Times New Roman"/>
          <w:sz w:val="24"/>
          <w:szCs w:val="24"/>
        </w:rPr>
        <w:t xml:space="preserve"> is of assistance</w:t>
      </w:r>
      <w:r w:rsidR="004D4D83">
        <w:rPr>
          <w:rFonts w:ascii="Times New Roman" w:hAnsi="Times New Roman" w:cs="Times New Roman"/>
          <w:sz w:val="24"/>
          <w:szCs w:val="24"/>
        </w:rPr>
        <w:t xml:space="preserve"> </w:t>
      </w:r>
      <w:r>
        <w:rPr>
          <w:rFonts w:ascii="Times New Roman" w:hAnsi="Times New Roman" w:cs="Times New Roman"/>
          <w:sz w:val="24"/>
          <w:szCs w:val="24"/>
        </w:rPr>
        <w:lastRenderedPageBreak/>
        <w:t>because it identifies the scope of “health services” in Queensland. As such, it ought to be accepted that s 37(1) contemplates access to egg freezing as a means of maintaining and managing an aspect of the App</w:t>
      </w:r>
      <w:r w:rsidR="004D4D83">
        <w:rPr>
          <w:rFonts w:ascii="Times New Roman" w:hAnsi="Times New Roman" w:cs="Times New Roman"/>
          <w:sz w:val="24"/>
          <w:szCs w:val="24"/>
        </w:rPr>
        <w:t xml:space="preserve">licant’s </w:t>
      </w:r>
      <w:r>
        <w:rPr>
          <w:rFonts w:ascii="Times New Roman" w:hAnsi="Times New Roman" w:cs="Times New Roman"/>
          <w:sz w:val="24"/>
          <w:szCs w:val="24"/>
        </w:rPr>
        <w:t>health and wellbeing.</w:t>
      </w:r>
      <w:r w:rsidR="00470C36">
        <w:rPr>
          <w:rStyle w:val="FootnoteReference"/>
          <w:szCs w:val="24"/>
        </w:rPr>
        <w:footnoteReference w:id="38"/>
      </w:r>
      <w:r>
        <w:rPr>
          <w:rFonts w:ascii="Times New Roman" w:hAnsi="Times New Roman" w:cs="Times New Roman"/>
          <w:sz w:val="24"/>
          <w:szCs w:val="24"/>
        </w:rPr>
        <w:t xml:space="preserve"> </w:t>
      </w:r>
      <w:r w:rsidRPr="00CC4FD7">
        <w:rPr>
          <w:rFonts w:ascii="Times New Roman" w:hAnsi="Times New Roman" w:cs="Times New Roman"/>
          <w:sz w:val="24"/>
          <w:szCs w:val="24"/>
        </w:rPr>
        <w:t xml:space="preserve">Accordingly, limiting a </w:t>
      </w:r>
      <w:r w:rsidR="00AB0AB2">
        <w:rPr>
          <w:rFonts w:ascii="Times New Roman" w:hAnsi="Times New Roman" w:cs="Times New Roman"/>
          <w:sz w:val="24"/>
          <w:szCs w:val="24"/>
        </w:rPr>
        <w:t xml:space="preserve">female </w:t>
      </w:r>
      <w:r w:rsidRPr="00CC4FD7">
        <w:rPr>
          <w:rFonts w:ascii="Times New Roman" w:hAnsi="Times New Roman" w:cs="Times New Roman"/>
          <w:sz w:val="24"/>
          <w:szCs w:val="24"/>
        </w:rPr>
        <w:t xml:space="preserve">prisoner’s access to egg freezing limits </w:t>
      </w:r>
      <w:r w:rsidR="0031736F">
        <w:rPr>
          <w:rFonts w:ascii="Times New Roman" w:hAnsi="Times New Roman" w:cs="Times New Roman"/>
          <w:sz w:val="24"/>
          <w:szCs w:val="24"/>
        </w:rPr>
        <w:t>her</w:t>
      </w:r>
      <w:r w:rsidRPr="00CC4FD7">
        <w:rPr>
          <w:rFonts w:ascii="Times New Roman" w:hAnsi="Times New Roman" w:cs="Times New Roman"/>
          <w:sz w:val="24"/>
          <w:szCs w:val="24"/>
        </w:rPr>
        <w:t xml:space="preserve"> access to a health service</w:t>
      </w:r>
      <w:r>
        <w:rPr>
          <w:rFonts w:ascii="Times New Roman" w:hAnsi="Times New Roman" w:cs="Times New Roman"/>
          <w:sz w:val="24"/>
          <w:szCs w:val="24"/>
        </w:rPr>
        <w:t xml:space="preserve"> </w:t>
      </w:r>
      <w:r w:rsidR="008848D2">
        <w:rPr>
          <w:rFonts w:ascii="Times New Roman" w:hAnsi="Times New Roman" w:cs="Times New Roman"/>
          <w:sz w:val="24"/>
          <w:szCs w:val="24"/>
        </w:rPr>
        <w:t>(</w:t>
      </w:r>
      <w:r>
        <w:rPr>
          <w:rFonts w:ascii="Times New Roman" w:hAnsi="Times New Roman" w:cs="Times New Roman"/>
          <w:sz w:val="24"/>
          <w:szCs w:val="24"/>
        </w:rPr>
        <w:t>and</w:t>
      </w:r>
      <w:r w:rsidR="008848D2">
        <w:rPr>
          <w:rFonts w:ascii="Times New Roman" w:hAnsi="Times New Roman" w:cs="Times New Roman"/>
          <w:sz w:val="24"/>
          <w:szCs w:val="24"/>
        </w:rPr>
        <w:t xml:space="preserve"> </w:t>
      </w:r>
      <w:r>
        <w:rPr>
          <w:rFonts w:ascii="Times New Roman" w:hAnsi="Times New Roman" w:cs="Times New Roman"/>
          <w:sz w:val="24"/>
          <w:szCs w:val="24"/>
        </w:rPr>
        <w:t>the human right in s 37(1)</w:t>
      </w:r>
      <w:r w:rsidR="008848D2">
        <w:rPr>
          <w:rFonts w:ascii="Times New Roman" w:hAnsi="Times New Roman" w:cs="Times New Roman"/>
          <w:sz w:val="24"/>
          <w:szCs w:val="24"/>
        </w:rPr>
        <w:t>)</w:t>
      </w:r>
      <w:r w:rsidRPr="00CC4FD7">
        <w:rPr>
          <w:rFonts w:ascii="Times New Roman" w:hAnsi="Times New Roman" w:cs="Times New Roman"/>
          <w:sz w:val="24"/>
          <w:szCs w:val="24"/>
        </w:rPr>
        <w:t>.</w:t>
      </w:r>
    </w:p>
    <w:p w14:paraId="360B64AD" w14:textId="24C90B8B" w:rsidR="00F715A5" w:rsidRPr="00EB5B12" w:rsidRDefault="00F715A5" w:rsidP="00BF33CB">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EB5B12">
        <w:rPr>
          <w:rFonts w:ascii="Times New Roman" w:hAnsi="Times New Roman" w:cs="Times New Roman"/>
          <w:sz w:val="24"/>
          <w:szCs w:val="24"/>
        </w:rPr>
        <w:t xml:space="preserve">For the reasons explained below, the </w:t>
      </w:r>
      <w:r>
        <w:rPr>
          <w:rFonts w:ascii="Times New Roman" w:hAnsi="Times New Roman" w:cs="Times New Roman"/>
          <w:sz w:val="24"/>
          <w:szCs w:val="24"/>
        </w:rPr>
        <w:t xml:space="preserve">scope </w:t>
      </w:r>
      <w:r w:rsidRPr="00EB5B12">
        <w:rPr>
          <w:rFonts w:ascii="Times New Roman" w:hAnsi="Times New Roman" w:cs="Times New Roman"/>
          <w:sz w:val="24"/>
          <w:szCs w:val="24"/>
        </w:rPr>
        <w:t>of the right in s 30</w:t>
      </w:r>
      <w:r w:rsidR="00B220DF">
        <w:rPr>
          <w:rFonts w:ascii="Times New Roman" w:hAnsi="Times New Roman" w:cs="Times New Roman"/>
          <w:sz w:val="24"/>
          <w:szCs w:val="24"/>
        </w:rPr>
        <w:t>(1)</w:t>
      </w:r>
      <w:r>
        <w:rPr>
          <w:rStyle w:val="FootnoteReference"/>
          <w:szCs w:val="24"/>
        </w:rPr>
        <w:footnoteReference w:id="39"/>
      </w:r>
      <w:r w:rsidRPr="00EB5B12">
        <w:rPr>
          <w:rFonts w:ascii="Times New Roman" w:hAnsi="Times New Roman" w:cs="Times New Roman"/>
          <w:sz w:val="24"/>
          <w:szCs w:val="24"/>
        </w:rPr>
        <w:t xml:space="preserve"> </w:t>
      </w:r>
      <w:r w:rsidR="00FE100F">
        <w:rPr>
          <w:rFonts w:ascii="Times New Roman" w:hAnsi="Times New Roman" w:cs="Times New Roman"/>
          <w:sz w:val="24"/>
          <w:szCs w:val="24"/>
        </w:rPr>
        <w:t>of the HR Act</w:t>
      </w:r>
      <w:r w:rsidRPr="00EB5B12">
        <w:rPr>
          <w:rFonts w:ascii="Times New Roman" w:hAnsi="Times New Roman" w:cs="Times New Roman"/>
          <w:sz w:val="24"/>
          <w:szCs w:val="24"/>
        </w:rPr>
        <w:t xml:space="preserve"> relevantly incorporates at least the following t</w:t>
      </w:r>
      <w:r>
        <w:rPr>
          <w:rFonts w:ascii="Times New Roman" w:hAnsi="Times New Roman" w:cs="Times New Roman"/>
          <w:sz w:val="24"/>
          <w:szCs w:val="24"/>
        </w:rPr>
        <w:t>hree</w:t>
      </w:r>
      <w:r w:rsidRPr="00EB5B12">
        <w:rPr>
          <w:rFonts w:ascii="Times New Roman" w:hAnsi="Times New Roman" w:cs="Times New Roman"/>
          <w:sz w:val="24"/>
          <w:szCs w:val="24"/>
        </w:rPr>
        <w:t xml:space="preserve"> </w:t>
      </w:r>
      <w:r>
        <w:rPr>
          <w:rFonts w:ascii="Times New Roman" w:hAnsi="Times New Roman" w:cs="Times New Roman"/>
          <w:sz w:val="24"/>
          <w:szCs w:val="24"/>
        </w:rPr>
        <w:t>aspects</w:t>
      </w:r>
      <w:r w:rsidRPr="00EB5B12">
        <w:rPr>
          <w:rFonts w:ascii="Times New Roman" w:hAnsi="Times New Roman" w:cs="Times New Roman"/>
          <w:sz w:val="24"/>
          <w:szCs w:val="24"/>
        </w:rPr>
        <w:t>:</w:t>
      </w:r>
    </w:p>
    <w:p w14:paraId="6E221630" w14:textId="77777777" w:rsidR="00F715A5" w:rsidRDefault="00F715A5" w:rsidP="00BF33CB">
      <w:pPr>
        <w:pStyle w:val="NumberLevel1"/>
        <w:numPr>
          <w:ilvl w:val="0"/>
          <w:numId w:val="6"/>
        </w:numPr>
        <w:spacing w:before="120" w:after="240" w:line="360" w:lineRule="auto"/>
        <w:ind w:left="1134" w:right="-285" w:hanging="567"/>
        <w:jc w:val="both"/>
        <w:rPr>
          <w:rFonts w:ascii="Times New Roman" w:hAnsi="Times New Roman" w:cs="Times New Roman"/>
          <w:sz w:val="24"/>
          <w:szCs w:val="24"/>
        </w:rPr>
      </w:pPr>
      <w:r>
        <w:rPr>
          <w:rFonts w:ascii="Times New Roman" w:hAnsi="Times New Roman" w:cs="Times New Roman"/>
          <w:sz w:val="24"/>
          <w:szCs w:val="24"/>
        </w:rPr>
        <w:t xml:space="preserve">prisoners should not be subjected to hardships or constraints other than those which </w:t>
      </w:r>
      <w:r w:rsidRPr="0031736F">
        <w:rPr>
          <w:rFonts w:ascii="Times New Roman" w:hAnsi="Times New Roman" w:cs="Times New Roman"/>
          <w:sz w:val="24"/>
          <w:szCs w:val="24"/>
        </w:rPr>
        <w:t>necessarily</w:t>
      </w:r>
      <w:r>
        <w:rPr>
          <w:rFonts w:ascii="Times New Roman" w:hAnsi="Times New Roman" w:cs="Times New Roman"/>
          <w:sz w:val="24"/>
          <w:szCs w:val="24"/>
        </w:rPr>
        <w:t xml:space="preserve"> result from the deprivation of liberty consequent upon them serving a term of imprisonment; </w:t>
      </w:r>
    </w:p>
    <w:p w14:paraId="2CBA2B5F" w14:textId="77777777" w:rsidR="00F715A5" w:rsidRDefault="00F715A5" w:rsidP="00BF33CB">
      <w:pPr>
        <w:pStyle w:val="NumberLevel1"/>
        <w:numPr>
          <w:ilvl w:val="0"/>
          <w:numId w:val="6"/>
        </w:numPr>
        <w:spacing w:before="120" w:after="240" w:line="360" w:lineRule="auto"/>
        <w:ind w:left="1134" w:right="-285" w:hanging="567"/>
        <w:jc w:val="both"/>
        <w:rPr>
          <w:rFonts w:ascii="Times New Roman" w:hAnsi="Times New Roman" w:cs="Times New Roman"/>
          <w:sz w:val="24"/>
          <w:szCs w:val="24"/>
        </w:rPr>
      </w:pPr>
      <w:r>
        <w:rPr>
          <w:rFonts w:ascii="Times New Roman" w:hAnsi="Times New Roman" w:cs="Times New Roman"/>
          <w:sz w:val="24"/>
          <w:szCs w:val="24"/>
        </w:rPr>
        <w:t>prisoners should progress through their sentence in an environment that provides reasonable opportunity for them to rehabilitate themselves towards the kind of responsible and crime-free life that they envisage post-release; and,</w:t>
      </w:r>
    </w:p>
    <w:p w14:paraId="7D1E9FC5" w14:textId="3F97B94F" w:rsidR="00F715A5" w:rsidRPr="0085022A" w:rsidRDefault="00F715A5" w:rsidP="00BF33CB">
      <w:pPr>
        <w:pStyle w:val="NumberLevel1"/>
        <w:numPr>
          <w:ilvl w:val="0"/>
          <w:numId w:val="6"/>
        </w:numPr>
        <w:spacing w:before="120" w:after="240" w:line="360" w:lineRule="auto"/>
        <w:ind w:left="1134" w:right="-285" w:hanging="567"/>
        <w:jc w:val="both"/>
        <w:rPr>
          <w:rFonts w:ascii="Times New Roman" w:hAnsi="Times New Roman" w:cs="Times New Roman"/>
          <w:sz w:val="24"/>
          <w:szCs w:val="24"/>
        </w:rPr>
      </w:pPr>
      <w:r w:rsidRPr="00A61F68">
        <w:rPr>
          <w:rFonts w:ascii="Times New Roman" w:hAnsi="Times New Roman" w:cs="Times New Roman"/>
          <w:sz w:val="24"/>
          <w:szCs w:val="24"/>
        </w:rPr>
        <w:t xml:space="preserve">access to health care </w:t>
      </w:r>
      <w:r w:rsidRPr="00FF35BE">
        <w:rPr>
          <w:rFonts w:ascii="Times New Roman" w:hAnsi="Times New Roman" w:cs="Times New Roman"/>
          <w:sz w:val="24"/>
          <w:szCs w:val="24"/>
        </w:rPr>
        <w:t>is a fundamental aspect of the right to dignity</w:t>
      </w:r>
      <w:r w:rsidRPr="00FF35BE">
        <w:rPr>
          <w:rStyle w:val="FootnoteReference"/>
          <w:szCs w:val="24"/>
        </w:rPr>
        <w:footnoteReference w:id="40"/>
      </w:r>
      <w:r w:rsidRPr="00FF35BE">
        <w:rPr>
          <w:rFonts w:ascii="Times New Roman" w:hAnsi="Times New Roman" w:cs="Times New Roman"/>
          <w:sz w:val="24"/>
          <w:szCs w:val="24"/>
        </w:rPr>
        <w:t xml:space="preserve"> and the right of detainees to be treated humanely includes access to health care.</w:t>
      </w:r>
      <w:r w:rsidRPr="0085022A">
        <w:rPr>
          <w:rFonts w:ascii="Times New Roman" w:hAnsi="Times New Roman" w:cs="Times New Roman"/>
          <w:sz w:val="24"/>
          <w:szCs w:val="24"/>
        </w:rPr>
        <w:t xml:space="preserve"> </w:t>
      </w:r>
    </w:p>
    <w:p w14:paraId="1EABDB8E" w14:textId="2245F723" w:rsidR="006B56CF" w:rsidRDefault="00F715A5" w:rsidP="006B56CF">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Pr>
          <w:rFonts w:ascii="Times New Roman" w:hAnsi="Times New Roman" w:cs="Times New Roman"/>
          <w:sz w:val="24"/>
          <w:szCs w:val="24"/>
        </w:rPr>
        <w:t>This right</w:t>
      </w:r>
      <w:r>
        <w:rPr>
          <w:rStyle w:val="FootnoteReference"/>
          <w:szCs w:val="24"/>
        </w:rPr>
        <w:footnoteReference w:id="41"/>
      </w:r>
      <w:r>
        <w:rPr>
          <w:rFonts w:ascii="Times New Roman" w:hAnsi="Times New Roman" w:cs="Times New Roman"/>
          <w:sz w:val="24"/>
          <w:szCs w:val="24"/>
        </w:rPr>
        <w:t xml:space="preserve"> is </w:t>
      </w:r>
      <w:r w:rsidR="009B44D2">
        <w:rPr>
          <w:rFonts w:ascii="Times New Roman" w:hAnsi="Times New Roman" w:cs="Times New Roman"/>
          <w:sz w:val="24"/>
          <w:szCs w:val="24"/>
        </w:rPr>
        <w:t xml:space="preserve">premised on the proposition </w:t>
      </w:r>
      <w:r>
        <w:rPr>
          <w:rFonts w:ascii="Times New Roman" w:hAnsi="Times New Roman" w:cs="Times New Roman"/>
          <w:sz w:val="24"/>
          <w:szCs w:val="24"/>
        </w:rPr>
        <w:t>that persons who are detained must not be subject to hardship other than that which results from the deprivation of their liberty.</w:t>
      </w:r>
      <w:r>
        <w:rPr>
          <w:rStyle w:val="FootnoteReference"/>
          <w:szCs w:val="24"/>
        </w:rPr>
        <w:footnoteReference w:id="42"/>
      </w:r>
      <w:r>
        <w:rPr>
          <w:rFonts w:ascii="Times New Roman" w:hAnsi="Times New Roman" w:cs="Times New Roman"/>
          <w:sz w:val="24"/>
          <w:szCs w:val="24"/>
        </w:rPr>
        <w:t xml:space="preserve"> This is consistent with the underlying principle of s 30 which is that “a person’s rights should only be curtailed to the extent necessary due to the confinement, reflecting that the punishment is intended to be limited to the deprivation of liberty.”</w:t>
      </w:r>
      <w:r>
        <w:rPr>
          <w:rStyle w:val="FootnoteReference"/>
          <w:szCs w:val="24"/>
        </w:rPr>
        <w:footnoteReference w:id="43"/>
      </w:r>
      <w:r>
        <w:rPr>
          <w:rFonts w:ascii="Times New Roman" w:hAnsi="Times New Roman" w:cs="Times New Roman"/>
          <w:sz w:val="24"/>
          <w:szCs w:val="24"/>
        </w:rPr>
        <w:t xml:space="preserve"> </w:t>
      </w:r>
      <w:r w:rsidRPr="00422587">
        <w:rPr>
          <w:rFonts w:ascii="Times New Roman" w:hAnsi="Times New Roman" w:cs="Times New Roman"/>
          <w:sz w:val="24"/>
          <w:szCs w:val="24"/>
        </w:rPr>
        <w:t>While recognising that a “necessary consequence of deprivation of liberty is that some rights enjoyed by other citizens will be unavailable or compromised”, “[t]o be treated humanely requires some level of benevolence or compassion and the infliction of the minimum pain.”</w:t>
      </w:r>
      <w:r>
        <w:rPr>
          <w:rStyle w:val="FootnoteReference"/>
          <w:szCs w:val="24"/>
        </w:rPr>
        <w:footnoteReference w:id="44"/>
      </w:r>
      <w:r w:rsidRPr="00422587">
        <w:rPr>
          <w:rFonts w:ascii="Times New Roman" w:hAnsi="Times New Roman" w:cs="Times New Roman"/>
          <w:sz w:val="24"/>
          <w:szCs w:val="24"/>
        </w:rPr>
        <w:t xml:space="preserve"> As a prisoner, the App</w:t>
      </w:r>
      <w:r w:rsidR="00C05B72">
        <w:rPr>
          <w:rFonts w:ascii="Times New Roman" w:hAnsi="Times New Roman" w:cs="Times New Roman"/>
          <w:sz w:val="24"/>
          <w:szCs w:val="24"/>
        </w:rPr>
        <w:t>licant</w:t>
      </w:r>
      <w:r w:rsidRPr="00422587">
        <w:rPr>
          <w:rFonts w:ascii="Times New Roman" w:hAnsi="Times New Roman" w:cs="Times New Roman"/>
          <w:sz w:val="24"/>
          <w:szCs w:val="24"/>
        </w:rPr>
        <w:t xml:space="preserve"> is to be treated humanely,</w:t>
      </w:r>
      <w:r>
        <w:rPr>
          <w:rStyle w:val="FootnoteReference"/>
          <w:szCs w:val="24"/>
        </w:rPr>
        <w:footnoteReference w:id="45"/>
      </w:r>
      <w:r w:rsidRPr="00422587">
        <w:rPr>
          <w:rFonts w:ascii="Times New Roman" w:hAnsi="Times New Roman" w:cs="Times New Roman"/>
          <w:sz w:val="24"/>
          <w:szCs w:val="24"/>
        </w:rPr>
        <w:t xml:space="preserve"> with respect for her dignity</w:t>
      </w:r>
      <w:r>
        <w:rPr>
          <w:rStyle w:val="FootnoteReference"/>
          <w:szCs w:val="24"/>
        </w:rPr>
        <w:footnoteReference w:id="46"/>
      </w:r>
      <w:r w:rsidRPr="00422587">
        <w:rPr>
          <w:rFonts w:ascii="Times New Roman" w:hAnsi="Times New Roman" w:cs="Times New Roman"/>
          <w:sz w:val="24"/>
          <w:szCs w:val="24"/>
        </w:rPr>
        <w:t xml:space="preserve"> and </w:t>
      </w:r>
      <w:r w:rsidRPr="00422587">
        <w:rPr>
          <w:rFonts w:ascii="Times New Roman" w:hAnsi="Times New Roman" w:cs="Times New Roman"/>
          <w:sz w:val="24"/>
          <w:szCs w:val="24"/>
        </w:rPr>
        <w:lastRenderedPageBreak/>
        <w:t>with due consideration for her particular human needs.</w:t>
      </w:r>
      <w:r>
        <w:rPr>
          <w:rStyle w:val="FootnoteReference"/>
          <w:szCs w:val="24"/>
        </w:rPr>
        <w:footnoteReference w:id="47"/>
      </w:r>
      <w:r w:rsidRPr="00422587">
        <w:rPr>
          <w:rFonts w:ascii="Times New Roman" w:hAnsi="Times New Roman" w:cs="Times New Roman"/>
          <w:sz w:val="24"/>
          <w:szCs w:val="24"/>
        </w:rPr>
        <w:t xml:space="preserve"> People are sentenced to imprisonment in jail as punishment, not for punishment.</w:t>
      </w:r>
      <w:r>
        <w:rPr>
          <w:rStyle w:val="FootnoteReference"/>
          <w:szCs w:val="24"/>
        </w:rPr>
        <w:footnoteReference w:id="48"/>
      </w:r>
      <w:r w:rsidRPr="00422587">
        <w:rPr>
          <w:rFonts w:ascii="Times New Roman" w:hAnsi="Times New Roman" w:cs="Times New Roman"/>
          <w:sz w:val="24"/>
          <w:szCs w:val="24"/>
        </w:rPr>
        <w:t xml:space="preserve"> The “prison system shall not</w:t>
      </w:r>
      <w:r w:rsidR="00A35355">
        <w:rPr>
          <w:rFonts w:ascii="Times New Roman" w:hAnsi="Times New Roman" w:cs="Times New Roman"/>
          <w:sz w:val="24"/>
          <w:szCs w:val="24"/>
        </w:rPr>
        <w:t>…</w:t>
      </w:r>
      <w:r w:rsidRPr="00422587">
        <w:rPr>
          <w:rFonts w:ascii="Times New Roman" w:hAnsi="Times New Roman" w:cs="Times New Roman"/>
          <w:sz w:val="24"/>
          <w:szCs w:val="24"/>
        </w:rPr>
        <w:t>aggravate the suffering inherent in such a situation”.</w:t>
      </w:r>
      <w:r>
        <w:rPr>
          <w:rStyle w:val="FootnoteReference"/>
          <w:szCs w:val="24"/>
        </w:rPr>
        <w:footnoteReference w:id="49"/>
      </w:r>
      <w:r w:rsidRPr="00422587">
        <w:rPr>
          <w:rFonts w:ascii="Times New Roman" w:hAnsi="Times New Roman" w:cs="Times New Roman"/>
          <w:sz w:val="24"/>
          <w:szCs w:val="24"/>
        </w:rPr>
        <w:t xml:space="preserve"> </w:t>
      </w:r>
      <w:r w:rsidR="004B31E2">
        <w:rPr>
          <w:rFonts w:ascii="Times New Roman" w:hAnsi="Times New Roman" w:cs="Times New Roman"/>
          <w:sz w:val="24"/>
          <w:szCs w:val="24"/>
        </w:rPr>
        <w:t>That is</w:t>
      </w:r>
      <w:r w:rsidRPr="00422587">
        <w:rPr>
          <w:rFonts w:ascii="Times New Roman" w:hAnsi="Times New Roman" w:cs="Times New Roman"/>
          <w:sz w:val="24"/>
          <w:szCs w:val="24"/>
        </w:rPr>
        <w:t>, s 30 mandates “good conduct” towards people who are detained</w:t>
      </w:r>
      <w:r>
        <w:rPr>
          <w:rStyle w:val="FootnoteReference"/>
          <w:szCs w:val="24"/>
        </w:rPr>
        <w:footnoteReference w:id="50"/>
      </w:r>
      <w:r w:rsidRPr="00422587">
        <w:rPr>
          <w:rFonts w:ascii="Times New Roman" w:hAnsi="Times New Roman" w:cs="Times New Roman"/>
          <w:sz w:val="24"/>
          <w:szCs w:val="24"/>
        </w:rPr>
        <w:t xml:space="preserve"> and ought</w:t>
      </w:r>
      <w:r>
        <w:rPr>
          <w:rFonts w:ascii="Times New Roman" w:hAnsi="Times New Roman" w:cs="Times New Roman"/>
          <w:sz w:val="24"/>
          <w:szCs w:val="24"/>
        </w:rPr>
        <w:t xml:space="preserve"> </w:t>
      </w:r>
      <w:r w:rsidR="000D7B1C">
        <w:rPr>
          <w:rFonts w:ascii="Times New Roman" w:hAnsi="Times New Roman" w:cs="Times New Roman"/>
          <w:sz w:val="24"/>
          <w:szCs w:val="24"/>
        </w:rPr>
        <w:t xml:space="preserve">to </w:t>
      </w:r>
      <w:r w:rsidR="000855CC">
        <w:rPr>
          <w:rFonts w:ascii="Times New Roman" w:hAnsi="Times New Roman" w:cs="Times New Roman"/>
          <w:sz w:val="24"/>
          <w:szCs w:val="24"/>
        </w:rPr>
        <w:t>incorporate recognition that</w:t>
      </w:r>
      <w:r w:rsidRPr="00422587">
        <w:rPr>
          <w:rFonts w:ascii="Times New Roman" w:hAnsi="Times New Roman" w:cs="Times New Roman"/>
          <w:sz w:val="24"/>
          <w:szCs w:val="24"/>
        </w:rPr>
        <w:t xml:space="preserve"> “gender-specific health-care services at least equivalent to those available in the community shall be provided to women prisoners.”</w:t>
      </w:r>
      <w:r>
        <w:rPr>
          <w:rStyle w:val="FootnoteReference"/>
          <w:szCs w:val="24"/>
        </w:rPr>
        <w:footnoteReference w:id="51"/>
      </w:r>
      <w:r w:rsidRPr="00422587">
        <w:rPr>
          <w:rFonts w:ascii="Times New Roman" w:hAnsi="Times New Roman" w:cs="Times New Roman"/>
          <w:sz w:val="24"/>
          <w:szCs w:val="24"/>
        </w:rPr>
        <w:t xml:space="preserve"> </w:t>
      </w:r>
    </w:p>
    <w:p w14:paraId="1B4A76FF" w14:textId="6DB2220D" w:rsidR="004F4494" w:rsidRDefault="00F715A5" w:rsidP="004F4494">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6B56CF">
        <w:rPr>
          <w:rFonts w:ascii="Times New Roman" w:hAnsi="Times New Roman" w:cs="Times New Roman"/>
          <w:sz w:val="24"/>
          <w:szCs w:val="24"/>
        </w:rPr>
        <w:t>One of the purposes for which a sentence may be imposed on an offender is to provide conditions that will help the offender to be rehabilitated.</w:t>
      </w:r>
      <w:r>
        <w:rPr>
          <w:rStyle w:val="FootnoteReference"/>
          <w:szCs w:val="24"/>
        </w:rPr>
        <w:footnoteReference w:id="52"/>
      </w:r>
      <w:r w:rsidRPr="006B56CF">
        <w:rPr>
          <w:rFonts w:ascii="Times New Roman" w:hAnsi="Times New Roman" w:cs="Times New Roman"/>
          <w:sz w:val="24"/>
          <w:szCs w:val="24"/>
        </w:rPr>
        <w:t xml:space="preserve"> “Rehabilitation as an object of sentencing is aimed at the renunciation by the offender of his wrongdoing and his establishment or re-establishment as an honourable law-abiding citizen.”</w:t>
      </w:r>
      <w:r>
        <w:rPr>
          <w:rStyle w:val="FootnoteReference"/>
          <w:szCs w:val="24"/>
        </w:rPr>
        <w:footnoteReference w:id="53"/>
      </w:r>
      <w:r w:rsidRPr="006B56CF">
        <w:rPr>
          <w:rFonts w:ascii="Times New Roman" w:hAnsi="Times New Roman" w:cs="Times New Roman"/>
          <w:sz w:val="24"/>
          <w:szCs w:val="24"/>
        </w:rPr>
        <w:t xml:space="preserve"> That involves facilitating reasonable opportunities for a prisoner to rehabilitate themselves towards the kind of responsible and crime-free life that they envisage for themselves post-release. That may include becoming a genetic parent. If achieved, rehabilitation “is likely to be the most durable guarantor of community protection and is clearly in the public interest.”</w:t>
      </w:r>
      <w:r>
        <w:rPr>
          <w:rStyle w:val="FootnoteReference"/>
          <w:szCs w:val="24"/>
        </w:rPr>
        <w:footnoteReference w:id="54"/>
      </w:r>
    </w:p>
    <w:p w14:paraId="40CE9BB4" w14:textId="3CEC06EA" w:rsidR="00F715A5" w:rsidRPr="004F4494" w:rsidRDefault="00F715A5" w:rsidP="004F4494">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4F4494">
        <w:rPr>
          <w:rFonts w:ascii="Times New Roman" w:hAnsi="Times New Roman" w:cs="Times New Roman"/>
          <w:sz w:val="24"/>
          <w:szCs w:val="24"/>
        </w:rPr>
        <w:t>By having no access to egg freezing in order to preserve the ability to safety give birth to a genetic child post-release, the App</w:t>
      </w:r>
      <w:r w:rsidR="004F4494">
        <w:rPr>
          <w:rFonts w:ascii="Times New Roman" w:hAnsi="Times New Roman" w:cs="Times New Roman"/>
          <w:sz w:val="24"/>
          <w:szCs w:val="24"/>
        </w:rPr>
        <w:t xml:space="preserve">licant </w:t>
      </w:r>
      <w:r w:rsidRPr="004F4494">
        <w:rPr>
          <w:rFonts w:ascii="Times New Roman" w:hAnsi="Times New Roman" w:cs="Times New Roman"/>
          <w:sz w:val="24"/>
          <w:szCs w:val="24"/>
        </w:rPr>
        <w:t xml:space="preserve">is being subjected to hardships that go beyond those that necessarily result from her imprisonment and, therefore, her right to humane treatment while imprisoned is being limited. </w:t>
      </w:r>
    </w:p>
    <w:p w14:paraId="51381CAF" w14:textId="77777777" w:rsidR="00F715A5" w:rsidRPr="00F715A5" w:rsidRDefault="00F715A5" w:rsidP="00550B3D">
      <w:pPr>
        <w:pStyle w:val="NumberLevel1"/>
        <w:widowControl w:val="0"/>
        <w:numPr>
          <w:ilvl w:val="0"/>
          <w:numId w:val="0"/>
        </w:numPr>
        <w:spacing w:before="120" w:after="240" w:line="360" w:lineRule="auto"/>
        <w:ind w:right="-285"/>
        <w:jc w:val="both"/>
        <w:rPr>
          <w:rFonts w:ascii="Times New Roman" w:hAnsi="Times New Roman" w:cs="Times New Roman"/>
          <w:i/>
          <w:iCs/>
          <w:sz w:val="24"/>
          <w:szCs w:val="24"/>
        </w:rPr>
      </w:pPr>
      <w:r w:rsidRPr="00F715A5">
        <w:rPr>
          <w:rFonts w:ascii="Times New Roman" w:hAnsi="Times New Roman" w:cs="Times New Roman"/>
          <w:i/>
          <w:iCs/>
          <w:sz w:val="24"/>
          <w:szCs w:val="24"/>
        </w:rPr>
        <w:t xml:space="preserve">The limits on the s 30 and s 37 rights are </w:t>
      </w:r>
      <w:r w:rsidRPr="00AF6EA9">
        <w:rPr>
          <w:rFonts w:ascii="Times New Roman" w:hAnsi="Times New Roman" w:cs="Times New Roman"/>
          <w:i/>
          <w:iCs/>
          <w:sz w:val="24"/>
          <w:szCs w:val="24"/>
        </w:rPr>
        <w:t>not justified</w:t>
      </w:r>
      <w:r w:rsidRPr="00F715A5">
        <w:rPr>
          <w:rFonts w:ascii="Times New Roman" w:hAnsi="Times New Roman" w:cs="Times New Roman"/>
          <w:i/>
          <w:iCs/>
          <w:sz w:val="24"/>
          <w:szCs w:val="24"/>
          <w:u w:val="single"/>
        </w:rPr>
        <w:t xml:space="preserve"> </w:t>
      </w:r>
    </w:p>
    <w:p w14:paraId="70B14CAC" w14:textId="1B5CC2A6" w:rsidR="00F715A5" w:rsidRPr="00F003B1" w:rsidRDefault="000855CC" w:rsidP="004F4494">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Pr>
          <w:rFonts w:ascii="Times New Roman" w:hAnsi="Times New Roman" w:cs="Times New Roman"/>
          <w:sz w:val="24"/>
          <w:szCs w:val="24"/>
        </w:rPr>
        <w:t>T</w:t>
      </w:r>
      <w:r w:rsidR="00F715A5" w:rsidRPr="00F003B1">
        <w:rPr>
          <w:rFonts w:ascii="Times New Roman" w:hAnsi="Times New Roman" w:cs="Times New Roman"/>
          <w:sz w:val="24"/>
          <w:szCs w:val="24"/>
        </w:rPr>
        <w:t xml:space="preserve">he </w:t>
      </w:r>
      <w:r w:rsidR="004369CC">
        <w:rPr>
          <w:rFonts w:ascii="Times New Roman" w:hAnsi="Times New Roman" w:cs="Times New Roman"/>
          <w:sz w:val="24"/>
          <w:szCs w:val="24"/>
        </w:rPr>
        <w:t xml:space="preserve">appeal court’s </w:t>
      </w:r>
      <w:r w:rsidR="00F715A5" w:rsidRPr="00F003B1">
        <w:rPr>
          <w:rFonts w:ascii="Times New Roman" w:hAnsi="Times New Roman" w:cs="Times New Roman"/>
          <w:sz w:val="24"/>
          <w:szCs w:val="24"/>
        </w:rPr>
        <w:t xml:space="preserve">construction of s 22(2) imposes an unreasonable and unjustifiable limit on human rights and is therefore not compatible with human rights because it limits a prisoner’s ability to procreate while in prison </w:t>
      </w:r>
      <w:r w:rsidR="00F715A5" w:rsidRPr="004369CC">
        <w:rPr>
          <w:rFonts w:ascii="Times New Roman" w:hAnsi="Times New Roman" w:cs="Times New Roman"/>
          <w:i/>
          <w:iCs/>
          <w:sz w:val="24"/>
          <w:szCs w:val="24"/>
        </w:rPr>
        <w:t>and also</w:t>
      </w:r>
      <w:r w:rsidR="00F715A5" w:rsidRPr="00F003B1">
        <w:rPr>
          <w:rFonts w:ascii="Times New Roman" w:hAnsi="Times New Roman" w:cs="Times New Roman"/>
          <w:sz w:val="24"/>
          <w:szCs w:val="24"/>
        </w:rPr>
        <w:t xml:space="preserve"> prevents female prisoners</w:t>
      </w:r>
      <w:r w:rsidR="00070776">
        <w:rPr>
          <w:rFonts w:ascii="Times New Roman" w:hAnsi="Times New Roman" w:cs="Times New Roman"/>
          <w:sz w:val="24"/>
          <w:szCs w:val="24"/>
        </w:rPr>
        <w:t>,</w:t>
      </w:r>
      <w:r w:rsidR="00F715A5" w:rsidRPr="00F003B1">
        <w:rPr>
          <w:rFonts w:ascii="Times New Roman" w:hAnsi="Times New Roman" w:cs="Times New Roman"/>
          <w:sz w:val="24"/>
          <w:szCs w:val="24"/>
        </w:rPr>
        <w:t xml:space="preserve"> inherently limited by their biology, to take any step to preserve their ability to safely do so post-release.</w:t>
      </w:r>
    </w:p>
    <w:p w14:paraId="07480C72" w14:textId="2685CC10" w:rsidR="00F715A5" w:rsidRPr="00DB3BF3" w:rsidRDefault="00F715A5" w:rsidP="00A425E2">
      <w:pPr>
        <w:pStyle w:val="NumberLevel1"/>
        <w:keepNext/>
        <w:numPr>
          <w:ilvl w:val="0"/>
          <w:numId w:val="0"/>
        </w:numPr>
        <w:spacing w:before="120" w:after="240" w:line="360" w:lineRule="auto"/>
        <w:ind w:left="284" w:right="-284" w:hanging="284"/>
        <w:jc w:val="both"/>
        <w:rPr>
          <w:rFonts w:ascii="Times New Roman" w:hAnsi="Times New Roman" w:cs="Times New Roman"/>
          <w:sz w:val="24"/>
          <w:szCs w:val="24"/>
        </w:rPr>
      </w:pPr>
      <w:r w:rsidRPr="00DB3BF3">
        <w:rPr>
          <w:rFonts w:ascii="Times New Roman" w:hAnsi="Times New Roman" w:cs="Times New Roman"/>
          <w:sz w:val="24"/>
          <w:szCs w:val="24"/>
        </w:rPr>
        <w:lastRenderedPageBreak/>
        <w:t>Right to access health service</w:t>
      </w:r>
      <w:r w:rsidR="00A425E2">
        <w:rPr>
          <w:rFonts w:ascii="Times New Roman" w:hAnsi="Times New Roman" w:cs="Times New Roman"/>
          <w:sz w:val="24"/>
          <w:szCs w:val="24"/>
        </w:rPr>
        <w:t>s</w:t>
      </w:r>
      <w:r w:rsidRPr="00DB3BF3">
        <w:rPr>
          <w:rFonts w:ascii="Times New Roman" w:hAnsi="Times New Roman" w:cs="Times New Roman"/>
          <w:sz w:val="24"/>
          <w:szCs w:val="24"/>
        </w:rPr>
        <w:t xml:space="preserve"> (s 37 HR Act)</w:t>
      </w:r>
    </w:p>
    <w:p w14:paraId="721214C7" w14:textId="77777777" w:rsidR="00F715A5" w:rsidRDefault="00F715A5" w:rsidP="00550B3D">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r>
        <w:rPr>
          <w:rFonts w:ascii="Times New Roman" w:hAnsi="Times New Roman" w:cs="Times New Roman"/>
          <w:i/>
          <w:iCs/>
          <w:sz w:val="24"/>
          <w:szCs w:val="24"/>
        </w:rPr>
        <w:t xml:space="preserve">The nature of the human right: </w:t>
      </w:r>
      <w:r>
        <w:rPr>
          <w:rFonts w:ascii="Times New Roman" w:hAnsi="Times New Roman" w:cs="Times New Roman"/>
          <w:sz w:val="24"/>
          <w:szCs w:val="24"/>
        </w:rPr>
        <w:t xml:space="preserve">The right to access health services, as part of the </w:t>
      </w:r>
      <w:proofErr w:type="gramStart"/>
      <w:r>
        <w:rPr>
          <w:rFonts w:ascii="Times New Roman" w:hAnsi="Times New Roman" w:cs="Times New Roman"/>
          <w:sz w:val="24"/>
          <w:szCs w:val="24"/>
        </w:rPr>
        <w:t>internationally-recognised</w:t>
      </w:r>
      <w:proofErr w:type="gramEnd"/>
      <w:r>
        <w:rPr>
          <w:rFonts w:ascii="Times New Roman" w:hAnsi="Times New Roman" w:cs="Times New Roman"/>
          <w:sz w:val="24"/>
          <w:szCs w:val="24"/>
        </w:rPr>
        <w:t xml:space="preserve"> right to health, is “</w:t>
      </w:r>
      <w:r w:rsidRPr="000F4165">
        <w:rPr>
          <w:rFonts w:ascii="Times New Roman" w:hAnsi="Times New Roman" w:cs="Times New Roman"/>
          <w:sz w:val="24"/>
          <w:szCs w:val="24"/>
        </w:rPr>
        <w:t>indispensable for the exercise of other human rights</w:t>
      </w:r>
      <w:r>
        <w:rPr>
          <w:rFonts w:ascii="Times New Roman" w:hAnsi="Times New Roman" w:cs="Times New Roman"/>
          <w:sz w:val="24"/>
          <w:szCs w:val="24"/>
        </w:rPr>
        <w:t>”</w:t>
      </w:r>
      <w:r w:rsidRPr="000F4165">
        <w:rPr>
          <w:rFonts w:ascii="Times New Roman" w:hAnsi="Times New Roman" w:cs="Times New Roman"/>
          <w:sz w:val="24"/>
          <w:szCs w:val="24"/>
        </w:rPr>
        <w:t xml:space="preserve"> and is </w:t>
      </w:r>
      <w:r>
        <w:rPr>
          <w:rFonts w:ascii="Times New Roman" w:hAnsi="Times New Roman" w:cs="Times New Roman"/>
          <w:sz w:val="24"/>
          <w:szCs w:val="24"/>
        </w:rPr>
        <w:t>“</w:t>
      </w:r>
      <w:r w:rsidRPr="000F4165">
        <w:rPr>
          <w:rFonts w:ascii="Times New Roman" w:hAnsi="Times New Roman" w:cs="Times New Roman"/>
          <w:sz w:val="24"/>
          <w:szCs w:val="24"/>
        </w:rPr>
        <w:t>conducive to living a life in dignity</w:t>
      </w:r>
      <w:r>
        <w:rPr>
          <w:rFonts w:ascii="Times New Roman" w:hAnsi="Times New Roman" w:cs="Times New Roman"/>
          <w:sz w:val="24"/>
          <w:szCs w:val="24"/>
        </w:rPr>
        <w:t>”</w:t>
      </w:r>
      <w:r w:rsidRPr="000F4165">
        <w:rPr>
          <w:rFonts w:ascii="Times New Roman" w:hAnsi="Times New Roman" w:cs="Times New Roman"/>
          <w:sz w:val="24"/>
          <w:szCs w:val="24"/>
        </w:rPr>
        <w:t>.</w:t>
      </w:r>
      <w:r>
        <w:rPr>
          <w:rStyle w:val="FootnoteReference"/>
          <w:szCs w:val="24"/>
        </w:rPr>
        <w:footnoteReference w:id="55"/>
      </w:r>
    </w:p>
    <w:p w14:paraId="473F3ECD" w14:textId="02032900" w:rsidR="0086221F" w:rsidRDefault="00F715A5" w:rsidP="0019120F">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bookmarkStart w:id="7" w:name="_Ref199436374"/>
      <w:r w:rsidRPr="00997CAF">
        <w:rPr>
          <w:rFonts w:ascii="Times New Roman" w:hAnsi="Times New Roman" w:cs="Times New Roman"/>
          <w:i/>
          <w:iCs/>
          <w:sz w:val="24"/>
          <w:szCs w:val="24"/>
        </w:rPr>
        <w:t xml:space="preserve">The nature of the purpose of the limitation: </w:t>
      </w:r>
      <w:bookmarkStart w:id="8" w:name="_Ref199148669"/>
      <w:r>
        <w:rPr>
          <w:rFonts w:ascii="Times New Roman" w:hAnsi="Times New Roman" w:cs="Times New Roman"/>
          <w:sz w:val="24"/>
          <w:szCs w:val="24"/>
        </w:rPr>
        <w:t xml:space="preserve">The purpose of the limitation as set out at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3</w:t>
      </w:r>
      <w:r w:rsidR="00FC3934">
        <w:rPr>
          <w:rFonts w:ascii="Times New Roman" w:hAnsi="Times New Roman" w:cs="Times New Roman"/>
          <w:sz w:val="24"/>
          <w:szCs w:val="24"/>
        </w:rPr>
        <w:t>4</w:t>
      </w:r>
      <w:r>
        <w:rPr>
          <w:rFonts w:ascii="Times New Roman" w:hAnsi="Times New Roman" w:cs="Times New Roman"/>
          <w:sz w:val="24"/>
          <w:szCs w:val="24"/>
        </w:rPr>
        <w:t xml:space="preserve">] </w:t>
      </w:r>
      <w:r w:rsidR="00412355">
        <w:rPr>
          <w:rFonts w:ascii="Times New Roman" w:hAnsi="Times New Roman" w:cs="Times New Roman"/>
          <w:sz w:val="24"/>
          <w:szCs w:val="24"/>
        </w:rPr>
        <w:t>(</w:t>
      </w:r>
      <w:r w:rsidR="0027351A">
        <w:rPr>
          <w:rFonts w:ascii="Times New Roman" w:hAnsi="Times New Roman" w:cs="Times New Roman"/>
          <w:sz w:val="24"/>
          <w:szCs w:val="24"/>
        </w:rPr>
        <w:t>preventing prisoners from procreating while in prison</w:t>
      </w:r>
      <w:r w:rsidR="00887B17">
        <w:rPr>
          <w:rFonts w:ascii="Times New Roman" w:hAnsi="Times New Roman" w:cs="Times New Roman"/>
          <w:sz w:val="24"/>
          <w:szCs w:val="24"/>
        </w:rPr>
        <w:t>)</w:t>
      </w:r>
      <w:r w:rsidR="00B93243">
        <w:rPr>
          <w:rFonts w:ascii="Times New Roman" w:hAnsi="Times New Roman" w:cs="Times New Roman"/>
          <w:sz w:val="24"/>
          <w:szCs w:val="24"/>
        </w:rPr>
        <w:t xml:space="preserve"> is</w:t>
      </w:r>
      <w:r>
        <w:rPr>
          <w:rFonts w:ascii="Times New Roman" w:hAnsi="Times New Roman" w:cs="Times New Roman"/>
          <w:sz w:val="24"/>
          <w:szCs w:val="24"/>
        </w:rPr>
        <w:t>, in the context of the management of prisoners, consistent with a democratic society based on human dignity and substantive equality.</w:t>
      </w:r>
      <w:bookmarkEnd w:id="7"/>
      <w:r>
        <w:rPr>
          <w:rFonts w:ascii="Times New Roman" w:hAnsi="Times New Roman" w:cs="Times New Roman"/>
          <w:sz w:val="24"/>
          <w:szCs w:val="24"/>
        </w:rPr>
        <w:t xml:space="preserve"> </w:t>
      </w:r>
      <w:r w:rsidR="006B6D39">
        <w:rPr>
          <w:rFonts w:ascii="Times New Roman" w:hAnsi="Times New Roman" w:cs="Times New Roman"/>
          <w:sz w:val="24"/>
          <w:szCs w:val="24"/>
        </w:rPr>
        <w:t xml:space="preserve"> </w:t>
      </w:r>
      <w:r w:rsidR="009506EC">
        <w:rPr>
          <w:rFonts w:ascii="Times New Roman" w:hAnsi="Times New Roman" w:cs="Times New Roman"/>
          <w:sz w:val="24"/>
          <w:szCs w:val="24"/>
        </w:rPr>
        <w:t>I</w:t>
      </w:r>
      <w:r>
        <w:rPr>
          <w:rFonts w:ascii="Times New Roman" w:hAnsi="Times New Roman" w:cs="Times New Roman"/>
          <w:sz w:val="24"/>
          <w:szCs w:val="24"/>
        </w:rPr>
        <w:t xml:space="preserve">t is a fallacy, for reasons outlined above, that equal application of the </w:t>
      </w:r>
      <w:r w:rsidR="007B45D7">
        <w:rPr>
          <w:rFonts w:ascii="Times New Roman" w:hAnsi="Times New Roman" w:cs="Times New Roman"/>
          <w:sz w:val="24"/>
          <w:szCs w:val="24"/>
        </w:rPr>
        <w:t xml:space="preserve">appeal court’s </w:t>
      </w:r>
      <w:r>
        <w:rPr>
          <w:rFonts w:ascii="Times New Roman" w:hAnsi="Times New Roman" w:cs="Times New Roman"/>
          <w:sz w:val="24"/>
          <w:szCs w:val="24"/>
        </w:rPr>
        <w:t>construction of s 22(</w:t>
      </w:r>
      <w:r w:rsidR="00D10321">
        <w:rPr>
          <w:rFonts w:ascii="Times New Roman" w:hAnsi="Times New Roman" w:cs="Times New Roman"/>
          <w:sz w:val="24"/>
          <w:szCs w:val="24"/>
        </w:rPr>
        <w:t>2</w:t>
      </w:r>
      <w:r>
        <w:rPr>
          <w:rFonts w:ascii="Times New Roman" w:hAnsi="Times New Roman" w:cs="Times New Roman"/>
          <w:sz w:val="24"/>
          <w:szCs w:val="24"/>
        </w:rPr>
        <w:t xml:space="preserve">) as between male and female prisoners results in “equal treatment”. </w:t>
      </w:r>
      <w:r w:rsidR="00191675">
        <w:rPr>
          <w:rFonts w:ascii="Times New Roman" w:hAnsi="Times New Roman" w:cs="Times New Roman"/>
          <w:sz w:val="24"/>
          <w:szCs w:val="24"/>
        </w:rPr>
        <w:t>Rather, i</w:t>
      </w:r>
      <w:r w:rsidR="002D18A9">
        <w:rPr>
          <w:rFonts w:ascii="Times New Roman" w:hAnsi="Times New Roman" w:cs="Times New Roman"/>
          <w:sz w:val="24"/>
          <w:szCs w:val="24"/>
        </w:rPr>
        <w:t>t</w:t>
      </w:r>
      <w:r>
        <w:rPr>
          <w:rFonts w:ascii="Times New Roman" w:hAnsi="Times New Roman" w:cs="Times New Roman"/>
          <w:sz w:val="24"/>
          <w:szCs w:val="24"/>
        </w:rPr>
        <w:t xml:space="preserve"> gives rise to substantive inequality between the sexes of imprisoned persons in their ability to safely and effectively procreate </w:t>
      </w:r>
      <w:bookmarkStart w:id="9" w:name="_Ref199436438"/>
      <w:r w:rsidR="00F67688">
        <w:rPr>
          <w:rFonts w:ascii="Times New Roman" w:hAnsi="Times New Roman" w:cs="Times New Roman"/>
          <w:sz w:val="24"/>
          <w:szCs w:val="24"/>
        </w:rPr>
        <w:t>post-release.</w:t>
      </w:r>
    </w:p>
    <w:p w14:paraId="77A1AB66" w14:textId="0A2F7AAD" w:rsidR="00F715A5" w:rsidRPr="0086221F" w:rsidRDefault="009E32B2" w:rsidP="0086221F">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bookmarkStart w:id="10" w:name="_Ref234418436"/>
      <w:r>
        <w:rPr>
          <w:rFonts w:ascii="Times New Roman" w:hAnsi="Times New Roman" w:cs="Times New Roman"/>
          <w:i/>
          <w:iCs/>
          <w:sz w:val="24"/>
          <w:szCs w:val="24"/>
        </w:rPr>
        <w:t>R</w:t>
      </w:r>
      <w:r w:rsidR="00F715A5" w:rsidRPr="0086221F">
        <w:rPr>
          <w:rFonts w:ascii="Times New Roman" w:hAnsi="Times New Roman" w:cs="Times New Roman"/>
          <w:i/>
          <w:iCs/>
          <w:sz w:val="24"/>
          <w:szCs w:val="24"/>
        </w:rPr>
        <w:t xml:space="preserve">elationship between the limitation and its purpose, including whether the limitation helps to achieve the purpose: </w:t>
      </w:r>
      <w:r w:rsidR="00F715A5" w:rsidRPr="0086221F">
        <w:rPr>
          <w:rFonts w:ascii="Times New Roman" w:hAnsi="Times New Roman" w:cs="Times New Roman"/>
          <w:sz w:val="24"/>
          <w:szCs w:val="24"/>
        </w:rPr>
        <w:t xml:space="preserve">The expansive construction and the extent of the limitation it imposes goes well beyond the purpose of preventing prisoners from procreating while they are in prison such that it impacts their ability to safely reproduce post-release. </w:t>
      </w:r>
      <w:bookmarkEnd w:id="8"/>
      <w:r w:rsidR="00F715A5" w:rsidRPr="0086221F">
        <w:rPr>
          <w:rFonts w:ascii="Times New Roman" w:hAnsi="Times New Roman" w:cs="Times New Roman"/>
          <w:sz w:val="24"/>
          <w:szCs w:val="24"/>
        </w:rPr>
        <w:t>Any risk that a prisoner might seek to have her eggs frozen so that she can become a mother via a surrogate while she is in prison would be subject to regulation</w:t>
      </w:r>
      <w:r w:rsidR="00F715A5">
        <w:rPr>
          <w:rStyle w:val="FootnoteReference"/>
          <w:szCs w:val="24"/>
        </w:rPr>
        <w:footnoteReference w:id="56"/>
      </w:r>
      <w:r w:rsidR="00F715A5" w:rsidRPr="0086221F">
        <w:rPr>
          <w:rFonts w:ascii="Times New Roman" w:hAnsi="Times New Roman" w:cs="Times New Roman"/>
          <w:sz w:val="24"/>
          <w:szCs w:val="24"/>
        </w:rPr>
        <w:t xml:space="preserve"> and otherwise can be addressed by the </w:t>
      </w:r>
      <w:r w:rsidR="00BE2451">
        <w:rPr>
          <w:rFonts w:ascii="Times New Roman" w:hAnsi="Times New Roman" w:cs="Times New Roman"/>
          <w:sz w:val="24"/>
          <w:szCs w:val="24"/>
        </w:rPr>
        <w:t xml:space="preserve">First </w:t>
      </w:r>
      <w:r w:rsidR="00F715A5" w:rsidRPr="0086221F">
        <w:rPr>
          <w:rFonts w:ascii="Times New Roman" w:hAnsi="Times New Roman" w:cs="Times New Roman"/>
          <w:sz w:val="24"/>
          <w:szCs w:val="24"/>
        </w:rPr>
        <w:t xml:space="preserve">Respondent in rigorous administration of the approvals process performed pursuant to s 22(1) and (3) of the CS Act. </w:t>
      </w:r>
      <w:r w:rsidR="00420199">
        <w:rPr>
          <w:rFonts w:ascii="Times New Roman" w:hAnsi="Times New Roman" w:cs="Times New Roman"/>
          <w:sz w:val="24"/>
          <w:szCs w:val="24"/>
        </w:rPr>
        <w:t>The</w:t>
      </w:r>
      <w:r w:rsidR="00F715A5" w:rsidRPr="0086221F">
        <w:rPr>
          <w:rFonts w:ascii="Times New Roman" w:hAnsi="Times New Roman" w:cs="Times New Roman"/>
          <w:sz w:val="24"/>
          <w:szCs w:val="24"/>
        </w:rPr>
        <w:t xml:space="preserve"> primary judge was incorrect to elevate avoiding the need for authorities to make “difficult decisions” to an independent purpose of s 22(1). Rather, that is the effect or result of the primary purpose of the provision (to avoid procreation by prisoners). </w:t>
      </w:r>
      <w:r w:rsidR="00621ACD">
        <w:rPr>
          <w:rFonts w:ascii="Times New Roman" w:hAnsi="Times New Roman" w:cs="Times New Roman"/>
          <w:sz w:val="24"/>
          <w:szCs w:val="24"/>
        </w:rPr>
        <w:t>P</w:t>
      </w:r>
      <w:r w:rsidR="00F715A5" w:rsidRPr="0086221F">
        <w:rPr>
          <w:rFonts w:ascii="Times New Roman" w:hAnsi="Times New Roman" w:cs="Times New Roman"/>
          <w:sz w:val="24"/>
          <w:szCs w:val="24"/>
        </w:rPr>
        <w:t>roperly understood, the determination of any decision under s 22(1) will be largely dependent on the substance, quality and weight to be given to the medical evidence provided in support of an application having regard to a prisoner’s individual circumstances</w:t>
      </w:r>
      <w:r w:rsidR="00F715A5">
        <w:rPr>
          <w:rStyle w:val="FootnoteReference"/>
          <w:szCs w:val="24"/>
        </w:rPr>
        <w:footnoteReference w:id="57"/>
      </w:r>
      <w:r w:rsidR="00F715A5" w:rsidRPr="0086221F">
        <w:rPr>
          <w:rFonts w:ascii="Times New Roman" w:hAnsi="Times New Roman" w:cs="Times New Roman"/>
          <w:sz w:val="24"/>
          <w:szCs w:val="24"/>
        </w:rPr>
        <w:t xml:space="preserve"> and their ability to pay for the treatment.</w:t>
      </w:r>
      <w:bookmarkEnd w:id="9"/>
      <w:bookmarkEnd w:id="10"/>
    </w:p>
    <w:p w14:paraId="103958AD" w14:textId="0D214F2F" w:rsidR="00F715A5" w:rsidRDefault="0097614F" w:rsidP="001A4DA2">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bookmarkStart w:id="11" w:name="_Ref199148670"/>
      <w:r>
        <w:rPr>
          <w:rFonts w:ascii="Times New Roman" w:hAnsi="Times New Roman" w:cs="Times New Roman"/>
          <w:i/>
          <w:iCs/>
          <w:sz w:val="24"/>
          <w:szCs w:val="24"/>
        </w:rPr>
        <w:t>A</w:t>
      </w:r>
      <w:r w:rsidR="00F715A5">
        <w:rPr>
          <w:rFonts w:ascii="Times New Roman" w:hAnsi="Times New Roman" w:cs="Times New Roman"/>
          <w:i/>
          <w:iCs/>
          <w:sz w:val="24"/>
          <w:szCs w:val="24"/>
        </w:rPr>
        <w:t xml:space="preserve">re any less restrictive and reasonably available ways to achieve purpose: </w:t>
      </w:r>
      <w:r w:rsidR="00F715A5">
        <w:rPr>
          <w:rFonts w:ascii="Times New Roman" w:hAnsi="Times New Roman" w:cs="Times New Roman"/>
          <w:sz w:val="24"/>
          <w:szCs w:val="24"/>
        </w:rPr>
        <w:t>The App</w:t>
      </w:r>
      <w:r w:rsidR="00EF3627">
        <w:rPr>
          <w:rFonts w:ascii="Times New Roman" w:hAnsi="Times New Roman" w:cs="Times New Roman"/>
          <w:sz w:val="24"/>
          <w:szCs w:val="24"/>
        </w:rPr>
        <w:t xml:space="preserve">licant’s </w:t>
      </w:r>
      <w:r w:rsidR="00F715A5">
        <w:rPr>
          <w:rFonts w:ascii="Times New Roman" w:hAnsi="Times New Roman" w:cs="Times New Roman"/>
          <w:sz w:val="24"/>
          <w:szCs w:val="24"/>
        </w:rPr>
        <w:t>construction is a less restrictive and reasonably available way of achieving the purpose of preventing prisoners from procreating while they are in prison</w:t>
      </w:r>
      <w:r w:rsidR="00ED6CB3">
        <w:rPr>
          <w:rFonts w:ascii="Times New Roman" w:hAnsi="Times New Roman" w:cs="Times New Roman"/>
          <w:sz w:val="24"/>
          <w:szCs w:val="24"/>
        </w:rPr>
        <w:t>.</w:t>
      </w:r>
      <w:r w:rsidR="00F715A5">
        <w:rPr>
          <w:rFonts w:ascii="Times New Roman" w:hAnsi="Times New Roman" w:cs="Times New Roman"/>
          <w:sz w:val="24"/>
          <w:szCs w:val="24"/>
        </w:rPr>
        <w:t xml:space="preserve"> </w:t>
      </w:r>
      <w:bookmarkEnd w:id="11"/>
    </w:p>
    <w:p w14:paraId="030B98A1" w14:textId="3A3858CD" w:rsidR="00F715A5" w:rsidRPr="00873487" w:rsidRDefault="0097614F" w:rsidP="00ED6CB3">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r>
        <w:rPr>
          <w:rFonts w:ascii="Times New Roman" w:hAnsi="Times New Roman" w:cs="Times New Roman"/>
          <w:i/>
          <w:iCs/>
          <w:sz w:val="24"/>
          <w:szCs w:val="24"/>
        </w:rPr>
        <w:lastRenderedPageBreak/>
        <w:t>B</w:t>
      </w:r>
      <w:r w:rsidR="00F715A5">
        <w:rPr>
          <w:rFonts w:ascii="Times New Roman" w:hAnsi="Times New Roman" w:cs="Times New Roman"/>
          <w:i/>
          <w:iCs/>
          <w:sz w:val="24"/>
          <w:szCs w:val="24"/>
        </w:rPr>
        <w:t xml:space="preserve">alance between the importance of the purpose of the limitation and preserving the human right, taking into account the nature and extent of the limitation: </w:t>
      </w:r>
      <w:r w:rsidR="00F715A5">
        <w:rPr>
          <w:rFonts w:ascii="Times New Roman" w:hAnsi="Times New Roman" w:cs="Times New Roman"/>
          <w:sz w:val="24"/>
          <w:szCs w:val="24"/>
        </w:rPr>
        <w:t xml:space="preserve">The importance of preserving the right of imprisoned females to access health services that maintain and manage their health and wellbeing outweighs a construction that may be more likely </w:t>
      </w:r>
      <w:r w:rsidR="00D9106C">
        <w:rPr>
          <w:rFonts w:ascii="Times New Roman" w:hAnsi="Times New Roman" w:cs="Times New Roman"/>
          <w:sz w:val="24"/>
          <w:szCs w:val="24"/>
        </w:rPr>
        <w:t xml:space="preserve">to </w:t>
      </w:r>
      <w:r w:rsidR="00F715A5">
        <w:rPr>
          <w:rFonts w:ascii="Times New Roman" w:hAnsi="Times New Roman" w:cs="Times New Roman"/>
          <w:sz w:val="24"/>
          <w:szCs w:val="24"/>
        </w:rPr>
        <w:t xml:space="preserve">prevent any and all risks of procreation while a prisoner is incarcerated by disproportionately restricting the s 37(1) right.  </w:t>
      </w:r>
    </w:p>
    <w:p w14:paraId="6EEAF94E" w14:textId="77777777" w:rsidR="00F715A5" w:rsidRPr="00DB3BF3" w:rsidRDefault="00F715A5" w:rsidP="00892565">
      <w:pPr>
        <w:pStyle w:val="NumberLevel1"/>
        <w:numPr>
          <w:ilvl w:val="0"/>
          <w:numId w:val="0"/>
        </w:numPr>
        <w:spacing w:before="120" w:after="240" w:line="360" w:lineRule="auto"/>
        <w:ind w:left="284" w:right="-285" w:hanging="284"/>
        <w:jc w:val="both"/>
        <w:rPr>
          <w:rFonts w:ascii="Times New Roman" w:hAnsi="Times New Roman" w:cs="Times New Roman"/>
          <w:sz w:val="24"/>
          <w:szCs w:val="24"/>
        </w:rPr>
      </w:pPr>
      <w:r w:rsidRPr="00DB3BF3">
        <w:rPr>
          <w:rFonts w:ascii="Times New Roman" w:hAnsi="Times New Roman" w:cs="Times New Roman"/>
          <w:sz w:val="24"/>
          <w:szCs w:val="24"/>
        </w:rPr>
        <w:t>Humane treatment when deprived of liberty (s 30 HR Act)</w:t>
      </w:r>
    </w:p>
    <w:p w14:paraId="476B149B" w14:textId="1A77C9F8" w:rsidR="00F715A5" w:rsidRPr="0050587B" w:rsidRDefault="00F715A5" w:rsidP="00FA083B">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Pr>
          <w:rFonts w:ascii="Times New Roman" w:hAnsi="Times New Roman" w:cs="Times New Roman"/>
          <w:i/>
          <w:iCs/>
          <w:sz w:val="24"/>
          <w:szCs w:val="24"/>
        </w:rPr>
        <w:t xml:space="preserve">The nature of the human right: </w:t>
      </w:r>
      <w:r w:rsidRPr="0050587B">
        <w:rPr>
          <w:rFonts w:ascii="Times New Roman" w:hAnsi="Times New Roman" w:cs="Times New Roman"/>
          <w:sz w:val="24"/>
          <w:szCs w:val="24"/>
        </w:rPr>
        <w:t xml:space="preserve">Treating all </w:t>
      </w:r>
      <w:r w:rsidRPr="0002476A">
        <w:rPr>
          <w:rFonts w:ascii="Times New Roman" w:hAnsi="Times New Roman" w:cs="Times New Roman"/>
          <w:sz w:val="24"/>
          <w:szCs w:val="24"/>
        </w:rPr>
        <w:t xml:space="preserve">persons </w:t>
      </w:r>
      <w:r w:rsidRPr="0050587B">
        <w:rPr>
          <w:rFonts w:ascii="Times New Roman" w:hAnsi="Times New Roman" w:cs="Times New Roman"/>
          <w:sz w:val="24"/>
          <w:szCs w:val="24"/>
        </w:rPr>
        <w:t>deprived of their liberty with humanity and with respect</w:t>
      </w:r>
      <w:r>
        <w:rPr>
          <w:rFonts w:ascii="Times New Roman" w:hAnsi="Times New Roman" w:cs="Times New Roman"/>
          <w:sz w:val="24"/>
          <w:szCs w:val="24"/>
        </w:rPr>
        <w:t xml:space="preserve"> </w:t>
      </w:r>
      <w:r w:rsidRPr="0050587B">
        <w:rPr>
          <w:rFonts w:ascii="Times New Roman" w:hAnsi="Times New Roman" w:cs="Times New Roman"/>
          <w:sz w:val="24"/>
          <w:szCs w:val="24"/>
        </w:rPr>
        <w:t>for their dignity is</w:t>
      </w:r>
      <w:r>
        <w:rPr>
          <w:rFonts w:ascii="Times New Roman" w:hAnsi="Times New Roman" w:cs="Times New Roman"/>
          <w:sz w:val="24"/>
          <w:szCs w:val="24"/>
        </w:rPr>
        <w:t xml:space="preserve"> “</w:t>
      </w:r>
      <w:r w:rsidRPr="0050587B">
        <w:rPr>
          <w:rFonts w:ascii="Times New Roman" w:hAnsi="Times New Roman" w:cs="Times New Roman"/>
          <w:sz w:val="24"/>
          <w:szCs w:val="24"/>
        </w:rPr>
        <w:t>a fundamental and universally applicable rule</w:t>
      </w:r>
      <w:r>
        <w:rPr>
          <w:rFonts w:ascii="Times New Roman" w:hAnsi="Times New Roman" w:cs="Times New Roman"/>
          <w:sz w:val="24"/>
          <w:szCs w:val="24"/>
        </w:rPr>
        <w:t>”.</w:t>
      </w:r>
      <w:r>
        <w:rPr>
          <w:rStyle w:val="FootnoteReference"/>
          <w:szCs w:val="24"/>
        </w:rPr>
        <w:footnoteReference w:id="58"/>
      </w:r>
      <w:r>
        <w:rPr>
          <w:rFonts w:ascii="Times New Roman" w:hAnsi="Times New Roman" w:cs="Times New Roman"/>
          <w:sz w:val="24"/>
          <w:szCs w:val="24"/>
        </w:rPr>
        <w:t xml:space="preserve"> </w:t>
      </w:r>
      <w:r w:rsidR="00882938">
        <w:rPr>
          <w:rFonts w:ascii="Times New Roman" w:hAnsi="Times New Roman" w:cs="Times New Roman"/>
          <w:sz w:val="24"/>
          <w:szCs w:val="24"/>
        </w:rPr>
        <w:t>T</w:t>
      </w:r>
      <w:r w:rsidRPr="0050587B">
        <w:rPr>
          <w:rFonts w:ascii="Times New Roman" w:hAnsi="Times New Roman" w:cs="Times New Roman"/>
          <w:sz w:val="24"/>
          <w:szCs w:val="24"/>
        </w:rPr>
        <w:t>he way that a society treats</w:t>
      </w:r>
      <w:r>
        <w:rPr>
          <w:rFonts w:ascii="Times New Roman" w:hAnsi="Times New Roman" w:cs="Times New Roman"/>
          <w:sz w:val="24"/>
          <w:szCs w:val="24"/>
        </w:rPr>
        <w:t xml:space="preserve"> those over whom it exercises power,</w:t>
      </w:r>
      <w:r w:rsidRPr="0050587B" w:rsidDel="006F264F">
        <w:rPr>
          <w:rFonts w:ascii="Times New Roman" w:hAnsi="Times New Roman" w:cs="Times New Roman"/>
          <w:sz w:val="24"/>
          <w:szCs w:val="24"/>
        </w:rPr>
        <w:t xml:space="preserve"> </w:t>
      </w:r>
      <w:r w:rsidRPr="0050587B">
        <w:rPr>
          <w:rFonts w:ascii="Times New Roman" w:hAnsi="Times New Roman" w:cs="Times New Roman"/>
          <w:sz w:val="24"/>
          <w:szCs w:val="24"/>
        </w:rPr>
        <w:t>particularly those held in its institutions, reflects the democratic health of that society.</w:t>
      </w:r>
    </w:p>
    <w:p w14:paraId="11CABCE5" w14:textId="72806684" w:rsidR="00DB3BF3" w:rsidRDefault="00F715A5" w:rsidP="00DB3BF3">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r w:rsidRPr="00603667">
        <w:rPr>
          <w:rFonts w:ascii="Times New Roman" w:hAnsi="Times New Roman" w:cs="Times New Roman"/>
          <w:i/>
          <w:iCs/>
          <w:sz w:val="24"/>
          <w:szCs w:val="24"/>
        </w:rPr>
        <w:t xml:space="preserve">The nature of the purpose of the limitation: </w:t>
      </w:r>
      <w:r>
        <w:rPr>
          <w:rFonts w:ascii="Times New Roman" w:hAnsi="Times New Roman" w:cs="Times New Roman"/>
          <w:sz w:val="24"/>
          <w:szCs w:val="24"/>
        </w:rPr>
        <w:t xml:space="preserve">Paragraph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_Ref199436374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C976AC">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t xml:space="preserve"> above pertain</w:t>
      </w:r>
      <w:r w:rsidR="008D5B9B">
        <w:rPr>
          <w:rFonts w:ascii="Times New Roman" w:hAnsi="Times New Roman" w:cs="Times New Roman"/>
          <w:sz w:val="24"/>
          <w:szCs w:val="24"/>
        </w:rPr>
        <w:t>s</w:t>
      </w:r>
      <w:r>
        <w:rPr>
          <w:rFonts w:ascii="Times New Roman" w:hAnsi="Times New Roman" w:cs="Times New Roman"/>
          <w:sz w:val="24"/>
          <w:szCs w:val="24"/>
        </w:rPr>
        <w:t xml:space="preserve">. </w:t>
      </w:r>
    </w:p>
    <w:p w14:paraId="60EAE53B" w14:textId="79AB82E2" w:rsidR="00F715A5" w:rsidRPr="00DB3BF3" w:rsidRDefault="009E32B2" w:rsidP="00DB3BF3">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r>
        <w:rPr>
          <w:rFonts w:ascii="Times New Roman" w:hAnsi="Times New Roman" w:cs="Times New Roman"/>
          <w:i/>
          <w:iCs/>
          <w:sz w:val="24"/>
          <w:szCs w:val="24"/>
        </w:rPr>
        <w:t>R</w:t>
      </w:r>
      <w:r w:rsidR="00F715A5" w:rsidRPr="00DB3BF3">
        <w:rPr>
          <w:rFonts w:ascii="Times New Roman" w:hAnsi="Times New Roman" w:cs="Times New Roman"/>
          <w:i/>
          <w:iCs/>
          <w:sz w:val="24"/>
          <w:szCs w:val="24"/>
        </w:rPr>
        <w:t xml:space="preserve">elationship between the limitation and its purpose, including whether the limitation helps to achieve the purpose: </w:t>
      </w:r>
      <w:r w:rsidR="00F715A5" w:rsidRPr="00DB3BF3">
        <w:rPr>
          <w:rFonts w:ascii="Times New Roman" w:hAnsi="Times New Roman" w:cs="Times New Roman"/>
          <w:sz w:val="24"/>
          <w:szCs w:val="24"/>
        </w:rPr>
        <w:t xml:space="preserve">Paragraph </w:t>
      </w:r>
      <w:r w:rsidR="00F715A5" w:rsidRPr="00DB3BF3">
        <w:rPr>
          <w:rFonts w:ascii="Times New Roman" w:hAnsi="Times New Roman" w:cs="Times New Roman"/>
          <w:sz w:val="24"/>
          <w:szCs w:val="24"/>
        </w:rPr>
        <w:fldChar w:fldCharType="begin"/>
      </w:r>
      <w:r w:rsidR="00F715A5" w:rsidRPr="00DB3BF3">
        <w:rPr>
          <w:rFonts w:ascii="Times New Roman" w:hAnsi="Times New Roman" w:cs="Times New Roman"/>
          <w:sz w:val="24"/>
          <w:szCs w:val="24"/>
        </w:rPr>
        <w:instrText xml:space="preserve"> REF _Ref199436438 \r \h </w:instrText>
      </w:r>
      <w:r w:rsidR="00F715A5" w:rsidRPr="00DB3BF3">
        <w:rPr>
          <w:rFonts w:ascii="Times New Roman" w:hAnsi="Times New Roman" w:cs="Times New Roman"/>
          <w:sz w:val="24"/>
          <w:szCs w:val="24"/>
        </w:rPr>
      </w:r>
      <w:r w:rsidR="00F715A5" w:rsidRPr="00DB3BF3">
        <w:rPr>
          <w:rFonts w:ascii="Times New Roman" w:hAnsi="Times New Roman" w:cs="Times New Roman"/>
          <w:sz w:val="24"/>
          <w:szCs w:val="24"/>
        </w:rPr>
        <w:fldChar w:fldCharType="separate"/>
      </w:r>
      <w:r w:rsidR="003E3E5A">
        <w:rPr>
          <w:rFonts w:ascii="Times New Roman" w:hAnsi="Times New Roman" w:cs="Times New Roman"/>
          <w:sz w:val="24"/>
          <w:szCs w:val="24"/>
        </w:rPr>
        <w:fldChar w:fldCharType="begin"/>
      </w:r>
      <w:r w:rsidR="003E3E5A">
        <w:rPr>
          <w:rFonts w:ascii="Times New Roman" w:hAnsi="Times New Roman" w:cs="Times New Roman"/>
          <w:sz w:val="24"/>
          <w:szCs w:val="24"/>
        </w:rPr>
        <w:instrText xml:space="preserve"> REF _Ref234418436 \r \h </w:instrText>
      </w:r>
      <w:r w:rsidR="003E3E5A">
        <w:rPr>
          <w:rFonts w:ascii="Times New Roman" w:hAnsi="Times New Roman" w:cs="Times New Roman"/>
          <w:sz w:val="24"/>
          <w:szCs w:val="24"/>
        </w:rPr>
      </w:r>
      <w:r w:rsidR="003E3E5A">
        <w:rPr>
          <w:rFonts w:ascii="Times New Roman" w:hAnsi="Times New Roman" w:cs="Times New Roman"/>
          <w:sz w:val="24"/>
          <w:szCs w:val="24"/>
        </w:rPr>
        <w:fldChar w:fldCharType="separate"/>
      </w:r>
      <w:r w:rsidR="003E3E5A">
        <w:rPr>
          <w:rFonts w:ascii="Times New Roman" w:hAnsi="Times New Roman" w:cs="Times New Roman"/>
          <w:sz w:val="24"/>
          <w:szCs w:val="24"/>
        </w:rPr>
        <w:t>23</w:t>
      </w:r>
      <w:r w:rsidR="003E3E5A">
        <w:rPr>
          <w:rFonts w:ascii="Times New Roman" w:hAnsi="Times New Roman" w:cs="Times New Roman"/>
          <w:sz w:val="24"/>
          <w:szCs w:val="24"/>
        </w:rPr>
        <w:fldChar w:fldCharType="end"/>
      </w:r>
      <w:r w:rsidR="00F715A5" w:rsidRPr="00DB3BF3">
        <w:rPr>
          <w:rFonts w:ascii="Times New Roman" w:hAnsi="Times New Roman" w:cs="Times New Roman"/>
          <w:sz w:val="24"/>
          <w:szCs w:val="24"/>
        </w:rPr>
        <w:fldChar w:fldCharType="end"/>
      </w:r>
      <w:r w:rsidR="00F715A5" w:rsidRPr="00DB3BF3">
        <w:rPr>
          <w:rFonts w:ascii="Times New Roman" w:hAnsi="Times New Roman" w:cs="Times New Roman"/>
          <w:sz w:val="24"/>
          <w:szCs w:val="24"/>
        </w:rPr>
        <w:t xml:space="preserve"> above pertains. The expansive construction offends human dignity and equality because it subjects a female prisoner, imprisoned for a period that substantially traverses the end stages of her reproductive prime to the additional hardship of unnecessarily exposing her, in the post-release life of her own design, to the risks of, at least, a geriatric pregnancy including the associated increased mortality and morbidity. </w:t>
      </w:r>
      <w:r w:rsidR="00F22D38">
        <w:rPr>
          <w:rFonts w:ascii="Times New Roman" w:hAnsi="Times New Roman" w:cs="Times New Roman"/>
          <w:sz w:val="24"/>
          <w:szCs w:val="24"/>
        </w:rPr>
        <w:t xml:space="preserve">The appeal court’s </w:t>
      </w:r>
      <w:r w:rsidR="00F715A5" w:rsidRPr="00DB3BF3">
        <w:rPr>
          <w:rFonts w:ascii="Times New Roman" w:hAnsi="Times New Roman" w:cs="Times New Roman"/>
          <w:sz w:val="24"/>
          <w:szCs w:val="24"/>
        </w:rPr>
        <w:t>construction reaches beyond restricting a woman’s ability to procreate while in prison and limits her ability to safely fall pregnant and bear her own biological child post-release. That encroachment on the inherent dignity of female prisoners and the additional emotional hardship imposed on them undermines their right to humane treatment while in prison and is not justified.</w:t>
      </w:r>
    </w:p>
    <w:p w14:paraId="2E68F60E" w14:textId="28B4C2CE" w:rsidR="00F715A5" w:rsidRPr="00C063D1" w:rsidRDefault="009E32B2" w:rsidP="00C97D83">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r>
        <w:rPr>
          <w:rFonts w:ascii="Times New Roman" w:hAnsi="Times New Roman" w:cs="Times New Roman"/>
          <w:i/>
          <w:iCs/>
          <w:sz w:val="24"/>
          <w:szCs w:val="24"/>
        </w:rPr>
        <w:t>A</w:t>
      </w:r>
      <w:r w:rsidR="00F715A5">
        <w:rPr>
          <w:rFonts w:ascii="Times New Roman" w:hAnsi="Times New Roman" w:cs="Times New Roman"/>
          <w:i/>
          <w:iCs/>
          <w:sz w:val="24"/>
          <w:szCs w:val="24"/>
        </w:rPr>
        <w:t xml:space="preserve">ny less restrictive and reasonably available ways to achieve purpose: </w:t>
      </w:r>
      <w:r>
        <w:rPr>
          <w:rFonts w:ascii="Times New Roman" w:hAnsi="Times New Roman" w:cs="Times New Roman"/>
          <w:sz w:val="24"/>
          <w:szCs w:val="24"/>
        </w:rPr>
        <w:t>See [</w:t>
      </w:r>
      <w:r w:rsidR="00F715A5">
        <w:rPr>
          <w:rFonts w:ascii="Times New Roman" w:hAnsi="Times New Roman" w:cs="Times New Roman"/>
          <w:sz w:val="24"/>
          <w:szCs w:val="24"/>
        </w:rPr>
        <w:fldChar w:fldCharType="begin"/>
      </w:r>
      <w:r w:rsidR="00F715A5">
        <w:rPr>
          <w:rFonts w:ascii="Times New Roman" w:hAnsi="Times New Roman" w:cs="Times New Roman"/>
          <w:sz w:val="24"/>
          <w:szCs w:val="24"/>
        </w:rPr>
        <w:instrText xml:space="preserve"> REF _Ref199148670 \r \h </w:instrText>
      </w:r>
      <w:r w:rsidR="00F715A5">
        <w:rPr>
          <w:rFonts w:ascii="Times New Roman" w:hAnsi="Times New Roman" w:cs="Times New Roman"/>
          <w:sz w:val="24"/>
          <w:szCs w:val="24"/>
        </w:rPr>
      </w:r>
      <w:r w:rsidR="00F715A5">
        <w:rPr>
          <w:rFonts w:ascii="Times New Roman" w:hAnsi="Times New Roman" w:cs="Times New Roman"/>
          <w:sz w:val="24"/>
          <w:szCs w:val="24"/>
        </w:rPr>
        <w:fldChar w:fldCharType="separate"/>
      </w:r>
      <w:r w:rsidR="00C976AC">
        <w:rPr>
          <w:rFonts w:ascii="Times New Roman" w:hAnsi="Times New Roman" w:cs="Times New Roman"/>
          <w:sz w:val="24"/>
          <w:szCs w:val="24"/>
        </w:rPr>
        <w:t>24</w:t>
      </w:r>
      <w:r w:rsidR="00F715A5">
        <w:rPr>
          <w:rFonts w:ascii="Times New Roman" w:hAnsi="Times New Roman" w:cs="Times New Roman"/>
          <w:sz w:val="24"/>
          <w:szCs w:val="24"/>
        </w:rPr>
        <w:fldChar w:fldCharType="end"/>
      </w:r>
      <w:r>
        <w:rPr>
          <w:rFonts w:ascii="Times New Roman" w:hAnsi="Times New Roman" w:cs="Times New Roman"/>
          <w:sz w:val="24"/>
          <w:szCs w:val="24"/>
        </w:rPr>
        <w:t>]</w:t>
      </w:r>
      <w:r w:rsidR="00F715A5">
        <w:rPr>
          <w:rFonts w:ascii="Times New Roman" w:hAnsi="Times New Roman" w:cs="Times New Roman"/>
          <w:sz w:val="24"/>
          <w:szCs w:val="24"/>
        </w:rPr>
        <w:t xml:space="preserve"> above.  </w:t>
      </w:r>
    </w:p>
    <w:p w14:paraId="0BB446F7" w14:textId="2A277E64" w:rsidR="00F715A5" w:rsidRPr="008557A7" w:rsidRDefault="009968B5" w:rsidP="00C97D83">
      <w:pPr>
        <w:pStyle w:val="NumberLevel1"/>
        <w:numPr>
          <w:ilvl w:val="0"/>
          <w:numId w:val="8"/>
        </w:numPr>
        <w:spacing w:before="120" w:after="240" w:line="360" w:lineRule="auto"/>
        <w:ind w:left="567" w:right="-285" w:hanging="567"/>
        <w:jc w:val="both"/>
        <w:rPr>
          <w:rFonts w:ascii="Times New Roman" w:hAnsi="Times New Roman" w:cs="Times New Roman"/>
          <w:i/>
          <w:iCs/>
          <w:sz w:val="24"/>
          <w:szCs w:val="24"/>
        </w:rPr>
      </w:pPr>
      <w:bookmarkStart w:id="12" w:name="_Ref234328186"/>
      <w:r>
        <w:rPr>
          <w:rFonts w:ascii="Times New Roman" w:hAnsi="Times New Roman" w:cs="Times New Roman"/>
          <w:i/>
          <w:iCs/>
          <w:sz w:val="24"/>
          <w:szCs w:val="24"/>
        </w:rPr>
        <w:t>B</w:t>
      </w:r>
      <w:r w:rsidR="00F715A5">
        <w:rPr>
          <w:rFonts w:ascii="Times New Roman" w:hAnsi="Times New Roman" w:cs="Times New Roman"/>
          <w:i/>
          <w:iCs/>
          <w:sz w:val="24"/>
          <w:szCs w:val="24"/>
        </w:rPr>
        <w:t>alance between t</w:t>
      </w:r>
      <w:r w:rsidR="00F715A5" w:rsidRPr="00AE08FD">
        <w:rPr>
          <w:rFonts w:ascii="Times New Roman" w:hAnsi="Times New Roman" w:cs="Times New Roman"/>
          <w:i/>
          <w:iCs/>
          <w:sz w:val="24"/>
          <w:szCs w:val="24"/>
        </w:rPr>
        <w:t>he importance of the purpose of the limitation</w:t>
      </w:r>
      <w:r w:rsidR="00F715A5">
        <w:rPr>
          <w:rFonts w:ascii="Times New Roman" w:hAnsi="Times New Roman" w:cs="Times New Roman"/>
          <w:i/>
          <w:iCs/>
          <w:sz w:val="24"/>
          <w:szCs w:val="24"/>
        </w:rPr>
        <w:t xml:space="preserve"> and </w:t>
      </w:r>
      <w:r w:rsidR="00F715A5" w:rsidRPr="00AE08FD">
        <w:rPr>
          <w:rFonts w:ascii="Times New Roman" w:hAnsi="Times New Roman" w:cs="Times New Roman"/>
          <w:i/>
          <w:iCs/>
          <w:sz w:val="24"/>
          <w:szCs w:val="24"/>
        </w:rPr>
        <w:t>preserving the human right, taking into account the nature and extent of the limitation</w:t>
      </w:r>
      <w:r w:rsidR="00F715A5">
        <w:rPr>
          <w:rFonts w:ascii="Times New Roman" w:hAnsi="Times New Roman" w:cs="Times New Roman"/>
          <w:i/>
          <w:iCs/>
          <w:sz w:val="24"/>
          <w:szCs w:val="24"/>
        </w:rPr>
        <w:t xml:space="preserve">: </w:t>
      </w:r>
      <w:r w:rsidR="00F715A5">
        <w:rPr>
          <w:rFonts w:ascii="Times New Roman" w:hAnsi="Times New Roman" w:cs="Times New Roman"/>
          <w:sz w:val="24"/>
          <w:szCs w:val="24"/>
        </w:rPr>
        <w:t xml:space="preserve">Subjecting female prisoners to the additional hardships, post-release, of the higher likelihood of infertility and high-risk pregnancy and childbirth, by preventing them from freezing their eggs, is disproportionate to the aim of preventing procreation while in prison. The </w:t>
      </w:r>
      <w:r w:rsidR="0052494A">
        <w:rPr>
          <w:rFonts w:ascii="Times New Roman" w:hAnsi="Times New Roman" w:cs="Times New Roman"/>
          <w:sz w:val="24"/>
          <w:szCs w:val="24"/>
        </w:rPr>
        <w:t xml:space="preserve">appeal </w:t>
      </w:r>
      <w:r w:rsidR="0052494A">
        <w:rPr>
          <w:rFonts w:ascii="Times New Roman" w:hAnsi="Times New Roman" w:cs="Times New Roman"/>
          <w:sz w:val="24"/>
          <w:szCs w:val="24"/>
        </w:rPr>
        <w:lastRenderedPageBreak/>
        <w:t xml:space="preserve">court’s </w:t>
      </w:r>
      <w:r w:rsidR="00F715A5">
        <w:rPr>
          <w:rFonts w:ascii="Times New Roman" w:hAnsi="Times New Roman" w:cs="Times New Roman"/>
          <w:sz w:val="24"/>
          <w:szCs w:val="24"/>
        </w:rPr>
        <w:t>construction undermine</w:t>
      </w:r>
      <w:r w:rsidR="0052494A">
        <w:rPr>
          <w:rFonts w:ascii="Times New Roman" w:hAnsi="Times New Roman" w:cs="Times New Roman"/>
          <w:sz w:val="24"/>
          <w:szCs w:val="24"/>
        </w:rPr>
        <w:t>s</w:t>
      </w:r>
      <w:r w:rsidR="00F715A5">
        <w:rPr>
          <w:rFonts w:ascii="Times New Roman" w:hAnsi="Times New Roman" w:cs="Times New Roman"/>
          <w:sz w:val="24"/>
          <w:szCs w:val="24"/>
        </w:rPr>
        <w:t xml:space="preserve"> the rehabilitative goals of incarceration as the reduced likelihood of safe procreation post-release may diminish a prisoner’s incentives to rehabilitate themselves. The absence of benevolence, discriminat</w:t>
      </w:r>
      <w:r w:rsidR="002019CD">
        <w:rPr>
          <w:rFonts w:ascii="Times New Roman" w:hAnsi="Times New Roman" w:cs="Times New Roman"/>
          <w:sz w:val="24"/>
          <w:szCs w:val="24"/>
        </w:rPr>
        <w:t>ory</w:t>
      </w:r>
      <w:r w:rsidR="00515295">
        <w:rPr>
          <w:rFonts w:ascii="Times New Roman" w:hAnsi="Times New Roman" w:cs="Times New Roman"/>
          <w:sz w:val="24"/>
          <w:szCs w:val="24"/>
        </w:rPr>
        <w:t xml:space="preserve"> </w:t>
      </w:r>
      <w:r w:rsidR="00F715A5">
        <w:rPr>
          <w:rFonts w:ascii="Times New Roman" w:hAnsi="Times New Roman" w:cs="Times New Roman"/>
          <w:sz w:val="24"/>
          <w:szCs w:val="24"/>
        </w:rPr>
        <w:t xml:space="preserve">operation, and the aggravation of suffering resulting from the </w:t>
      </w:r>
      <w:r w:rsidR="008103EC">
        <w:rPr>
          <w:rFonts w:ascii="Times New Roman" w:hAnsi="Times New Roman" w:cs="Times New Roman"/>
          <w:sz w:val="24"/>
          <w:szCs w:val="24"/>
        </w:rPr>
        <w:t>appeal court</w:t>
      </w:r>
      <w:r w:rsidR="00F715A5">
        <w:rPr>
          <w:rFonts w:ascii="Times New Roman" w:hAnsi="Times New Roman" w:cs="Times New Roman"/>
          <w:sz w:val="24"/>
          <w:szCs w:val="24"/>
        </w:rPr>
        <w:t>’s construction weighs against it.</w:t>
      </w:r>
      <w:bookmarkEnd w:id="12"/>
      <w:r w:rsidR="00F715A5">
        <w:rPr>
          <w:rFonts w:ascii="Times New Roman" w:hAnsi="Times New Roman" w:cs="Times New Roman"/>
          <w:sz w:val="24"/>
          <w:szCs w:val="24"/>
        </w:rPr>
        <w:t xml:space="preserve">   </w:t>
      </w:r>
      <w:r w:rsidR="00F715A5" w:rsidRPr="00AE08FD">
        <w:rPr>
          <w:rFonts w:ascii="Times New Roman" w:hAnsi="Times New Roman" w:cs="Times New Roman"/>
          <w:i/>
          <w:iCs/>
          <w:sz w:val="24"/>
          <w:szCs w:val="24"/>
        </w:rPr>
        <w:t xml:space="preserve"> </w:t>
      </w:r>
    </w:p>
    <w:p w14:paraId="1E1316F9" w14:textId="70D86D15" w:rsidR="00F715A5" w:rsidRPr="006E4133" w:rsidRDefault="00F715A5" w:rsidP="006E4133">
      <w:pPr>
        <w:pStyle w:val="NumberLevel1"/>
        <w:widowControl w:val="0"/>
        <w:numPr>
          <w:ilvl w:val="0"/>
          <w:numId w:val="0"/>
        </w:numPr>
        <w:spacing w:before="120" w:after="240" w:line="360" w:lineRule="auto"/>
        <w:ind w:left="567" w:right="-285" w:hanging="567"/>
        <w:jc w:val="both"/>
        <w:rPr>
          <w:rFonts w:ascii="Times New Roman" w:hAnsi="Times New Roman" w:cs="Times New Roman"/>
          <w:sz w:val="24"/>
          <w:szCs w:val="24"/>
          <w:u w:val="single"/>
        </w:rPr>
      </w:pPr>
      <w:r w:rsidRPr="006E4133">
        <w:rPr>
          <w:rFonts w:ascii="Times New Roman" w:hAnsi="Times New Roman" w:cs="Times New Roman"/>
          <w:sz w:val="24"/>
          <w:szCs w:val="24"/>
          <w:u w:val="single"/>
        </w:rPr>
        <w:t>The App</w:t>
      </w:r>
      <w:r w:rsidR="006E4133">
        <w:rPr>
          <w:rFonts w:ascii="Times New Roman" w:hAnsi="Times New Roman" w:cs="Times New Roman"/>
          <w:sz w:val="24"/>
          <w:szCs w:val="24"/>
          <w:u w:val="single"/>
        </w:rPr>
        <w:t>licant</w:t>
      </w:r>
      <w:r w:rsidRPr="006E4133">
        <w:rPr>
          <w:rFonts w:ascii="Times New Roman" w:hAnsi="Times New Roman" w:cs="Times New Roman"/>
          <w:sz w:val="24"/>
          <w:szCs w:val="24"/>
          <w:u w:val="single"/>
        </w:rPr>
        <w:t>’s construction is not inconsistent with the purpose of s 22(1)</w:t>
      </w:r>
    </w:p>
    <w:p w14:paraId="636EF496" w14:textId="0F5ABCE6" w:rsidR="001061A8" w:rsidRPr="008103EC" w:rsidRDefault="00F715A5" w:rsidP="008103EC">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bookmarkStart w:id="13" w:name="_Ref234235459"/>
      <w:r>
        <w:rPr>
          <w:rFonts w:ascii="Times New Roman" w:hAnsi="Times New Roman" w:cs="Times New Roman"/>
          <w:sz w:val="24"/>
          <w:szCs w:val="24"/>
        </w:rPr>
        <w:t>For the</w:t>
      </w:r>
      <w:r w:rsidRPr="00FD016D">
        <w:rPr>
          <w:rFonts w:ascii="Times New Roman" w:hAnsi="Times New Roman" w:cs="Times New Roman"/>
          <w:sz w:val="24"/>
          <w:szCs w:val="24"/>
        </w:rPr>
        <w:t xml:space="preserve"> reasons</w:t>
      </w:r>
      <w:r>
        <w:rPr>
          <w:rFonts w:ascii="Times New Roman" w:hAnsi="Times New Roman" w:cs="Times New Roman"/>
          <w:sz w:val="24"/>
          <w:szCs w:val="24"/>
        </w:rPr>
        <w:t xml:space="preserve"> stated in </w:t>
      </w:r>
      <w:proofErr w:type="gramStart"/>
      <w:r w:rsidR="00FD016D">
        <w:rPr>
          <w:rFonts w:ascii="Times New Roman" w:hAnsi="Times New Roman" w:cs="Times New Roman"/>
          <w:sz w:val="24"/>
          <w:szCs w:val="24"/>
        </w:rPr>
        <w:t>A</w:t>
      </w:r>
      <w:r>
        <w:rPr>
          <w:rFonts w:ascii="Times New Roman" w:hAnsi="Times New Roman" w:cs="Times New Roman"/>
          <w:sz w:val="24"/>
          <w:szCs w:val="24"/>
        </w:rPr>
        <w:t>[</w:t>
      </w:r>
      <w:proofErr w:type="gramEnd"/>
      <w:r>
        <w:rPr>
          <w:rFonts w:ascii="Times New Roman" w:hAnsi="Times New Roman" w:cs="Times New Roman"/>
          <w:sz w:val="24"/>
          <w:szCs w:val="24"/>
        </w:rPr>
        <w:t>3</w:t>
      </w:r>
      <w:r w:rsidR="00FD016D">
        <w:rPr>
          <w:rFonts w:ascii="Times New Roman" w:hAnsi="Times New Roman" w:cs="Times New Roman"/>
          <w:sz w:val="24"/>
          <w:szCs w:val="24"/>
        </w:rPr>
        <w:t>4</w:t>
      </w:r>
      <w:r>
        <w:rPr>
          <w:rFonts w:ascii="Times New Roman" w:hAnsi="Times New Roman" w:cs="Times New Roman"/>
          <w:sz w:val="24"/>
          <w:szCs w:val="24"/>
        </w:rPr>
        <w:t xml:space="preserve">], the purpose of s 22(2) </w:t>
      </w:r>
      <w:r w:rsidR="00401345">
        <w:rPr>
          <w:rFonts w:ascii="Times New Roman" w:hAnsi="Times New Roman" w:cs="Times New Roman"/>
          <w:sz w:val="24"/>
          <w:szCs w:val="24"/>
        </w:rPr>
        <w:t>of the CS Act</w:t>
      </w:r>
      <w:r>
        <w:rPr>
          <w:rFonts w:ascii="Times New Roman" w:hAnsi="Times New Roman" w:cs="Times New Roman"/>
          <w:sz w:val="24"/>
          <w:szCs w:val="24"/>
        </w:rPr>
        <w:t xml:space="preserve"> is to prevent prisoners from procreating while in prison. </w:t>
      </w:r>
      <w:r w:rsidR="00C07188">
        <w:rPr>
          <w:rFonts w:ascii="Times New Roman" w:hAnsi="Times New Roman" w:cs="Times New Roman"/>
          <w:sz w:val="24"/>
          <w:szCs w:val="24"/>
        </w:rPr>
        <w:t>As</w:t>
      </w:r>
      <w:r w:rsidRPr="004B2918">
        <w:rPr>
          <w:rFonts w:ascii="Times New Roman" w:hAnsi="Times New Roman" w:cs="Times New Roman"/>
          <w:sz w:val="24"/>
          <w:szCs w:val="24"/>
        </w:rPr>
        <w:t xml:space="preserve"> egg freezing, as an isolated activity, is incapable of resulting in procreation, the App</w:t>
      </w:r>
      <w:r w:rsidR="006E4133">
        <w:rPr>
          <w:rFonts w:ascii="Times New Roman" w:hAnsi="Times New Roman" w:cs="Times New Roman"/>
          <w:sz w:val="24"/>
          <w:szCs w:val="24"/>
        </w:rPr>
        <w:t>lican</w:t>
      </w:r>
      <w:r w:rsidRPr="004B2918">
        <w:rPr>
          <w:rFonts w:ascii="Times New Roman" w:hAnsi="Times New Roman" w:cs="Times New Roman"/>
          <w:sz w:val="24"/>
          <w:szCs w:val="24"/>
        </w:rPr>
        <w:t xml:space="preserve">t’s </w:t>
      </w:r>
      <w:r w:rsidR="008103EC">
        <w:rPr>
          <w:rFonts w:ascii="Times New Roman" w:hAnsi="Times New Roman" w:cs="Times New Roman"/>
          <w:sz w:val="24"/>
          <w:szCs w:val="24"/>
        </w:rPr>
        <w:t>c</w:t>
      </w:r>
      <w:r w:rsidRPr="004B2918">
        <w:rPr>
          <w:rFonts w:ascii="Times New Roman" w:hAnsi="Times New Roman" w:cs="Times New Roman"/>
          <w:sz w:val="24"/>
          <w:szCs w:val="24"/>
        </w:rPr>
        <w:t xml:space="preserve">onstruction which is most compatible with </w:t>
      </w:r>
      <w:r>
        <w:rPr>
          <w:rFonts w:ascii="Times New Roman" w:hAnsi="Times New Roman" w:cs="Times New Roman"/>
          <w:sz w:val="24"/>
          <w:szCs w:val="24"/>
        </w:rPr>
        <w:t xml:space="preserve">the </w:t>
      </w:r>
      <w:r w:rsidRPr="004B2918">
        <w:rPr>
          <w:rFonts w:ascii="Times New Roman" w:hAnsi="Times New Roman" w:cs="Times New Roman"/>
          <w:sz w:val="24"/>
          <w:szCs w:val="24"/>
        </w:rPr>
        <w:t xml:space="preserve">human rights </w:t>
      </w:r>
      <w:r>
        <w:rPr>
          <w:rFonts w:ascii="Times New Roman" w:hAnsi="Times New Roman" w:cs="Times New Roman"/>
          <w:sz w:val="24"/>
          <w:szCs w:val="24"/>
        </w:rPr>
        <w:t xml:space="preserve">in ss 30(1) and 37(1) of the HR Act, </w:t>
      </w:r>
      <w:r w:rsidRPr="004B2918">
        <w:rPr>
          <w:rFonts w:ascii="Times New Roman" w:hAnsi="Times New Roman" w:cs="Times New Roman"/>
          <w:sz w:val="24"/>
          <w:szCs w:val="24"/>
        </w:rPr>
        <w:t xml:space="preserve">is consistent with the purpose of s 22(2) and, therefore, </w:t>
      </w:r>
      <w:r w:rsidR="008A3B04">
        <w:rPr>
          <w:rFonts w:ascii="Times New Roman" w:hAnsi="Times New Roman" w:cs="Times New Roman"/>
          <w:sz w:val="24"/>
          <w:szCs w:val="24"/>
        </w:rPr>
        <w:t>is</w:t>
      </w:r>
      <w:r w:rsidRPr="004B2918">
        <w:rPr>
          <w:rFonts w:ascii="Times New Roman" w:hAnsi="Times New Roman" w:cs="Times New Roman"/>
          <w:sz w:val="24"/>
          <w:szCs w:val="24"/>
        </w:rPr>
        <w:t xml:space="preserve"> the correct construction.</w:t>
      </w:r>
      <w:bookmarkEnd w:id="13"/>
      <w:r w:rsidRPr="004B2918">
        <w:rPr>
          <w:rFonts w:ascii="Times New Roman" w:hAnsi="Times New Roman" w:cs="Times New Roman"/>
          <w:sz w:val="24"/>
          <w:szCs w:val="24"/>
        </w:rPr>
        <w:t xml:space="preserve"> </w:t>
      </w:r>
    </w:p>
    <w:p w14:paraId="76D66462" w14:textId="54F6886B" w:rsidR="002B6725" w:rsidRDefault="002B6725" w:rsidP="009E23F7">
      <w:pPr>
        <w:tabs>
          <w:tab w:val="left" w:pos="1418"/>
        </w:tabs>
        <w:spacing w:before="120" w:after="240" w:line="360" w:lineRule="auto"/>
        <w:ind w:left="1418" w:hanging="1418"/>
      </w:pPr>
      <w:r>
        <w:rPr>
          <w:b/>
          <w:bCs/>
        </w:rPr>
        <w:t>Part IV:</w:t>
      </w:r>
      <w:r>
        <w:rPr>
          <w:b/>
          <w:bCs/>
        </w:rPr>
        <w:tab/>
      </w:r>
      <w:r w:rsidR="009E23F7" w:rsidRPr="009E23F7">
        <w:rPr>
          <w:b/>
          <w:bCs/>
        </w:rPr>
        <w:t>Costs</w:t>
      </w:r>
      <w:r>
        <w:t xml:space="preserve"> </w:t>
      </w:r>
    </w:p>
    <w:p w14:paraId="19D5F4E5" w14:textId="1D2BE92C" w:rsidR="002B6725" w:rsidRPr="00E76E6F" w:rsidRDefault="00E76E6F" w:rsidP="00E76E6F">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E76E6F">
        <w:rPr>
          <w:rFonts w:ascii="Times New Roman" w:hAnsi="Times New Roman" w:cs="Times New Roman"/>
          <w:sz w:val="24"/>
          <w:szCs w:val="24"/>
        </w:rPr>
        <w:t>No special costs order is sought by the Third Respondent.</w:t>
      </w:r>
    </w:p>
    <w:p w14:paraId="4020C13E" w14:textId="5F1F9038" w:rsidR="002B6725" w:rsidRDefault="002B6725" w:rsidP="009E23F7">
      <w:pPr>
        <w:tabs>
          <w:tab w:val="left" w:pos="1418"/>
        </w:tabs>
        <w:spacing w:before="120" w:after="240" w:line="360" w:lineRule="auto"/>
        <w:ind w:left="1418" w:hanging="1418"/>
      </w:pPr>
      <w:r>
        <w:rPr>
          <w:b/>
          <w:bCs/>
        </w:rPr>
        <w:t>Part V:</w:t>
      </w:r>
      <w:r>
        <w:rPr>
          <w:b/>
          <w:bCs/>
        </w:rPr>
        <w:tab/>
      </w:r>
      <w:r w:rsidR="009E23F7" w:rsidRPr="009E23F7">
        <w:rPr>
          <w:b/>
          <w:bCs/>
        </w:rPr>
        <w:t xml:space="preserve">Authorities </w:t>
      </w:r>
    </w:p>
    <w:p w14:paraId="21CE96F7" w14:textId="1917A4B6" w:rsidR="00DA24CF" w:rsidRPr="009968B5" w:rsidRDefault="004706A7" w:rsidP="00110776">
      <w:pPr>
        <w:pStyle w:val="NumberLevel1"/>
        <w:numPr>
          <w:ilvl w:val="0"/>
          <w:numId w:val="8"/>
        </w:numPr>
        <w:spacing w:before="120" w:after="240" w:line="360" w:lineRule="auto"/>
        <w:ind w:left="567" w:right="-285" w:hanging="567"/>
        <w:jc w:val="both"/>
        <w:rPr>
          <w:rFonts w:ascii="Times New Roman" w:hAnsi="Times New Roman" w:cs="Times New Roman"/>
          <w:sz w:val="36"/>
          <w:szCs w:val="36"/>
        </w:rPr>
      </w:pPr>
      <w:r w:rsidRPr="009968B5">
        <w:rPr>
          <w:rFonts w:ascii="Times New Roman" w:hAnsi="Times New Roman" w:cs="Times New Roman"/>
          <w:i/>
          <w:iCs/>
          <w:sz w:val="24"/>
          <w:szCs w:val="24"/>
        </w:rPr>
        <w:t xml:space="preserve">Momcilovic v The Queen </w:t>
      </w:r>
      <w:r w:rsidRPr="009968B5">
        <w:rPr>
          <w:rFonts w:ascii="Times New Roman" w:hAnsi="Times New Roman" w:cs="Times New Roman"/>
          <w:sz w:val="24"/>
          <w:szCs w:val="24"/>
        </w:rPr>
        <w:t xml:space="preserve">(2011) 245 CLR 1, </w:t>
      </w:r>
      <w:r w:rsidR="000E3233" w:rsidRPr="009968B5">
        <w:rPr>
          <w:rFonts w:ascii="Times New Roman" w:hAnsi="Times New Roman" w:cs="Times New Roman"/>
          <w:sz w:val="24"/>
          <w:szCs w:val="24"/>
        </w:rPr>
        <w:t xml:space="preserve">31 [5], 36, [17], </w:t>
      </w:r>
      <w:r w:rsidR="00AF0BC0" w:rsidRPr="009968B5">
        <w:rPr>
          <w:rFonts w:ascii="Times New Roman" w:hAnsi="Times New Roman" w:cs="Times New Roman"/>
          <w:sz w:val="24"/>
          <w:szCs w:val="24"/>
        </w:rPr>
        <w:t>44</w:t>
      </w:r>
      <w:r w:rsidR="00C3341D" w:rsidRPr="009968B5">
        <w:rPr>
          <w:rFonts w:ascii="Times New Roman" w:hAnsi="Times New Roman" w:cs="Times New Roman"/>
          <w:sz w:val="24"/>
          <w:szCs w:val="24"/>
        </w:rPr>
        <w:t>-45</w:t>
      </w:r>
      <w:r w:rsidR="00AF0BC0" w:rsidRPr="009968B5">
        <w:rPr>
          <w:rFonts w:ascii="Times New Roman" w:hAnsi="Times New Roman" w:cs="Times New Roman"/>
          <w:sz w:val="24"/>
          <w:szCs w:val="24"/>
        </w:rPr>
        <w:t xml:space="preserve"> [37]</w:t>
      </w:r>
      <w:r w:rsidR="00C3341D" w:rsidRPr="009968B5">
        <w:rPr>
          <w:rFonts w:ascii="Times New Roman" w:hAnsi="Times New Roman" w:cs="Times New Roman"/>
          <w:sz w:val="24"/>
          <w:szCs w:val="24"/>
        </w:rPr>
        <w:t>-</w:t>
      </w:r>
      <w:r w:rsidR="00327789" w:rsidRPr="009968B5">
        <w:rPr>
          <w:rFonts w:ascii="Times New Roman" w:hAnsi="Times New Roman" w:cs="Times New Roman"/>
          <w:sz w:val="24"/>
          <w:szCs w:val="24"/>
        </w:rPr>
        <w:t xml:space="preserve"> [39], </w:t>
      </w:r>
      <w:r w:rsidR="008C27F2" w:rsidRPr="009968B5">
        <w:rPr>
          <w:rFonts w:ascii="Times New Roman" w:hAnsi="Times New Roman" w:cs="Times New Roman"/>
          <w:sz w:val="24"/>
          <w:szCs w:val="24"/>
        </w:rPr>
        <w:t xml:space="preserve">50 </w:t>
      </w:r>
      <w:r w:rsidR="00327789" w:rsidRPr="009968B5">
        <w:rPr>
          <w:rFonts w:ascii="Times New Roman" w:hAnsi="Times New Roman" w:cs="Times New Roman"/>
          <w:sz w:val="24"/>
          <w:szCs w:val="24"/>
        </w:rPr>
        <w:t xml:space="preserve">[50]-[51], </w:t>
      </w:r>
      <w:r w:rsidR="000E3233" w:rsidRPr="009968B5">
        <w:rPr>
          <w:rFonts w:ascii="Times New Roman" w:hAnsi="Times New Roman" w:cs="Times New Roman"/>
          <w:sz w:val="24"/>
          <w:szCs w:val="24"/>
        </w:rPr>
        <w:t xml:space="preserve">58 [72]-[74] (French CJ), </w:t>
      </w:r>
      <w:r w:rsidR="00C16CCF" w:rsidRPr="009968B5">
        <w:rPr>
          <w:rFonts w:ascii="Times New Roman" w:hAnsi="Times New Roman" w:cs="Times New Roman"/>
          <w:sz w:val="24"/>
          <w:szCs w:val="24"/>
        </w:rPr>
        <w:t xml:space="preserve">85-86 [146(v)-(vi)], 92-93 [170]-[171], </w:t>
      </w:r>
      <w:r w:rsidR="000E3233" w:rsidRPr="009968B5">
        <w:rPr>
          <w:rFonts w:ascii="Times New Roman" w:hAnsi="Times New Roman" w:cs="Times New Roman"/>
          <w:sz w:val="24"/>
          <w:szCs w:val="24"/>
        </w:rPr>
        <w:t xml:space="preserve">99 [198]-[200] (Gummow J), 123 [280] (Hayne J), </w:t>
      </w:r>
      <w:r w:rsidR="0081168E" w:rsidRPr="009968B5">
        <w:rPr>
          <w:rFonts w:ascii="Times New Roman" w:hAnsi="Times New Roman" w:cs="Times New Roman"/>
          <w:sz w:val="24"/>
          <w:szCs w:val="24"/>
        </w:rPr>
        <w:t xml:space="preserve">217 [565]-[566], </w:t>
      </w:r>
      <w:r w:rsidR="000E3233" w:rsidRPr="009968B5">
        <w:rPr>
          <w:rFonts w:ascii="Times New Roman" w:hAnsi="Times New Roman" w:cs="Times New Roman"/>
          <w:sz w:val="24"/>
          <w:szCs w:val="24"/>
        </w:rPr>
        <w:t>230 [612] (Crennan and Kiefel JJ), 240 [659]</w:t>
      </w:r>
      <w:r w:rsidR="00AF0BC0" w:rsidRPr="009968B5">
        <w:rPr>
          <w:rFonts w:ascii="Times New Roman" w:hAnsi="Times New Roman" w:cs="Times New Roman"/>
          <w:sz w:val="24"/>
          <w:szCs w:val="24"/>
        </w:rPr>
        <w:t xml:space="preserve">, 250 </w:t>
      </w:r>
      <w:r w:rsidR="001D4666" w:rsidRPr="009968B5">
        <w:rPr>
          <w:rFonts w:ascii="Times New Roman" w:hAnsi="Times New Roman" w:cs="Times New Roman"/>
          <w:sz w:val="24"/>
          <w:szCs w:val="24"/>
        </w:rPr>
        <w:t>[684]-</w:t>
      </w:r>
      <w:r w:rsidR="00AF0BC0" w:rsidRPr="009968B5">
        <w:rPr>
          <w:rFonts w:ascii="Times New Roman" w:hAnsi="Times New Roman" w:cs="Times New Roman"/>
          <w:sz w:val="24"/>
          <w:szCs w:val="24"/>
        </w:rPr>
        <w:t>[685]</w:t>
      </w:r>
      <w:r w:rsidR="000E3233" w:rsidRPr="009968B5">
        <w:rPr>
          <w:rFonts w:ascii="Times New Roman" w:hAnsi="Times New Roman" w:cs="Times New Roman"/>
          <w:sz w:val="24"/>
          <w:szCs w:val="24"/>
        </w:rPr>
        <w:t xml:space="preserve"> (Bell J)</w:t>
      </w:r>
      <w:r w:rsidR="009968B5" w:rsidRPr="009968B5">
        <w:rPr>
          <w:rFonts w:ascii="Times New Roman" w:hAnsi="Times New Roman" w:cs="Times New Roman"/>
          <w:sz w:val="24"/>
          <w:szCs w:val="24"/>
        </w:rPr>
        <w:t xml:space="preserve">; </w:t>
      </w:r>
      <w:r w:rsidR="00FD7FA0" w:rsidRPr="009968B5">
        <w:rPr>
          <w:rFonts w:ascii="Times New Roman" w:hAnsi="Times New Roman" w:cs="Times New Roman"/>
          <w:i/>
          <w:iCs/>
          <w:sz w:val="24"/>
          <w:szCs w:val="24"/>
        </w:rPr>
        <w:t xml:space="preserve">Project Blue Sky Inc v Australian Broadcasting Authority </w:t>
      </w:r>
      <w:r w:rsidR="00FD7FA0" w:rsidRPr="009968B5">
        <w:rPr>
          <w:rFonts w:ascii="Times New Roman" w:hAnsi="Times New Roman" w:cs="Times New Roman"/>
          <w:sz w:val="24"/>
          <w:szCs w:val="24"/>
        </w:rPr>
        <w:t>(1998) 194 CLR 355, 384 [78]</w:t>
      </w:r>
      <w:r w:rsidR="009968B5">
        <w:rPr>
          <w:rFonts w:ascii="Times New Roman" w:hAnsi="Times New Roman" w:cs="Times New Roman"/>
          <w:i/>
          <w:iCs/>
          <w:sz w:val="24"/>
          <w:szCs w:val="24"/>
        </w:rPr>
        <w:t xml:space="preserve">; </w:t>
      </w:r>
      <w:r w:rsidR="00DA24CF" w:rsidRPr="009968B5">
        <w:rPr>
          <w:rFonts w:ascii="Times New Roman" w:hAnsi="Times New Roman" w:cs="Times New Roman"/>
          <w:i/>
          <w:iCs/>
          <w:sz w:val="24"/>
          <w:szCs w:val="24"/>
        </w:rPr>
        <w:t xml:space="preserve">Castles v Secretary, Department of Justice </w:t>
      </w:r>
      <w:r w:rsidR="00DA24CF" w:rsidRPr="009968B5">
        <w:rPr>
          <w:rFonts w:ascii="Times New Roman" w:hAnsi="Times New Roman" w:cs="Times New Roman"/>
          <w:sz w:val="24"/>
          <w:szCs w:val="24"/>
        </w:rPr>
        <w:t xml:space="preserve">(2010) 28 VR 141, [5], </w:t>
      </w:r>
      <w:r w:rsidR="00465353" w:rsidRPr="009968B5">
        <w:rPr>
          <w:rFonts w:ascii="Times New Roman" w:hAnsi="Times New Roman" w:cs="Times New Roman"/>
          <w:sz w:val="24"/>
          <w:szCs w:val="24"/>
        </w:rPr>
        <w:t xml:space="preserve">[94], [99], </w:t>
      </w:r>
      <w:r w:rsidR="00463A89" w:rsidRPr="009968B5">
        <w:rPr>
          <w:rFonts w:ascii="Times New Roman" w:hAnsi="Times New Roman" w:cs="Times New Roman"/>
          <w:sz w:val="24"/>
          <w:szCs w:val="24"/>
        </w:rPr>
        <w:t xml:space="preserve">[108], [113], </w:t>
      </w:r>
      <w:r w:rsidR="00DA24CF" w:rsidRPr="009968B5">
        <w:rPr>
          <w:rFonts w:ascii="Times New Roman" w:hAnsi="Times New Roman" w:cs="Times New Roman"/>
          <w:sz w:val="24"/>
          <w:szCs w:val="24"/>
        </w:rPr>
        <w:t>[123]</w:t>
      </w:r>
      <w:r w:rsidR="00463A89" w:rsidRPr="009968B5">
        <w:rPr>
          <w:rFonts w:ascii="Times New Roman" w:hAnsi="Times New Roman" w:cs="Times New Roman"/>
          <w:sz w:val="24"/>
          <w:szCs w:val="24"/>
        </w:rPr>
        <w:t>, [127]</w:t>
      </w:r>
      <w:r w:rsidR="00777F69">
        <w:rPr>
          <w:rFonts w:ascii="Times New Roman" w:hAnsi="Times New Roman" w:cs="Times New Roman"/>
          <w:sz w:val="24"/>
          <w:szCs w:val="24"/>
        </w:rPr>
        <w:t>.</w:t>
      </w:r>
    </w:p>
    <w:p w14:paraId="44CBE646" w14:textId="231F296D" w:rsidR="002B6725" w:rsidRDefault="002B6725" w:rsidP="009E23F7">
      <w:pPr>
        <w:tabs>
          <w:tab w:val="left" w:pos="1418"/>
        </w:tabs>
        <w:spacing w:before="120" w:after="240" w:line="360" w:lineRule="auto"/>
        <w:ind w:left="1418" w:hanging="1418"/>
      </w:pPr>
      <w:r>
        <w:rPr>
          <w:b/>
          <w:bCs/>
        </w:rPr>
        <w:t>Part VI:</w:t>
      </w:r>
      <w:r>
        <w:rPr>
          <w:b/>
          <w:bCs/>
        </w:rPr>
        <w:tab/>
      </w:r>
      <w:r w:rsidR="00FB7DB1">
        <w:rPr>
          <w:b/>
          <w:bCs/>
        </w:rPr>
        <w:t xml:space="preserve">Applicable </w:t>
      </w:r>
      <w:r w:rsidR="00FB7DB1" w:rsidRPr="00FB7DB1">
        <w:rPr>
          <w:b/>
          <w:bCs/>
        </w:rPr>
        <w:t>statutory provisions (see annexure)</w:t>
      </w:r>
      <w:r w:rsidR="00FB7DB1">
        <w:t xml:space="preserve"> </w:t>
      </w:r>
    </w:p>
    <w:p w14:paraId="0FCEC056" w14:textId="24E716DC" w:rsidR="002B6725" w:rsidRPr="00777F69" w:rsidRDefault="00332CB7" w:rsidP="00110776">
      <w:pPr>
        <w:pStyle w:val="NumberLevel1"/>
        <w:numPr>
          <w:ilvl w:val="0"/>
          <w:numId w:val="8"/>
        </w:numPr>
        <w:spacing w:before="120" w:after="240" w:line="360" w:lineRule="auto"/>
        <w:ind w:left="567" w:right="-285" w:hanging="567"/>
        <w:jc w:val="both"/>
        <w:rPr>
          <w:rFonts w:ascii="Times New Roman" w:hAnsi="Times New Roman" w:cs="Times New Roman"/>
          <w:sz w:val="24"/>
          <w:szCs w:val="24"/>
        </w:rPr>
      </w:pPr>
      <w:r w:rsidRPr="00777F69">
        <w:rPr>
          <w:rFonts w:ascii="Times New Roman" w:hAnsi="Times New Roman" w:cs="Times New Roman"/>
          <w:i/>
          <w:iCs/>
          <w:sz w:val="24"/>
          <w:szCs w:val="24"/>
        </w:rPr>
        <w:t xml:space="preserve">Human Rights Act 2019 </w:t>
      </w:r>
      <w:r w:rsidRPr="00777F69">
        <w:rPr>
          <w:rFonts w:ascii="Times New Roman" w:hAnsi="Times New Roman" w:cs="Times New Roman"/>
          <w:sz w:val="24"/>
          <w:szCs w:val="24"/>
        </w:rPr>
        <w:t>(Qld)</w:t>
      </w:r>
      <w:r w:rsidR="00AC10AE" w:rsidRPr="00777F69">
        <w:rPr>
          <w:rFonts w:ascii="Times New Roman" w:hAnsi="Times New Roman" w:cs="Times New Roman"/>
          <w:sz w:val="24"/>
          <w:szCs w:val="24"/>
        </w:rPr>
        <w:t xml:space="preserve">, ss </w:t>
      </w:r>
      <w:r w:rsidRPr="00777F69">
        <w:rPr>
          <w:rFonts w:ascii="Times New Roman" w:hAnsi="Times New Roman" w:cs="Times New Roman"/>
          <w:sz w:val="24"/>
          <w:szCs w:val="24"/>
        </w:rPr>
        <w:t xml:space="preserve">8, </w:t>
      </w:r>
      <w:r w:rsidR="00F22DBE" w:rsidRPr="00777F69">
        <w:rPr>
          <w:rFonts w:ascii="Times New Roman" w:hAnsi="Times New Roman" w:cs="Times New Roman"/>
          <w:sz w:val="24"/>
          <w:szCs w:val="24"/>
        </w:rPr>
        <w:t xml:space="preserve">11, </w:t>
      </w:r>
      <w:r w:rsidRPr="00777F69">
        <w:rPr>
          <w:rFonts w:ascii="Times New Roman" w:hAnsi="Times New Roman" w:cs="Times New Roman"/>
          <w:sz w:val="24"/>
          <w:szCs w:val="24"/>
        </w:rPr>
        <w:t xml:space="preserve">13, 30, 37, </w:t>
      </w:r>
      <w:r w:rsidR="0019786A" w:rsidRPr="00777F69">
        <w:rPr>
          <w:rFonts w:ascii="Times New Roman" w:hAnsi="Times New Roman" w:cs="Times New Roman"/>
          <w:sz w:val="24"/>
          <w:szCs w:val="24"/>
        </w:rPr>
        <w:t>48</w:t>
      </w:r>
      <w:r w:rsidR="00F647E9" w:rsidRPr="00777F69">
        <w:rPr>
          <w:rFonts w:ascii="Times New Roman" w:hAnsi="Times New Roman" w:cs="Times New Roman"/>
          <w:sz w:val="24"/>
          <w:szCs w:val="24"/>
        </w:rPr>
        <w:t>, Sch 1</w:t>
      </w:r>
      <w:r w:rsidR="00777F69">
        <w:rPr>
          <w:rFonts w:ascii="Times New Roman" w:hAnsi="Times New Roman" w:cs="Times New Roman"/>
          <w:i/>
          <w:iCs/>
          <w:sz w:val="24"/>
          <w:szCs w:val="24"/>
        </w:rPr>
        <w:t xml:space="preserve">; </w:t>
      </w:r>
      <w:r w:rsidRPr="00777F69">
        <w:rPr>
          <w:rFonts w:ascii="Times New Roman" w:hAnsi="Times New Roman" w:cs="Times New Roman"/>
          <w:i/>
          <w:iCs/>
          <w:sz w:val="24"/>
          <w:szCs w:val="24"/>
        </w:rPr>
        <w:t xml:space="preserve">Corrective Services Act 2006 </w:t>
      </w:r>
      <w:r w:rsidRPr="00777F69">
        <w:rPr>
          <w:rFonts w:ascii="Times New Roman" w:hAnsi="Times New Roman" w:cs="Times New Roman"/>
          <w:sz w:val="24"/>
          <w:szCs w:val="24"/>
        </w:rPr>
        <w:t>(Qld), s</w:t>
      </w:r>
      <w:r w:rsidR="00465353" w:rsidRPr="00777F69">
        <w:rPr>
          <w:rFonts w:ascii="Times New Roman" w:hAnsi="Times New Roman" w:cs="Times New Roman"/>
          <w:sz w:val="24"/>
          <w:szCs w:val="24"/>
        </w:rPr>
        <w:t>s 3,</w:t>
      </w:r>
      <w:r w:rsidRPr="00777F69">
        <w:rPr>
          <w:rFonts w:ascii="Times New Roman" w:hAnsi="Times New Roman" w:cs="Times New Roman"/>
          <w:sz w:val="24"/>
          <w:szCs w:val="24"/>
        </w:rPr>
        <w:t xml:space="preserve"> 22</w:t>
      </w:r>
      <w:r w:rsidR="00777F69">
        <w:rPr>
          <w:rFonts w:ascii="Times New Roman" w:hAnsi="Times New Roman" w:cs="Times New Roman"/>
          <w:i/>
          <w:iCs/>
          <w:sz w:val="24"/>
          <w:szCs w:val="24"/>
        </w:rPr>
        <w:t xml:space="preserve">; </w:t>
      </w:r>
      <w:r w:rsidR="00F22DBE" w:rsidRPr="00777F69">
        <w:rPr>
          <w:rFonts w:ascii="Times New Roman" w:hAnsi="Times New Roman" w:cs="Times New Roman"/>
          <w:i/>
          <w:iCs/>
          <w:sz w:val="24"/>
          <w:szCs w:val="24"/>
        </w:rPr>
        <w:t xml:space="preserve">Anti-Discrimination Act 1991 </w:t>
      </w:r>
      <w:r w:rsidR="00F22DBE" w:rsidRPr="00777F69">
        <w:rPr>
          <w:rFonts w:ascii="Times New Roman" w:hAnsi="Times New Roman" w:cs="Times New Roman"/>
          <w:sz w:val="24"/>
          <w:szCs w:val="24"/>
        </w:rPr>
        <w:t>(Qld), ss 7, 8, 9, 11</w:t>
      </w:r>
      <w:r w:rsidR="00777F69">
        <w:rPr>
          <w:rFonts w:ascii="Times New Roman" w:hAnsi="Times New Roman" w:cs="Times New Roman"/>
          <w:i/>
          <w:iCs/>
          <w:sz w:val="24"/>
          <w:szCs w:val="24"/>
        </w:rPr>
        <w:t xml:space="preserve">; </w:t>
      </w:r>
      <w:r w:rsidR="00125C74" w:rsidRPr="00777F69">
        <w:rPr>
          <w:rFonts w:ascii="Times New Roman" w:hAnsi="Times New Roman" w:cs="Times New Roman"/>
          <w:i/>
          <w:iCs/>
          <w:sz w:val="24"/>
          <w:szCs w:val="24"/>
        </w:rPr>
        <w:t xml:space="preserve">Hospital and Health Boards Act 2011 </w:t>
      </w:r>
      <w:r w:rsidR="00125C74" w:rsidRPr="00777F69">
        <w:rPr>
          <w:rFonts w:ascii="Times New Roman" w:hAnsi="Times New Roman" w:cs="Times New Roman"/>
          <w:sz w:val="24"/>
          <w:szCs w:val="24"/>
        </w:rPr>
        <w:t xml:space="preserve">(Qld), </w:t>
      </w:r>
      <w:r w:rsidR="00463A89" w:rsidRPr="00777F69">
        <w:rPr>
          <w:rFonts w:ascii="Times New Roman" w:hAnsi="Times New Roman" w:cs="Times New Roman"/>
          <w:sz w:val="24"/>
          <w:szCs w:val="24"/>
        </w:rPr>
        <w:t>s 15</w:t>
      </w:r>
      <w:r w:rsidR="00777F69">
        <w:rPr>
          <w:rFonts w:ascii="Times New Roman" w:hAnsi="Times New Roman" w:cs="Times New Roman"/>
          <w:i/>
          <w:iCs/>
          <w:sz w:val="24"/>
          <w:szCs w:val="24"/>
        </w:rPr>
        <w:t xml:space="preserve">; </w:t>
      </w:r>
      <w:r w:rsidR="000E1F75" w:rsidRPr="00777F69">
        <w:rPr>
          <w:rFonts w:ascii="Times New Roman" w:hAnsi="Times New Roman" w:cs="Times New Roman"/>
          <w:i/>
          <w:iCs/>
          <w:sz w:val="24"/>
          <w:szCs w:val="24"/>
        </w:rPr>
        <w:t xml:space="preserve">Penalties and Sentences Act 1992 </w:t>
      </w:r>
      <w:r w:rsidR="000E1F75" w:rsidRPr="00777F69">
        <w:rPr>
          <w:rFonts w:ascii="Times New Roman" w:hAnsi="Times New Roman" w:cs="Times New Roman"/>
          <w:sz w:val="24"/>
          <w:szCs w:val="24"/>
        </w:rPr>
        <w:t xml:space="preserve">(Qld), </w:t>
      </w:r>
      <w:r w:rsidR="00F33F47" w:rsidRPr="00777F69">
        <w:rPr>
          <w:rFonts w:ascii="Times New Roman" w:hAnsi="Times New Roman" w:cs="Times New Roman"/>
          <w:sz w:val="24"/>
          <w:szCs w:val="24"/>
        </w:rPr>
        <w:t>s 9</w:t>
      </w:r>
      <w:r w:rsidR="00777F69">
        <w:rPr>
          <w:rFonts w:ascii="Times New Roman" w:hAnsi="Times New Roman" w:cs="Times New Roman"/>
          <w:sz w:val="24"/>
          <w:szCs w:val="24"/>
        </w:rPr>
        <w:t>.</w:t>
      </w:r>
    </w:p>
    <w:p w14:paraId="09B568A1" w14:textId="11DE8C77" w:rsidR="002B6725" w:rsidRPr="00F33865" w:rsidRDefault="002B6725" w:rsidP="002B6725">
      <w:pPr>
        <w:rPr>
          <w:iCs/>
        </w:rPr>
      </w:pPr>
      <w:r w:rsidRPr="00C60E53">
        <w:t>Dated</w:t>
      </w:r>
      <w:r w:rsidR="00AF0D08">
        <w:t>: 14 July 2026</w:t>
      </w:r>
    </w:p>
    <w:p w14:paraId="0F7BA39C" w14:textId="23B19503" w:rsidR="002B6725" w:rsidRDefault="002B6725" w:rsidP="002B6725"/>
    <w:p w14:paraId="605E8DA7" w14:textId="29352451" w:rsidR="002B6725" w:rsidRPr="00C60E53" w:rsidRDefault="00C77AAE" w:rsidP="00110776">
      <w:pPr>
        <w:tabs>
          <w:tab w:val="center" w:pos="7938"/>
        </w:tabs>
        <w:ind w:firstLine="5760"/>
      </w:pPr>
      <w:r w:rsidRPr="008A2226">
        <w:rPr>
          <w:rFonts w:cs="Times New Roman"/>
          <w:noProof/>
        </w:rPr>
        <w:t xml:space="preserve"> </w:t>
      </w:r>
    </w:p>
    <w:p w14:paraId="266D341C" w14:textId="38629962" w:rsidR="002B6725" w:rsidRDefault="002B6725" w:rsidP="005C5F54">
      <w:pPr>
        <w:tabs>
          <w:tab w:val="center" w:pos="7938"/>
        </w:tabs>
        <w:jc w:val="right"/>
      </w:pPr>
      <w:r w:rsidRPr="00C60E53">
        <w:tab/>
      </w:r>
      <w:r w:rsidR="00C6271F">
        <w:t>K Slack</w:t>
      </w:r>
    </w:p>
    <w:p w14:paraId="55A1BAA2" w14:textId="2BEE693B" w:rsidR="00C6271F" w:rsidRDefault="00C6271F" w:rsidP="0035584F">
      <w:pPr>
        <w:tabs>
          <w:tab w:val="center" w:pos="7938"/>
        </w:tabs>
        <w:jc w:val="right"/>
      </w:pPr>
      <w:r>
        <w:tab/>
      </w:r>
      <w:r w:rsidR="0035584F">
        <w:t>[Redacted]</w:t>
      </w:r>
    </w:p>
    <w:p w14:paraId="02393583" w14:textId="1971E3B7" w:rsidR="0035584F" w:rsidRPr="00C60E53" w:rsidRDefault="0035584F" w:rsidP="0035584F">
      <w:pPr>
        <w:tabs>
          <w:tab w:val="center" w:pos="7938"/>
        </w:tabs>
        <w:jc w:val="right"/>
      </w:pPr>
      <w:r>
        <w:t>[Redacted]</w:t>
      </w:r>
    </w:p>
    <w:p w14:paraId="54DFF032" w14:textId="77777777" w:rsidR="00036404" w:rsidRDefault="00036404" w:rsidP="002B6725">
      <w:pPr>
        <w:tabs>
          <w:tab w:val="center" w:pos="7938"/>
        </w:tabs>
      </w:pPr>
    </w:p>
    <w:p w14:paraId="3D50F6AA" w14:textId="66746609" w:rsidR="009E5041" w:rsidRDefault="002B6725" w:rsidP="00360AA9">
      <w:pPr>
        <w:tabs>
          <w:tab w:val="center" w:pos="7938"/>
        </w:tabs>
      </w:pPr>
      <w:r>
        <w:t>The respondent is represented by</w:t>
      </w:r>
      <w:r w:rsidR="002019CD">
        <w:t xml:space="preserve"> Legal and Policy unit, Queensland Human Rights Commission</w:t>
      </w:r>
      <w:r w:rsidRPr="009B0D3F">
        <w:t>.</w:t>
      </w:r>
    </w:p>
    <w:sectPr w:rsidR="009E5041" w:rsidSect="002B6725">
      <w:headerReference w:type="default" r:id="rId13"/>
      <w:footerReference w:type="first" r:id="rId14"/>
      <w:pgSz w:w="11907" w:h="16840" w:code="9"/>
      <w:pgMar w:top="1418" w:right="1418" w:bottom="851" w:left="1701" w:header="720" w:footer="53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C6297" w14:textId="77777777" w:rsidR="00283CFB" w:rsidRDefault="00283CFB" w:rsidP="009A0958">
      <w:r>
        <w:separator/>
      </w:r>
    </w:p>
  </w:endnote>
  <w:endnote w:type="continuationSeparator" w:id="0">
    <w:p w14:paraId="7D0297DB" w14:textId="77777777" w:rsidR="00283CFB" w:rsidRDefault="00283CFB" w:rsidP="009A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4DC5" w14:textId="77777777" w:rsidR="002B6725" w:rsidRPr="00C60E53" w:rsidRDefault="002B6725">
    <w:pPr>
      <w:pStyle w:val="Footer"/>
      <w:tabs>
        <w:tab w:val="right" w:pos="83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9ABD3" w14:textId="77777777" w:rsidR="00283CFB" w:rsidRDefault="00283CFB" w:rsidP="009A0958">
      <w:r>
        <w:separator/>
      </w:r>
    </w:p>
  </w:footnote>
  <w:footnote w:type="continuationSeparator" w:id="0">
    <w:p w14:paraId="1DA5207F" w14:textId="77777777" w:rsidR="00283CFB" w:rsidRDefault="00283CFB" w:rsidP="009A0958">
      <w:r>
        <w:continuationSeparator/>
      </w:r>
    </w:p>
  </w:footnote>
  <w:footnote w:id="1">
    <w:p w14:paraId="66873E28" w14:textId="1A93A078" w:rsidR="00EA4B4F" w:rsidRPr="00217217" w:rsidRDefault="00EA4B4F">
      <w:pPr>
        <w:pStyle w:val="FootnoteText"/>
      </w:pPr>
      <w:r>
        <w:rPr>
          <w:rStyle w:val="FootnoteReference"/>
        </w:rPr>
        <w:footnoteRef/>
      </w:r>
      <w:r>
        <w:t xml:space="preserve"> </w:t>
      </w:r>
      <w:r>
        <w:tab/>
      </w:r>
      <w:r w:rsidR="00217217">
        <w:rPr>
          <w:i/>
          <w:iCs/>
        </w:rPr>
        <w:t xml:space="preserve">Smith v Chief Executive, Queensland Corrective Services </w:t>
      </w:r>
      <w:r w:rsidR="00217217">
        <w:t>[2026] QCA 99 (</w:t>
      </w:r>
      <w:r w:rsidR="00217217" w:rsidRPr="00E45A8C">
        <w:rPr>
          <w:b/>
          <w:bCs/>
        </w:rPr>
        <w:t>AJ</w:t>
      </w:r>
      <w:r w:rsidR="00217217">
        <w:t>), [</w:t>
      </w:r>
      <w:r w:rsidR="00C77CDB">
        <w:t>8].</w:t>
      </w:r>
    </w:p>
  </w:footnote>
  <w:footnote w:id="2">
    <w:p w14:paraId="414B4477" w14:textId="38E5C06D" w:rsidR="00414E28" w:rsidRPr="00D03F89" w:rsidRDefault="00414E28">
      <w:pPr>
        <w:pStyle w:val="FootnoteText"/>
      </w:pPr>
      <w:r>
        <w:rPr>
          <w:rStyle w:val="FootnoteReference"/>
        </w:rPr>
        <w:footnoteRef/>
      </w:r>
      <w:r>
        <w:t xml:space="preserve"> </w:t>
      </w:r>
      <w:r>
        <w:tab/>
        <w:t xml:space="preserve">Report of </w:t>
      </w:r>
      <w:r w:rsidR="00042C9A">
        <w:t>[REDACTED].</w:t>
      </w:r>
      <w:r w:rsidR="00C365A1">
        <w:t xml:space="preserve"> </w:t>
      </w:r>
      <w:r w:rsidR="00DE53A0">
        <w:t>The significance of this fact was not appreciated by the primary judge (</w:t>
      </w:r>
      <w:r w:rsidR="00D03F89">
        <w:rPr>
          <w:i/>
          <w:iCs/>
        </w:rPr>
        <w:t xml:space="preserve">Smith v Chief Executive, Queensland Corrective Services </w:t>
      </w:r>
      <w:r w:rsidR="00D03F89">
        <w:t>[2024] QSC 288, [1]</w:t>
      </w:r>
      <w:r w:rsidR="0018116A">
        <w:t>-[5]</w:t>
      </w:r>
      <w:r w:rsidR="00A3070A">
        <w:t xml:space="preserve"> (</w:t>
      </w:r>
      <w:r w:rsidR="00A3070A" w:rsidRPr="00A3070A">
        <w:rPr>
          <w:b/>
          <w:bCs/>
        </w:rPr>
        <w:t>PJ</w:t>
      </w:r>
      <w:r w:rsidR="00A3070A">
        <w:t>)</w:t>
      </w:r>
      <w:r w:rsidR="0018116A">
        <w:t>) and the same summary was adopted by the Court of Appeal (</w:t>
      </w:r>
      <w:proofErr w:type="gramStart"/>
      <w:r w:rsidR="00260DAD">
        <w:t>AJ</w:t>
      </w:r>
      <w:r w:rsidR="00E45A8C" w:rsidRPr="00E45A8C">
        <w:t>[</w:t>
      </w:r>
      <w:proofErr w:type="gramEnd"/>
      <w:r w:rsidR="00E45A8C" w:rsidRPr="00E45A8C">
        <w:t>6]</w:t>
      </w:r>
      <w:r w:rsidR="00A3070A">
        <w:t>)</w:t>
      </w:r>
      <w:r w:rsidR="00E45A8C">
        <w:t>.</w:t>
      </w:r>
      <w:r w:rsidR="002844D1">
        <w:t xml:space="preserve"> </w:t>
      </w:r>
    </w:p>
  </w:footnote>
  <w:footnote w:id="3">
    <w:p w14:paraId="1336574C" w14:textId="77777777" w:rsidR="00E644B3" w:rsidRDefault="00E644B3" w:rsidP="00E644B3">
      <w:pPr>
        <w:pStyle w:val="FootnoteText"/>
      </w:pPr>
      <w:r>
        <w:rPr>
          <w:rStyle w:val="FootnoteReference"/>
        </w:rPr>
        <w:footnoteRef/>
      </w:r>
      <w:r>
        <w:t xml:space="preserve"> </w:t>
      </w:r>
      <w:r>
        <w:tab/>
        <w:t xml:space="preserve">Extracted at </w:t>
      </w:r>
      <w:proofErr w:type="gramStart"/>
      <w:r>
        <w:t>AJ[</w:t>
      </w:r>
      <w:proofErr w:type="gramEnd"/>
      <w:r>
        <w:t>13].</w:t>
      </w:r>
    </w:p>
  </w:footnote>
  <w:footnote w:id="4">
    <w:p w14:paraId="571A12F0" w14:textId="5847B276" w:rsidR="00B179D4" w:rsidRDefault="00B179D4">
      <w:pPr>
        <w:pStyle w:val="FootnoteText"/>
      </w:pPr>
      <w:r>
        <w:rPr>
          <w:rStyle w:val="FootnoteReference"/>
        </w:rPr>
        <w:footnoteRef/>
      </w:r>
      <w:r>
        <w:t xml:space="preserve"> </w:t>
      </w:r>
      <w:r>
        <w:tab/>
        <w:t>Noting the key difference be</w:t>
      </w:r>
      <w:r w:rsidR="00B1003F">
        <w:t xml:space="preserve">ing </w:t>
      </w:r>
      <w:r>
        <w:t>the explicit incorporation of the proportionality analysis in s 48</w:t>
      </w:r>
      <w:r w:rsidR="00B1003F">
        <w:t xml:space="preserve">. </w:t>
      </w:r>
    </w:p>
  </w:footnote>
  <w:footnote w:id="5">
    <w:p w14:paraId="191A45FE" w14:textId="344DF6B9" w:rsidR="00733453" w:rsidRPr="006B283C" w:rsidRDefault="00733453">
      <w:pPr>
        <w:pStyle w:val="FootnoteText"/>
      </w:pPr>
      <w:r>
        <w:rPr>
          <w:rStyle w:val="FootnoteReference"/>
        </w:rPr>
        <w:footnoteRef/>
      </w:r>
      <w:r>
        <w:t xml:space="preserve"> </w:t>
      </w:r>
      <w:r>
        <w:tab/>
      </w:r>
      <w:r w:rsidR="006B283C">
        <w:rPr>
          <w:i/>
          <w:iCs/>
        </w:rPr>
        <w:t xml:space="preserve">Director of Public Prosecutions (Vic) v Smith </w:t>
      </w:r>
      <w:r w:rsidR="006B283C">
        <w:t>(2024) 98 ALJR 1163</w:t>
      </w:r>
      <w:r w:rsidR="006B283C" w:rsidRPr="00A275C2">
        <w:t>, [57]-[5</w:t>
      </w:r>
      <w:r w:rsidR="00A275C2" w:rsidRPr="00A275C2">
        <w:t>8</w:t>
      </w:r>
      <w:r w:rsidR="006B283C" w:rsidRPr="00A275C2">
        <w:t>]</w:t>
      </w:r>
      <w:r w:rsidR="0065036F">
        <w:t xml:space="preserve"> (</w:t>
      </w:r>
      <w:proofErr w:type="spellStart"/>
      <w:r w:rsidR="0065036F">
        <w:t>Gageler</w:t>
      </w:r>
      <w:proofErr w:type="spellEnd"/>
      <w:r w:rsidR="0065036F">
        <w:t xml:space="preserve"> CJ, Gleeson, </w:t>
      </w:r>
      <w:proofErr w:type="spellStart"/>
      <w:r w:rsidR="0065036F">
        <w:t>Jagot</w:t>
      </w:r>
      <w:proofErr w:type="spellEnd"/>
      <w:r w:rsidR="0065036F">
        <w:t xml:space="preserve"> and Beech-Jones JJ)</w:t>
      </w:r>
      <w:r w:rsidR="006B283C" w:rsidRPr="00A275C2">
        <w:t>.</w:t>
      </w:r>
    </w:p>
  </w:footnote>
  <w:footnote w:id="6">
    <w:p w14:paraId="65B4A33F" w14:textId="1CF38F43" w:rsidR="00255BD8" w:rsidRDefault="00255BD8">
      <w:pPr>
        <w:pStyle w:val="FootnoteText"/>
      </w:pPr>
      <w:r>
        <w:rPr>
          <w:rStyle w:val="FootnoteReference"/>
        </w:rPr>
        <w:footnoteRef/>
      </w:r>
      <w:r>
        <w:t xml:space="preserve"> </w:t>
      </w:r>
      <w:r>
        <w:tab/>
        <w:t xml:space="preserve">Which </w:t>
      </w:r>
      <w:r w:rsidR="00DB7F1E">
        <w:t xml:space="preserve">Gummow J identified as raising a “plethora of complex issues”: </w:t>
      </w:r>
      <w:r w:rsidR="00DB7F1E">
        <w:rPr>
          <w:i/>
          <w:iCs/>
        </w:rPr>
        <w:t xml:space="preserve">Momcilovic v </w:t>
      </w:r>
      <w:proofErr w:type="gramStart"/>
      <w:r w:rsidR="00DB7F1E">
        <w:rPr>
          <w:i/>
          <w:iCs/>
        </w:rPr>
        <w:t>The</w:t>
      </w:r>
      <w:proofErr w:type="gramEnd"/>
      <w:r w:rsidR="00DB7F1E">
        <w:rPr>
          <w:i/>
          <w:iCs/>
        </w:rPr>
        <w:t xml:space="preserve"> Queen </w:t>
      </w:r>
      <w:r w:rsidR="00DB7F1E">
        <w:t>(2011) 245 CLR 1, 75 [114].</w:t>
      </w:r>
    </w:p>
  </w:footnote>
  <w:footnote w:id="7">
    <w:p w14:paraId="5951B4C2" w14:textId="7F9E6446" w:rsidR="00C56EED" w:rsidRDefault="00C56EED">
      <w:pPr>
        <w:pStyle w:val="FootnoteText"/>
      </w:pPr>
      <w:r>
        <w:rPr>
          <w:rStyle w:val="FootnoteReference"/>
        </w:rPr>
        <w:footnoteRef/>
      </w:r>
      <w:r>
        <w:t xml:space="preserve"> </w:t>
      </w:r>
      <w:r>
        <w:tab/>
      </w:r>
      <w:r>
        <w:rPr>
          <w:i/>
          <w:iCs/>
        </w:rPr>
        <w:t xml:space="preserve">Momcilovic v The Queen </w:t>
      </w:r>
      <w:r>
        <w:t>(2011) 245 CLR 1,</w:t>
      </w:r>
      <w:r w:rsidR="0065036F">
        <w:t xml:space="preserve"> </w:t>
      </w:r>
      <w:r w:rsidR="00616D14">
        <w:t xml:space="preserve">58 </w:t>
      </w:r>
      <w:r w:rsidR="006918AA">
        <w:t>[72]-[74]</w:t>
      </w:r>
      <w:r w:rsidR="003745A0">
        <w:t xml:space="preserve"> (French CJ)</w:t>
      </w:r>
      <w:r w:rsidR="00F416F7">
        <w:t xml:space="preserve">, </w:t>
      </w:r>
      <w:r w:rsidR="006151ED">
        <w:t>99 [198]-[</w:t>
      </w:r>
      <w:r w:rsidR="00C62C92">
        <w:t>200] (Gummow J)</w:t>
      </w:r>
      <w:r w:rsidR="00072CB1">
        <w:t xml:space="preserve">, </w:t>
      </w:r>
      <w:r w:rsidR="00D33160">
        <w:t>123 [280] (Hayne J)</w:t>
      </w:r>
      <w:r w:rsidR="003240E8">
        <w:t xml:space="preserve">, </w:t>
      </w:r>
      <w:r w:rsidR="00C25195">
        <w:t xml:space="preserve">230 </w:t>
      </w:r>
      <w:r w:rsidR="006E6190">
        <w:t>[612] (Crennan and Kiefel JJ)</w:t>
      </w:r>
      <w:r w:rsidR="004D1BF3">
        <w:t xml:space="preserve">, </w:t>
      </w:r>
      <w:r w:rsidR="00C25195">
        <w:t xml:space="preserve">240 </w:t>
      </w:r>
      <w:r w:rsidR="004D1BF3">
        <w:t>[659]</w:t>
      </w:r>
      <w:r w:rsidR="00C25195">
        <w:t xml:space="preserve"> (Bell J)</w:t>
      </w:r>
      <w:r w:rsidR="006E6190">
        <w:t>.</w:t>
      </w:r>
    </w:p>
  </w:footnote>
  <w:footnote w:id="8">
    <w:p w14:paraId="65A8941A" w14:textId="5CCF051A" w:rsidR="00384CFC" w:rsidRDefault="00384CFC">
      <w:pPr>
        <w:pStyle w:val="FootnoteText"/>
      </w:pPr>
      <w:r>
        <w:rPr>
          <w:rStyle w:val="FootnoteReference"/>
        </w:rPr>
        <w:footnoteRef/>
      </w:r>
      <w:r>
        <w:t xml:space="preserve"> </w:t>
      </w:r>
      <w:r>
        <w:tab/>
      </w:r>
      <w:r>
        <w:rPr>
          <w:i/>
          <w:iCs/>
        </w:rPr>
        <w:t xml:space="preserve">Momcilovic v The Queen </w:t>
      </w:r>
      <w:r>
        <w:t xml:space="preserve">(2011) 245 CLR 1, </w:t>
      </w:r>
      <w:r w:rsidR="009350BB">
        <w:t>31 [5]</w:t>
      </w:r>
      <w:r w:rsidR="001F5F8B">
        <w:t xml:space="preserve">, </w:t>
      </w:r>
      <w:r w:rsidR="00F02314">
        <w:t>36 [17]</w:t>
      </w:r>
      <w:r w:rsidR="00616D14">
        <w:t>, 58 [73]</w:t>
      </w:r>
      <w:r w:rsidR="009350BB">
        <w:t xml:space="preserve"> (French CJ)</w:t>
      </w:r>
      <w:r w:rsidR="00984C96">
        <w:t xml:space="preserve">, </w:t>
      </w:r>
      <w:r w:rsidR="00761CC9">
        <w:t>250 [685] (Bell J)</w:t>
      </w:r>
      <w:r w:rsidR="009350BB">
        <w:t>.</w:t>
      </w:r>
    </w:p>
  </w:footnote>
  <w:footnote w:id="9">
    <w:p w14:paraId="4FB2FF76" w14:textId="47E5E368" w:rsidR="00696979" w:rsidRPr="00696979" w:rsidRDefault="00696979">
      <w:pPr>
        <w:pStyle w:val="FootnoteText"/>
      </w:pPr>
      <w:r>
        <w:rPr>
          <w:rStyle w:val="FootnoteReference"/>
        </w:rPr>
        <w:footnoteRef/>
      </w:r>
      <w:r>
        <w:t xml:space="preserve"> </w:t>
      </w:r>
      <w:r>
        <w:tab/>
      </w:r>
      <w:r>
        <w:rPr>
          <w:i/>
          <w:iCs/>
        </w:rPr>
        <w:t>Momcilovic</w:t>
      </w:r>
      <w:r w:rsidR="00ED353A">
        <w:rPr>
          <w:i/>
          <w:iCs/>
        </w:rPr>
        <w:t xml:space="preserve"> v The Queen</w:t>
      </w:r>
      <w:r>
        <w:rPr>
          <w:i/>
          <w:iCs/>
        </w:rPr>
        <w:t xml:space="preserve"> </w:t>
      </w:r>
      <w:r>
        <w:t xml:space="preserve">(2011) 245 CLR 1, </w:t>
      </w:r>
      <w:r w:rsidR="005334D5">
        <w:t xml:space="preserve">44 </w:t>
      </w:r>
      <w:r w:rsidR="00A14361">
        <w:t>[37]</w:t>
      </w:r>
      <w:r w:rsidR="008E3270">
        <w:t>-</w:t>
      </w:r>
      <w:r w:rsidR="00E1506F">
        <w:t xml:space="preserve"> 45 </w:t>
      </w:r>
      <w:r w:rsidR="008E3270">
        <w:t>[39]</w:t>
      </w:r>
      <w:r w:rsidR="00A14361">
        <w:t xml:space="preserve">, </w:t>
      </w:r>
      <w:r w:rsidR="008C27F2">
        <w:t xml:space="preserve">50 </w:t>
      </w:r>
      <w:r w:rsidR="00AF68BB" w:rsidRPr="00576C3B">
        <w:t>[</w:t>
      </w:r>
      <w:r w:rsidR="00754CDD" w:rsidRPr="00576C3B">
        <w:t>50</w:t>
      </w:r>
      <w:r w:rsidR="00AF68BB" w:rsidRPr="00576C3B">
        <w:t>]-[</w:t>
      </w:r>
      <w:r w:rsidR="002E750D" w:rsidRPr="00576C3B">
        <w:t>51</w:t>
      </w:r>
      <w:r w:rsidR="008075DF" w:rsidRPr="00576C3B">
        <w:t>]</w:t>
      </w:r>
      <w:r w:rsidR="002E750D" w:rsidRPr="00576C3B">
        <w:t xml:space="preserve"> (French C</w:t>
      </w:r>
      <w:r w:rsidR="00D265CB">
        <w:t>J</w:t>
      </w:r>
      <w:r w:rsidR="002E750D" w:rsidRPr="00576C3B">
        <w:t xml:space="preserve">), </w:t>
      </w:r>
      <w:r w:rsidR="00E96A7E">
        <w:t xml:space="preserve">85-86 </w:t>
      </w:r>
      <w:r w:rsidR="00131766" w:rsidRPr="00E96A7E">
        <w:t>[146</w:t>
      </w:r>
      <w:r w:rsidR="001F1719" w:rsidRPr="00E96A7E">
        <w:t>(v)</w:t>
      </w:r>
      <w:r w:rsidR="00D265CB" w:rsidRPr="00E96A7E">
        <w:t>-(vi)</w:t>
      </w:r>
      <w:r w:rsidR="00131766" w:rsidRPr="00E96A7E">
        <w:t>]</w:t>
      </w:r>
      <w:r w:rsidR="00D265CB" w:rsidRPr="00E96A7E">
        <w:t>,</w:t>
      </w:r>
      <w:r w:rsidR="00A116DA">
        <w:t xml:space="preserve"> 92-93</w:t>
      </w:r>
      <w:r w:rsidR="00131766" w:rsidRPr="00E96A7E">
        <w:t xml:space="preserve"> </w:t>
      </w:r>
      <w:r w:rsidR="002E750D" w:rsidRPr="008A19A4">
        <w:t>[1</w:t>
      </w:r>
      <w:r w:rsidR="00E96A7E" w:rsidRPr="008A19A4">
        <w:t>70</w:t>
      </w:r>
      <w:r w:rsidR="002E750D" w:rsidRPr="008A19A4">
        <w:t>]-[171]</w:t>
      </w:r>
      <w:r w:rsidR="00207EEE">
        <w:t xml:space="preserve"> (Gummow J)</w:t>
      </w:r>
      <w:r w:rsidR="008075DF" w:rsidRPr="008A19A4">
        <w:t xml:space="preserve">, </w:t>
      </w:r>
      <w:r w:rsidR="001D448C">
        <w:t xml:space="preserve">123 </w:t>
      </w:r>
      <w:r w:rsidR="008075DF" w:rsidRPr="00207EEE">
        <w:t>[280]</w:t>
      </w:r>
      <w:r w:rsidR="002E750D" w:rsidRPr="00207EEE">
        <w:t xml:space="preserve"> (Hayne J</w:t>
      </w:r>
      <w:r w:rsidR="00207EEE" w:rsidRPr="001333FB">
        <w:t>)</w:t>
      </w:r>
      <w:r w:rsidR="002E750D" w:rsidRPr="001333FB">
        <w:t xml:space="preserve">; </w:t>
      </w:r>
      <w:r w:rsidR="001333FB" w:rsidRPr="001333FB">
        <w:t xml:space="preserve">217 </w:t>
      </w:r>
      <w:r w:rsidR="002E750D" w:rsidRPr="001333FB">
        <w:t>[565]-[566] (Crennan and Kiefel JJ</w:t>
      </w:r>
      <w:r w:rsidR="009E2C82" w:rsidRPr="001333FB">
        <w:t>)</w:t>
      </w:r>
      <w:r w:rsidR="002E750D" w:rsidRPr="001333FB">
        <w:t xml:space="preserve">, </w:t>
      </w:r>
      <w:r w:rsidR="001D448C">
        <w:t xml:space="preserve">250 </w:t>
      </w:r>
      <w:r w:rsidR="002E750D" w:rsidRPr="00901952">
        <w:t>[</w:t>
      </w:r>
      <w:r w:rsidR="008075DF" w:rsidRPr="00901952">
        <w:t>684] (Bell J)</w:t>
      </w:r>
      <w:r w:rsidR="00B50DA7" w:rsidRPr="00901952">
        <w:t>.</w:t>
      </w:r>
    </w:p>
  </w:footnote>
  <w:footnote w:id="10">
    <w:p w14:paraId="6C66F8D3" w14:textId="76F81CF4" w:rsidR="00053781" w:rsidRPr="00BF0226" w:rsidRDefault="00053781">
      <w:pPr>
        <w:pStyle w:val="FootnoteText"/>
      </w:pPr>
      <w:r>
        <w:rPr>
          <w:rStyle w:val="FootnoteReference"/>
        </w:rPr>
        <w:footnoteRef/>
      </w:r>
      <w:r>
        <w:t xml:space="preserve"> </w:t>
      </w:r>
      <w:r>
        <w:tab/>
      </w:r>
      <w:r>
        <w:rPr>
          <w:i/>
          <w:iCs/>
        </w:rPr>
        <w:t xml:space="preserve">Farah Constructions Pty Ltd v Say-Dee Pty Ltd </w:t>
      </w:r>
      <w:r>
        <w:t xml:space="preserve">(2007) 230 CLR 89, </w:t>
      </w:r>
      <w:r w:rsidR="001F0960">
        <w:t>150-152</w:t>
      </w:r>
      <w:r>
        <w:t xml:space="preserve"> [134]</w:t>
      </w:r>
      <w:r w:rsidR="00AE3F47">
        <w:t>-[135]</w:t>
      </w:r>
      <w:r w:rsidR="00D43B12">
        <w:t xml:space="preserve"> (</w:t>
      </w:r>
      <w:r w:rsidR="00304CF6">
        <w:t xml:space="preserve">Gleeson CJ, </w:t>
      </w:r>
      <w:r w:rsidR="00CC6C06">
        <w:t xml:space="preserve">Gummow, Callinan, </w:t>
      </w:r>
      <w:proofErr w:type="spellStart"/>
      <w:r w:rsidR="00CC6C06">
        <w:t>Heydon</w:t>
      </w:r>
      <w:proofErr w:type="spellEnd"/>
      <w:r w:rsidR="00CC6C06">
        <w:t xml:space="preserve"> and </w:t>
      </w:r>
      <w:r w:rsidR="00CC6C06" w:rsidRPr="00CC6C06">
        <w:t>Crennan</w:t>
      </w:r>
      <w:r w:rsidR="00D43B12" w:rsidRPr="00CC6C06">
        <w:t xml:space="preserve"> JJ)</w:t>
      </w:r>
      <w:r w:rsidR="00BF0226" w:rsidRPr="00CC6C06">
        <w:t>;</w:t>
      </w:r>
      <w:r w:rsidR="00BF0226">
        <w:t xml:space="preserve"> </w:t>
      </w:r>
      <w:r w:rsidR="00D238F5">
        <w:rPr>
          <w:i/>
          <w:iCs/>
        </w:rPr>
        <w:t>Hill v Z</w:t>
      </w:r>
      <w:r w:rsidR="00194131">
        <w:rPr>
          <w:i/>
          <w:iCs/>
        </w:rPr>
        <w:t>a</w:t>
      </w:r>
      <w:r w:rsidR="00D238F5">
        <w:rPr>
          <w:i/>
          <w:iCs/>
        </w:rPr>
        <w:t xml:space="preserve">da Pty Ltd </w:t>
      </w:r>
      <w:r w:rsidR="00D238F5">
        <w:t>(2022) 275 CLR 24</w:t>
      </w:r>
      <w:r w:rsidR="00620C7F">
        <w:t>, [</w:t>
      </w:r>
      <w:r w:rsidR="00620C7F" w:rsidRPr="00471C89">
        <w:t>25]</w:t>
      </w:r>
      <w:r w:rsidR="00D43B12" w:rsidRPr="00471C89">
        <w:t xml:space="preserve"> (</w:t>
      </w:r>
      <w:r w:rsidR="001B1AE8" w:rsidRPr="00471C89">
        <w:t>Kiefel</w:t>
      </w:r>
      <w:r w:rsidR="00D43B12" w:rsidRPr="00471C89">
        <w:t xml:space="preserve"> </w:t>
      </w:r>
      <w:r w:rsidR="00471C89" w:rsidRPr="00471C89">
        <w:t>C</w:t>
      </w:r>
      <w:r w:rsidR="00D43B12" w:rsidRPr="00471C89">
        <w:t>J</w:t>
      </w:r>
      <w:r w:rsidR="00471C89" w:rsidRPr="00471C89">
        <w:t>, Gageler</w:t>
      </w:r>
      <w:r w:rsidR="00471C89">
        <w:t>, Keane, Gordon, Edelman, Steward and Gleeson JJ</w:t>
      </w:r>
      <w:r w:rsidR="00D43B12">
        <w:t>)</w:t>
      </w:r>
      <w:r w:rsidR="00620C7F">
        <w:t xml:space="preserve">; </w:t>
      </w:r>
      <w:r w:rsidR="00BF0226">
        <w:rPr>
          <w:i/>
          <w:iCs/>
        </w:rPr>
        <w:t xml:space="preserve">Marshall v Director General Department of Transport </w:t>
      </w:r>
      <w:r w:rsidR="00BF0226">
        <w:t>(2001) 205 CLR 603, [62] (McHugh</w:t>
      </w:r>
      <w:r w:rsidR="00D43B12">
        <w:t xml:space="preserve"> J</w:t>
      </w:r>
      <w:r w:rsidR="00BF0226">
        <w:t>).</w:t>
      </w:r>
    </w:p>
  </w:footnote>
  <w:footnote w:id="11">
    <w:p w14:paraId="2127F2DB" w14:textId="32A3E32E" w:rsidR="00696979" w:rsidRPr="00F96446" w:rsidRDefault="00696979">
      <w:pPr>
        <w:pStyle w:val="FootnoteText"/>
        <w:rPr>
          <w:i/>
          <w:iCs/>
        </w:rPr>
      </w:pPr>
      <w:r>
        <w:rPr>
          <w:rStyle w:val="FootnoteReference"/>
        </w:rPr>
        <w:footnoteRef/>
      </w:r>
      <w:r>
        <w:t xml:space="preserve"> </w:t>
      </w:r>
      <w:r>
        <w:tab/>
      </w:r>
      <w:proofErr w:type="gramStart"/>
      <w:r w:rsidR="00B327FC" w:rsidRPr="00BF5570">
        <w:t>A[</w:t>
      </w:r>
      <w:proofErr w:type="gramEnd"/>
      <w:r w:rsidR="00B327FC" w:rsidRPr="00BF5570">
        <w:t>28].</w:t>
      </w:r>
      <w:r w:rsidR="00F96446">
        <w:t xml:space="preserve"> </w:t>
      </w:r>
    </w:p>
  </w:footnote>
  <w:footnote w:id="12">
    <w:p w14:paraId="1EE58490" w14:textId="0CA783F8" w:rsidR="00604B23" w:rsidRPr="00C62514" w:rsidRDefault="00604B23">
      <w:pPr>
        <w:pStyle w:val="FootnoteText"/>
      </w:pPr>
      <w:r>
        <w:rPr>
          <w:rStyle w:val="FootnoteReference"/>
        </w:rPr>
        <w:footnoteRef/>
      </w:r>
      <w:r>
        <w:t xml:space="preserve"> </w:t>
      </w:r>
      <w:r>
        <w:tab/>
      </w:r>
      <w:r w:rsidR="00C62514">
        <w:rPr>
          <w:i/>
          <w:iCs/>
        </w:rPr>
        <w:t xml:space="preserve">WK v The Queen </w:t>
      </w:r>
      <w:r w:rsidR="00C62514">
        <w:t xml:space="preserve">(2011) </w:t>
      </w:r>
      <w:r w:rsidR="004C413C">
        <w:t>33 VR 516,</w:t>
      </w:r>
      <w:r w:rsidR="00C62514">
        <w:t xml:space="preserve"> [55] (Nettle J).</w:t>
      </w:r>
    </w:p>
  </w:footnote>
  <w:footnote w:id="13">
    <w:p w14:paraId="1B52E7A7" w14:textId="75D0C069" w:rsidR="001C41A0" w:rsidRPr="009C11E4" w:rsidRDefault="001C41A0" w:rsidP="001C41A0">
      <w:pPr>
        <w:pStyle w:val="FootnoteText"/>
        <w:rPr>
          <w:i/>
          <w:iCs/>
        </w:rPr>
      </w:pPr>
      <w:r>
        <w:rPr>
          <w:rStyle w:val="FootnoteReference"/>
        </w:rPr>
        <w:footnoteRef/>
      </w:r>
      <w:r>
        <w:t xml:space="preserve"> </w:t>
      </w:r>
      <w:r>
        <w:tab/>
      </w:r>
      <w:r>
        <w:rPr>
          <w:i/>
          <w:iCs/>
        </w:rPr>
        <w:t xml:space="preserve">Director of Public Prosecutions (Vic) v Smith </w:t>
      </w:r>
      <w:r>
        <w:t>(2024) 98 ALJR 1191</w:t>
      </w:r>
      <w:r w:rsidR="00014BA3">
        <w:t>,</w:t>
      </w:r>
      <w:r>
        <w:t xml:space="preserve"> [131] (Edelman J). </w:t>
      </w:r>
    </w:p>
  </w:footnote>
  <w:footnote w:id="14">
    <w:p w14:paraId="5FA529E9" w14:textId="6E25CAF3" w:rsidR="00250C1D" w:rsidRPr="00250C1D" w:rsidRDefault="00250C1D">
      <w:pPr>
        <w:pStyle w:val="FootnoteText"/>
      </w:pPr>
      <w:r>
        <w:rPr>
          <w:rStyle w:val="FootnoteReference"/>
        </w:rPr>
        <w:footnoteRef/>
      </w:r>
      <w:r>
        <w:t xml:space="preserve"> </w:t>
      </w:r>
      <w:r>
        <w:tab/>
      </w:r>
      <w:proofErr w:type="spellStart"/>
      <w:r>
        <w:rPr>
          <w:i/>
          <w:iCs/>
        </w:rPr>
        <w:t>Vunilagi</w:t>
      </w:r>
      <w:proofErr w:type="spellEnd"/>
      <w:r>
        <w:rPr>
          <w:i/>
          <w:iCs/>
        </w:rPr>
        <w:t xml:space="preserve"> v The Queen </w:t>
      </w:r>
      <w:r>
        <w:t>(2023) 279 CLR 259</w:t>
      </w:r>
      <w:r w:rsidR="00CF4F2A">
        <w:t xml:space="preserve">, 308 [155] (Edelman J). </w:t>
      </w:r>
    </w:p>
  </w:footnote>
  <w:footnote w:id="15">
    <w:p w14:paraId="1F829183" w14:textId="3AA9CD6D" w:rsidR="008C2ACC" w:rsidRPr="008C2ACC" w:rsidRDefault="008C2ACC">
      <w:pPr>
        <w:pStyle w:val="FootnoteText"/>
      </w:pPr>
      <w:r>
        <w:rPr>
          <w:rStyle w:val="FootnoteReference"/>
        </w:rPr>
        <w:footnoteRef/>
      </w:r>
      <w:r>
        <w:t xml:space="preserve"> </w:t>
      </w:r>
      <w:r>
        <w:tab/>
      </w:r>
      <w:r>
        <w:rPr>
          <w:i/>
          <w:iCs/>
        </w:rPr>
        <w:t xml:space="preserve">Project Blue Sky Inc v Australian Broadcasting Authority </w:t>
      </w:r>
      <w:r>
        <w:t xml:space="preserve">(1998) 194 CLR 355, </w:t>
      </w:r>
      <w:r w:rsidR="00D875CD">
        <w:t>384 [78].</w:t>
      </w:r>
    </w:p>
  </w:footnote>
  <w:footnote w:id="16">
    <w:p w14:paraId="301290FE" w14:textId="636A02FB" w:rsidR="00BA4A01" w:rsidRPr="00BA4A01" w:rsidRDefault="00BA4A01">
      <w:pPr>
        <w:pStyle w:val="FootnoteText"/>
        <w:rPr>
          <w:i/>
          <w:iCs/>
        </w:rPr>
      </w:pPr>
      <w:r>
        <w:rPr>
          <w:rStyle w:val="FootnoteReference"/>
        </w:rPr>
        <w:footnoteRef/>
      </w:r>
      <w:r>
        <w:t xml:space="preserve"> </w:t>
      </w:r>
      <w:r>
        <w:tab/>
      </w:r>
      <w:r>
        <w:rPr>
          <w:i/>
          <w:iCs/>
        </w:rPr>
        <w:t xml:space="preserve">Momcilovic v The Queen </w:t>
      </w:r>
      <w:r>
        <w:t xml:space="preserve">(2011) 245 CLR 1, </w:t>
      </w:r>
      <w:r w:rsidR="00720E99">
        <w:t xml:space="preserve">92 </w:t>
      </w:r>
      <w:r w:rsidRPr="008A19A4">
        <w:t>[170]</w:t>
      </w:r>
      <w:r>
        <w:t xml:space="preserve"> (Gummow J)</w:t>
      </w:r>
      <w:r w:rsidRPr="008A19A4">
        <w:t>,</w:t>
      </w:r>
    </w:p>
  </w:footnote>
  <w:footnote w:id="17">
    <w:p w14:paraId="2488ACB6" w14:textId="77619505" w:rsidR="00244F7F" w:rsidRDefault="00244F7F">
      <w:pPr>
        <w:pStyle w:val="FootnoteText"/>
      </w:pPr>
      <w:r>
        <w:rPr>
          <w:rStyle w:val="FootnoteReference"/>
        </w:rPr>
        <w:footnoteRef/>
      </w:r>
      <w:r>
        <w:t xml:space="preserve"> </w:t>
      </w:r>
      <w:r>
        <w:tab/>
        <w:t>s 37(1) HR Act.</w:t>
      </w:r>
    </w:p>
  </w:footnote>
  <w:footnote w:id="18">
    <w:p w14:paraId="69008799" w14:textId="7DAB9548" w:rsidR="00244F7F" w:rsidRDefault="00244F7F">
      <w:pPr>
        <w:pStyle w:val="FootnoteText"/>
      </w:pPr>
      <w:r>
        <w:rPr>
          <w:rStyle w:val="FootnoteReference"/>
        </w:rPr>
        <w:footnoteRef/>
      </w:r>
      <w:r>
        <w:t xml:space="preserve"> </w:t>
      </w:r>
      <w:r>
        <w:tab/>
        <w:t xml:space="preserve">s 30(1) HR Act. </w:t>
      </w:r>
    </w:p>
  </w:footnote>
  <w:footnote w:id="19">
    <w:p w14:paraId="01AD696D" w14:textId="142B9A10" w:rsidR="00C62ADD" w:rsidRDefault="00C62ADD">
      <w:pPr>
        <w:pStyle w:val="FootnoteText"/>
      </w:pPr>
      <w:r>
        <w:rPr>
          <w:rStyle w:val="FootnoteReference"/>
        </w:rPr>
        <w:footnoteRef/>
      </w:r>
      <w:r>
        <w:t xml:space="preserve"> </w:t>
      </w:r>
      <w:r>
        <w:tab/>
        <w:t xml:space="preserve">Extracted at </w:t>
      </w:r>
      <w:proofErr w:type="gramStart"/>
      <w:r>
        <w:t>AJ[</w:t>
      </w:r>
      <w:proofErr w:type="gramEnd"/>
      <w:r>
        <w:t>11].</w:t>
      </w:r>
    </w:p>
  </w:footnote>
  <w:footnote w:id="20">
    <w:p w14:paraId="2B879C38" w14:textId="7A069120" w:rsidR="00CD7553" w:rsidRDefault="00CD7553">
      <w:pPr>
        <w:pStyle w:val="FootnoteText"/>
      </w:pPr>
      <w:r>
        <w:rPr>
          <w:rStyle w:val="FootnoteReference"/>
        </w:rPr>
        <w:footnoteRef/>
      </w:r>
      <w:r>
        <w:t xml:space="preserve"> </w:t>
      </w:r>
      <w:r>
        <w:tab/>
        <w:t xml:space="preserve">Extracted at </w:t>
      </w:r>
      <w:proofErr w:type="gramStart"/>
      <w:r>
        <w:t>AJ[</w:t>
      </w:r>
      <w:proofErr w:type="gramEnd"/>
      <w:r>
        <w:t>14].</w:t>
      </w:r>
    </w:p>
  </w:footnote>
  <w:footnote w:id="21">
    <w:p w14:paraId="435C0AB1" w14:textId="29CF1480" w:rsidR="009A0958" w:rsidRPr="00836FB8" w:rsidRDefault="009A0958" w:rsidP="009A0958">
      <w:pPr>
        <w:pStyle w:val="FootnoteText"/>
      </w:pPr>
      <w:r>
        <w:rPr>
          <w:rStyle w:val="FootnoteReference"/>
        </w:rPr>
        <w:footnoteRef/>
      </w:r>
      <w:r>
        <w:t xml:space="preserve"> </w:t>
      </w:r>
      <w:r>
        <w:tab/>
      </w:r>
      <w:r>
        <w:rPr>
          <w:i/>
          <w:iCs/>
        </w:rPr>
        <w:t xml:space="preserve">Owen-D’Arcy v Chief Executive, Queensland Corrective Services </w:t>
      </w:r>
      <w:r>
        <w:t>(2021) 9 QR 250</w:t>
      </w:r>
      <w:r w:rsidR="00A153D9">
        <w:t>,</w:t>
      </w:r>
      <w:r>
        <w:t xml:space="preserve"> [104]-[105] (Martin J).</w:t>
      </w:r>
    </w:p>
  </w:footnote>
  <w:footnote w:id="22">
    <w:p w14:paraId="1C461C43" w14:textId="581C5937" w:rsidR="009A0958" w:rsidRDefault="009A0958" w:rsidP="009A0958">
      <w:pPr>
        <w:pStyle w:val="FootnoteText"/>
      </w:pPr>
      <w:r>
        <w:rPr>
          <w:rStyle w:val="FootnoteReference"/>
        </w:rPr>
        <w:footnoteRef/>
      </w:r>
      <w:r>
        <w:t xml:space="preserve"> </w:t>
      </w:r>
      <w:r>
        <w:tab/>
        <w:t xml:space="preserve">A measure will engage a human right if the right is relevant or apparently limited: </w:t>
      </w:r>
      <w:r>
        <w:rPr>
          <w:i/>
          <w:iCs/>
        </w:rPr>
        <w:t xml:space="preserve">Austin BMI Pty </w:t>
      </w:r>
      <w:r w:rsidR="00CF1158">
        <w:rPr>
          <w:i/>
          <w:iCs/>
        </w:rPr>
        <w:t>L</w:t>
      </w:r>
      <w:r>
        <w:rPr>
          <w:i/>
          <w:iCs/>
        </w:rPr>
        <w:t xml:space="preserve">td v Deputy Premier </w:t>
      </w:r>
      <w:r>
        <w:t>(2023) 16 QR 377</w:t>
      </w:r>
      <w:r w:rsidR="00A153D9">
        <w:t>,</w:t>
      </w:r>
      <w:r>
        <w:t xml:space="preserve"> [306(a)]</w:t>
      </w:r>
      <w:r w:rsidRPr="00A2280B">
        <w:t xml:space="preserve"> </w:t>
      </w:r>
      <w:r>
        <w:t>(Freeburn J).</w:t>
      </w:r>
    </w:p>
  </w:footnote>
  <w:footnote w:id="23">
    <w:p w14:paraId="48B6FEDF" w14:textId="19A8FE43" w:rsidR="009A0958" w:rsidRDefault="009A0958" w:rsidP="009A0958">
      <w:pPr>
        <w:pStyle w:val="FootnoteText"/>
      </w:pPr>
      <w:r>
        <w:rPr>
          <w:rStyle w:val="FootnoteReference"/>
        </w:rPr>
        <w:footnoteRef/>
      </w:r>
      <w:r>
        <w:t xml:space="preserve"> </w:t>
      </w:r>
      <w:r>
        <w:tab/>
        <w:t xml:space="preserve">A measure </w:t>
      </w:r>
      <w:proofErr w:type="gramStart"/>
      <w:r>
        <w:t>will</w:t>
      </w:r>
      <w:proofErr w:type="gramEnd"/>
      <w:r>
        <w:t xml:space="preserve"> limit a human right for the purposes of s 8 of the HR Act if it placed limitations or restrictions on, or interferes with, the human rights of a person. This involves considering whether the impact comes within the scope of the right: </w:t>
      </w:r>
      <w:r>
        <w:rPr>
          <w:i/>
          <w:iCs/>
        </w:rPr>
        <w:t xml:space="preserve">Austin BMI Pty </w:t>
      </w:r>
      <w:r w:rsidR="00A153D9">
        <w:rPr>
          <w:i/>
          <w:iCs/>
        </w:rPr>
        <w:t>L</w:t>
      </w:r>
      <w:r>
        <w:rPr>
          <w:i/>
          <w:iCs/>
        </w:rPr>
        <w:t xml:space="preserve">td v Deputy Premier </w:t>
      </w:r>
      <w:r>
        <w:t>(2023) 16 QR 377</w:t>
      </w:r>
      <w:r w:rsidR="00A153D9">
        <w:t>,</w:t>
      </w:r>
      <w:r>
        <w:t xml:space="preserve"> [306(b)]</w:t>
      </w:r>
      <w:r w:rsidRPr="00A2280B">
        <w:t xml:space="preserve"> </w:t>
      </w:r>
      <w:r>
        <w:t>(Freeburn J).</w:t>
      </w:r>
    </w:p>
  </w:footnote>
  <w:footnote w:id="24">
    <w:p w14:paraId="2F5C8442" w14:textId="22D43EB3" w:rsidR="009A0958" w:rsidRDefault="009A0958" w:rsidP="009A0958">
      <w:pPr>
        <w:pStyle w:val="FootnoteText"/>
      </w:pPr>
      <w:r>
        <w:rPr>
          <w:rStyle w:val="FootnoteReference"/>
        </w:rPr>
        <w:footnoteRef/>
      </w:r>
      <w:r>
        <w:t xml:space="preserve"> </w:t>
      </w:r>
      <w:r>
        <w:tab/>
        <w:t xml:space="preserve">A limit will be justified if it satisfies the proportionality test in s 13 of the HR Act: </w:t>
      </w:r>
      <w:r>
        <w:rPr>
          <w:i/>
          <w:iCs/>
        </w:rPr>
        <w:t xml:space="preserve">Austin BMI Pty </w:t>
      </w:r>
      <w:r w:rsidR="00A153D9">
        <w:rPr>
          <w:i/>
          <w:iCs/>
        </w:rPr>
        <w:t>L</w:t>
      </w:r>
      <w:r>
        <w:rPr>
          <w:i/>
          <w:iCs/>
        </w:rPr>
        <w:t xml:space="preserve">td v Deputy Premier </w:t>
      </w:r>
      <w:r>
        <w:t>(2023) 16 QR 377</w:t>
      </w:r>
      <w:r w:rsidR="00A153D9">
        <w:t>,</w:t>
      </w:r>
      <w:r>
        <w:t xml:space="preserve"> [306(c)]</w:t>
      </w:r>
      <w:r w:rsidRPr="00A2280B">
        <w:t xml:space="preserve"> </w:t>
      </w:r>
      <w:r>
        <w:t>(Freeburn J).</w:t>
      </w:r>
    </w:p>
  </w:footnote>
  <w:footnote w:id="25">
    <w:p w14:paraId="0B4AAA40" w14:textId="2624E177" w:rsidR="009A0958" w:rsidRPr="008D144B" w:rsidRDefault="009A0958" w:rsidP="009A0958">
      <w:pPr>
        <w:pStyle w:val="FootnoteText"/>
      </w:pPr>
      <w:r>
        <w:rPr>
          <w:rStyle w:val="FootnoteReference"/>
        </w:rPr>
        <w:footnoteRef/>
      </w:r>
      <w:r>
        <w:t xml:space="preserve"> </w:t>
      </w:r>
      <w:r>
        <w:tab/>
      </w:r>
      <w:r w:rsidR="008D144B">
        <w:rPr>
          <w:i/>
          <w:iCs/>
        </w:rPr>
        <w:t xml:space="preserve">Thompson v Minogue </w:t>
      </w:r>
      <w:r w:rsidR="008D144B">
        <w:t>(2021) 67 VR 301, [74]</w:t>
      </w:r>
      <w:r w:rsidR="001303B4">
        <w:t xml:space="preserve"> (Kyrou, McLeish, Niall JJA)</w:t>
      </w:r>
      <w:r w:rsidR="00952A32">
        <w:t xml:space="preserve">; </w:t>
      </w:r>
      <w:r w:rsidR="00952A32" w:rsidRPr="000F03AE">
        <w:rPr>
          <w:i/>
          <w:iCs/>
        </w:rPr>
        <w:t>B</w:t>
      </w:r>
      <w:r w:rsidR="00952A32" w:rsidRPr="000F03AE">
        <w:rPr>
          <w:i/>
          <w:iCs/>
          <w:lang w:val="en-US"/>
        </w:rPr>
        <w:t>ZN v Chief Executive, the Department of Children, Youth Justice and Multicultural Affairs</w:t>
      </w:r>
      <w:r w:rsidR="00952A32" w:rsidRPr="00952A32">
        <w:rPr>
          <w:lang w:val="en-US"/>
        </w:rPr>
        <w:t xml:space="preserve"> [2023] QSC 266</w:t>
      </w:r>
      <w:r w:rsidR="00952A32">
        <w:rPr>
          <w:lang w:val="en-US"/>
        </w:rPr>
        <w:t>,</w:t>
      </w:r>
      <w:r w:rsidR="00952A32" w:rsidRPr="00952A32">
        <w:rPr>
          <w:lang w:val="en-US"/>
        </w:rPr>
        <w:t xml:space="preserve"> [239]</w:t>
      </w:r>
    </w:p>
  </w:footnote>
  <w:footnote w:id="26">
    <w:p w14:paraId="089D4D44" w14:textId="0FE7551D" w:rsidR="00F715A5" w:rsidRDefault="00F715A5" w:rsidP="00F715A5">
      <w:pPr>
        <w:pStyle w:val="FootnoteText"/>
      </w:pPr>
      <w:r>
        <w:rPr>
          <w:rStyle w:val="FootnoteReference"/>
        </w:rPr>
        <w:footnoteRef/>
      </w:r>
      <w:r>
        <w:t xml:space="preserve"> </w:t>
      </w:r>
      <w:r>
        <w:tab/>
        <w:t xml:space="preserve">s 11(1) HR Act; </w:t>
      </w:r>
      <w:r>
        <w:rPr>
          <w:i/>
          <w:iCs/>
        </w:rPr>
        <w:t xml:space="preserve">Owen-D’Arcy v Chief Executive, Queensland Corrective Services </w:t>
      </w:r>
      <w:r>
        <w:t>(2021) 9 QR 250</w:t>
      </w:r>
      <w:r w:rsidR="00E81563">
        <w:t>,</w:t>
      </w:r>
      <w:r>
        <w:t xml:space="preserve"> [81] (Martin J)</w:t>
      </w:r>
      <w:r w:rsidR="001303B4">
        <w:t>.</w:t>
      </w:r>
    </w:p>
  </w:footnote>
  <w:footnote w:id="27">
    <w:p w14:paraId="15A9D71D" w14:textId="77777777" w:rsidR="00F715A5" w:rsidRDefault="00F715A5" w:rsidP="00F715A5">
      <w:pPr>
        <w:pStyle w:val="FootnoteText"/>
      </w:pPr>
      <w:r>
        <w:rPr>
          <w:rStyle w:val="FootnoteReference"/>
        </w:rPr>
        <w:footnoteRef/>
      </w:r>
      <w:r>
        <w:t xml:space="preserve"> </w:t>
      </w:r>
      <w:r>
        <w:tab/>
        <w:t>PJ [11], [60].</w:t>
      </w:r>
    </w:p>
  </w:footnote>
  <w:footnote w:id="28">
    <w:p w14:paraId="2FAE29DC" w14:textId="76302A6F" w:rsidR="00F715A5" w:rsidRPr="00BD7381" w:rsidRDefault="00F715A5" w:rsidP="00F715A5">
      <w:pPr>
        <w:pStyle w:val="FootnoteText"/>
      </w:pPr>
      <w:r>
        <w:rPr>
          <w:rStyle w:val="FootnoteReference"/>
        </w:rPr>
        <w:footnoteRef/>
      </w:r>
      <w:r>
        <w:t xml:space="preserve"> </w:t>
      </w:r>
      <w:r>
        <w:tab/>
        <w:t xml:space="preserve">Consistently with </w:t>
      </w:r>
      <w:r>
        <w:rPr>
          <w:i/>
          <w:iCs/>
        </w:rPr>
        <w:t xml:space="preserve">Castles v Secretary, Department of Justice </w:t>
      </w:r>
      <w:r>
        <w:t>(2010) 28 VR 141</w:t>
      </w:r>
      <w:r w:rsidR="00E81563">
        <w:t>,</w:t>
      </w:r>
      <w:r>
        <w:t xml:space="preserve"> [5], [123] (Emerton J). </w:t>
      </w:r>
    </w:p>
  </w:footnote>
  <w:footnote w:id="29">
    <w:p w14:paraId="44F4552B" w14:textId="24B16339" w:rsidR="00F715A5" w:rsidRPr="00854585" w:rsidRDefault="00F715A5" w:rsidP="00F715A5">
      <w:pPr>
        <w:pStyle w:val="FootnoteText"/>
      </w:pPr>
      <w:r>
        <w:rPr>
          <w:rStyle w:val="FootnoteReference"/>
        </w:rPr>
        <w:footnoteRef/>
      </w:r>
      <w:r>
        <w:t xml:space="preserve"> </w:t>
      </w:r>
      <w:r>
        <w:tab/>
        <w:t xml:space="preserve">Sch 1 HR Act definition of “discrimination”, “sex”; ss 7(a), 8(a) </w:t>
      </w:r>
      <w:r>
        <w:rPr>
          <w:i/>
          <w:iCs/>
        </w:rPr>
        <w:t xml:space="preserve">Anti-Discrimination Act 1991 </w:t>
      </w:r>
      <w:r>
        <w:t xml:space="preserve">and “indirect discrimination” </w:t>
      </w:r>
      <w:r w:rsidR="00E21E5F">
        <w:t>s</w:t>
      </w:r>
      <w:r>
        <w:t xml:space="preserve">s 9, 11 </w:t>
      </w:r>
      <w:r>
        <w:rPr>
          <w:i/>
          <w:iCs/>
        </w:rPr>
        <w:t>Anti-Discrimination Act 1991.</w:t>
      </w:r>
    </w:p>
  </w:footnote>
  <w:footnote w:id="30">
    <w:p w14:paraId="6C743539" w14:textId="2A9F5130" w:rsidR="00F715A5" w:rsidRDefault="00F715A5" w:rsidP="00F715A5">
      <w:pPr>
        <w:pStyle w:val="FootnoteText"/>
      </w:pPr>
      <w:r>
        <w:rPr>
          <w:rStyle w:val="FootnoteReference"/>
        </w:rPr>
        <w:footnoteRef/>
      </w:r>
      <w:r>
        <w:t xml:space="preserve"> </w:t>
      </w:r>
      <w:r>
        <w:tab/>
        <w:t xml:space="preserve">While some imprisoned men may, for a variety of reasons, wish to have their sperm frozen </w:t>
      </w:r>
      <w:proofErr w:type="gramStart"/>
      <w:r>
        <w:t>so as to</w:t>
      </w:r>
      <w:proofErr w:type="gramEnd"/>
      <w:r>
        <w:t xml:space="preserve"> ensure their ability to reproduce after the expiry of their term of imprisonment, women are uniquely disadvantaged because of biological limitations inherent in female reproduction. </w:t>
      </w:r>
    </w:p>
  </w:footnote>
  <w:footnote w:id="31">
    <w:p w14:paraId="2042D571" w14:textId="189719D5" w:rsidR="00D04EF8" w:rsidRDefault="00D04EF8">
      <w:pPr>
        <w:pStyle w:val="FootnoteText"/>
      </w:pPr>
      <w:r>
        <w:rPr>
          <w:rStyle w:val="FootnoteReference"/>
        </w:rPr>
        <w:footnoteRef/>
      </w:r>
      <w:r>
        <w:t xml:space="preserve"> </w:t>
      </w:r>
      <w:r>
        <w:tab/>
      </w:r>
      <w:proofErr w:type="gramStart"/>
      <w:r>
        <w:t>AJ[</w:t>
      </w:r>
      <w:proofErr w:type="gramEnd"/>
      <w:r>
        <w:t xml:space="preserve">56]. </w:t>
      </w:r>
    </w:p>
  </w:footnote>
  <w:footnote w:id="32">
    <w:p w14:paraId="412ACD68" w14:textId="77777777" w:rsidR="00F715A5" w:rsidRPr="0046026D" w:rsidRDefault="00F715A5" w:rsidP="00F715A5">
      <w:pPr>
        <w:pStyle w:val="FootnoteText"/>
        <w:rPr>
          <w:lang w:val="en-GB"/>
        </w:rPr>
      </w:pPr>
      <w:r>
        <w:rPr>
          <w:rStyle w:val="FootnoteReference"/>
        </w:rPr>
        <w:footnoteRef/>
      </w:r>
      <w:r>
        <w:t xml:space="preserve"> </w:t>
      </w:r>
      <w:r>
        <w:tab/>
      </w:r>
      <w:r w:rsidRPr="0046026D">
        <w:t xml:space="preserve">Convention on the Elimination of All Forms of Discrimination Against Women, opened for signature 18 December 1979, </w:t>
      </w:r>
      <w:proofErr w:type="gramStart"/>
      <w:r w:rsidRPr="0046026D">
        <w:t>1249</w:t>
      </w:r>
      <w:proofErr w:type="gramEnd"/>
      <w:r w:rsidRPr="0046026D">
        <w:t xml:space="preserve"> UNTS 13 (entered into force 3 September 1981)</w:t>
      </w:r>
      <w:r>
        <w:t xml:space="preserve"> art 12.</w:t>
      </w:r>
    </w:p>
  </w:footnote>
  <w:footnote w:id="33">
    <w:p w14:paraId="2216F8CF" w14:textId="5084EED2" w:rsidR="00F715A5" w:rsidRDefault="00F715A5" w:rsidP="00F715A5">
      <w:pPr>
        <w:pStyle w:val="FootnoteText"/>
      </w:pPr>
      <w:r>
        <w:rPr>
          <w:rStyle w:val="FootnoteReference"/>
        </w:rPr>
        <w:footnoteRef/>
      </w:r>
      <w:r>
        <w:t xml:space="preserve"> </w:t>
      </w:r>
      <w:r>
        <w:tab/>
      </w:r>
      <w:r w:rsidRPr="0046026D">
        <w:t xml:space="preserve">Committee on Economic, Social and Cultural Rights, </w:t>
      </w:r>
      <w:r w:rsidRPr="0046026D">
        <w:rPr>
          <w:b/>
          <w:bCs/>
          <w:i/>
          <w:iCs/>
        </w:rPr>
        <w:t>General Comment No 22</w:t>
      </w:r>
      <w:r w:rsidRPr="0046026D">
        <w:rPr>
          <w:i/>
          <w:iCs/>
        </w:rPr>
        <w:t xml:space="preserve"> (2016) on the right to sexual and reproductive health (article 12 of the International Covenant on Economic, Social and Cultural Rights), UN Doc E/C.12/GC/22 (1 May 2016)</w:t>
      </w:r>
      <w:r w:rsidR="00335DE7">
        <w:rPr>
          <w:i/>
          <w:iCs/>
        </w:rPr>
        <w:t>,</w:t>
      </w:r>
      <w:r>
        <w:t xml:space="preserve"> [25].</w:t>
      </w:r>
    </w:p>
  </w:footnote>
  <w:footnote w:id="34">
    <w:p w14:paraId="6653D17F" w14:textId="2A6B339F" w:rsidR="00F715A5" w:rsidRDefault="00F715A5" w:rsidP="00F715A5">
      <w:pPr>
        <w:pStyle w:val="FootnoteText"/>
      </w:pPr>
      <w:r>
        <w:rPr>
          <w:rStyle w:val="FootnoteReference"/>
        </w:rPr>
        <w:footnoteRef/>
      </w:r>
      <w:r>
        <w:t xml:space="preserve"> </w:t>
      </w:r>
      <w:r>
        <w:tab/>
      </w:r>
      <w:r w:rsidRPr="002278ED">
        <w:rPr>
          <w:i/>
          <w:iCs/>
        </w:rPr>
        <w:t>General Comment No. 22</w:t>
      </w:r>
      <w:r w:rsidR="00335DE7">
        <w:rPr>
          <w:i/>
          <w:iCs/>
        </w:rPr>
        <w:t>,</w:t>
      </w:r>
      <w:r>
        <w:t xml:space="preserve"> [27].</w:t>
      </w:r>
    </w:p>
  </w:footnote>
  <w:footnote w:id="35">
    <w:p w14:paraId="3898ED19" w14:textId="317F2937" w:rsidR="00F715A5" w:rsidRPr="00C26E3F" w:rsidRDefault="00F715A5" w:rsidP="00F715A5">
      <w:pPr>
        <w:pStyle w:val="FootnoteText"/>
        <w:rPr>
          <w:i/>
          <w:iCs/>
        </w:rPr>
      </w:pPr>
      <w:r>
        <w:rPr>
          <w:rStyle w:val="FootnoteReference"/>
        </w:rPr>
        <w:footnoteRef/>
      </w:r>
      <w:r>
        <w:t xml:space="preserve"> </w:t>
      </w:r>
      <w:r>
        <w:tab/>
      </w:r>
      <w:r>
        <w:rPr>
          <w:i/>
          <w:iCs/>
        </w:rPr>
        <w:t xml:space="preserve">Owen-D’Arcy v Chief Executive, Queensland Corrective Services </w:t>
      </w:r>
      <w:r>
        <w:t>(2021) 9 QR 250</w:t>
      </w:r>
      <w:r w:rsidR="00E81563">
        <w:t>,</w:t>
      </w:r>
      <w:r>
        <w:t xml:space="preserve"> [130] (Martin J).</w:t>
      </w:r>
    </w:p>
  </w:footnote>
  <w:footnote w:id="36">
    <w:p w14:paraId="5DCCAA80" w14:textId="399D31E6" w:rsidR="00F715A5" w:rsidRDefault="00F715A5" w:rsidP="00F715A5">
      <w:pPr>
        <w:pStyle w:val="FootnoteText"/>
      </w:pPr>
      <w:r>
        <w:rPr>
          <w:rStyle w:val="FootnoteReference"/>
        </w:rPr>
        <w:footnoteRef/>
      </w:r>
      <w:r>
        <w:t xml:space="preserve"> </w:t>
      </w:r>
      <w:r>
        <w:tab/>
        <w:t>Even on the App</w:t>
      </w:r>
      <w:r w:rsidR="00CB5AB5">
        <w:t>lican</w:t>
      </w:r>
      <w:r w:rsidR="00B220DF">
        <w:t>t</w:t>
      </w:r>
      <w:r>
        <w:t xml:space="preserve">’s construction, a person in prison cannot access a health service, namely assisted reproductive technology the </w:t>
      </w:r>
      <w:r w:rsidRPr="003B7915">
        <w:t>goal of which is to lead directly to the reproduction of human life (for example, the implantation of a fertilized egg in the uterus)</w:t>
      </w:r>
      <w:r>
        <w:t>.</w:t>
      </w:r>
    </w:p>
  </w:footnote>
  <w:footnote w:id="37">
    <w:p w14:paraId="0FB5E936" w14:textId="77777777" w:rsidR="00F715A5" w:rsidRDefault="00F715A5" w:rsidP="00F715A5">
      <w:pPr>
        <w:pStyle w:val="FootnoteText"/>
      </w:pPr>
      <w:r>
        <w:rPr>
          <w:rStyle w:val="FootnoteReference"/>
        </w:rPr>
        <w:footnoteRef/>
      </w:r>
      <w:r>
        <w:t xml:space="preserve"> </w:t>
      </w:r>
      <w:r>
        <w:tab/>
        <w:t xml:space="preserve">in s 15. </w:t>
      </w:r>
    </w:p>
  </w:footnote>
  <w:footnote w:id="38">
    <w:p w14:paraId="47521EEB" w14:textId="7B82E2D9" w:rsidR="00470C36" w:rsidRPr="00470C36" w:rsidRDefault="00470C36">
      <w:pPr>
        <w:pStyle w:val="FootnoteText"/>
        <w:rPr>
          <w:sz w:val="20"/>
        </w:rPr>
      </w:pPr>
      <w:r w:rsidRPr="00470C36">
        <w:rPr>
          <w:rStyle w:val="FootnoteReference"/>
          <w:sz w:val="20"/>
        </w:rPr>
        <w:footnoteRef/>
      </w:r>
      <w:r w:rsidRPr="00470C36">
        <w:rPr>
          <w:sz w:val="20"/>
        </w:rPr>
        <w:t xml:space="preserve"> </w:t>
      </w:r>
      <w:r w:rsidRPr="00470C36">
        <w:rPr>
          <w:sz w:val="20"/>
        </w:rPr>
        <w:tab/>
        <w:t xml:space="preserve">See too </w:t>
      </w:r>
      <w:r w:rsidRPr="00470C36">
        <w:rPr>
          <w:rFonts w:cs="Times New Roman"/>
          <w:i/>
          <w:iCs/>
          <w:sz w:val="20"/>
        </w:rPr>
        <w:t xml:space="preserve">Castles v Secretary of the Department of Justice </w:t>
      </w:r>
      <w:r w:rsidRPr="00470C36">
        <w:rPr>
          <w:rFonts w:cs="Times New Roman"/>
          <w:sz w:val="20"/>
        </w:rPr>
        <w:t>(2010) 28 VR 141, [123]</w:t>
      </w:r>
      <w:r>
        <w:rPr>
          <w:rFonts w:cs="Times New Roman"/>
          <w:sz w:val="20"/>
        </w:rPr>
        <w:t xml:space="preserve"> (Emerton J)</w:t>
      </w:r>
      <w:r w:rsidRPr="00470C36">
        <w:rPr>
          <w:rFonts w:cs="Times New Roman"/>
          <w:sz w:val="20"/>
        </w:rPr>
        <w:t>.</w:t>
      </w:r>
    </w:p>
  </w:footnote>
  <w:footnote w:id="39">
    <w:p w14:paraId="50C087FF" w14:textId="77777777" w:rsidR="00F715A5" w:rsidRDefault="00F715A5" w:rsidP="00F715A5">
      <w:pPr>
        <w:pStyle w:val="FootnoteText"/>
      </w:pPr>
      <w:r>
        <w:rPr>
          <w:rStyle w:val="FootnoteReference"/>
        </w:rPr>
        <w:footnoteRef/>
      </w:r>
      <w:r>
        <w:t xml:space="preserve"> </w:t>
      </w:r>
      <w:r>
        <w:tab/>
        <w:t xml:space="preserve">Which was modelled on Article 10(1) </w:t>
      </w:r>
      <w:r w:rsidRPr="004D59CA">
        <w:rPr>
          <w:b/>
          <w:bCs/>
        </w:rPr>
        <w:t>I</w:t>
      </w:r>
      <w:r>
        <w:t xml:space="preserve">nternational </w:t>
      </w:r>
      <w:r w:rsidRPr="004D59CA">
        <w:rPr>
          <w:b/>
          <w:bCs/>
        </w:rPr>
        <w:t>C</w:t>
      </w:r>
      <w:r>
        <w:t xml:space="preserve">onvention on </w:t>
      </w:r>
      <w:r w:rsidRPr="004D59CA">
        <w:rPr>
          <w:b/>
          <w:bCs/>
        </w:rPr>
        <w:t>C</w:t>
      </w:r>
      <w:r>
        <w:t xml:space="preserve">ivil and </w:t>
      </w:r>
      <w:r w:rsidRPr="004D59CA">
        <w:rPr>
          <w:b/>
          <w:bCs/>
        </w:rPr>
        <w:t>P</w:t>
      </w:r>
      <w:r>
        <w:t xml:space="preserve">olitical </w:t>
      </w:r>
      <w:r w:rsidRPr="006E24EA">
        <w:rPr>
          <w:b/>
          <w:bCs/>
        </w:rPr>
        <w:t>R</w:t>
      </w:r>
      <w:r>
        <w:t>ights</w:t>
      </w:r>
      <w:r w:rsidRPr="0046026D">
        <w:t>, opened for signature: 19 December 1966, 999 UNTS 171 (entered into force 23 March 1976)</w:t>
      </w:r>
      <w:r>
        <w:t>.</w:t>
      </w:r>
    </w:p>
  </w:footnote>
  <w:footnote w:id="40">
    <w:p w14:paraId="052E1124" w14:textId="0542BED3" w:rsidR="00F715A5" w:rsidRPr="00E70214" w:rsidRDefault="00F715A5" w:rsidP="00F715A5">
      <w:pPr>
        <w:pStyle w:val="FootnoteText"/>
      </w:pPr>
      <w:r>
        <w:rPr>
          <w:rStyle w:val="FootnoteReference"/>
        </w:rPr>
        <w:footnoteRef/>
      </w:r>
      <w:r>
        <w:t xml:space="preserve"> </w:t>
      </w:r>
      <w:r>
        <w:tab/>
      </w:r>
      <w:r>
        <w:rPr>
          <w:i/>
          <w:iCs/>
        </w:rPr>
        <w:t xml:space="preserve">Castles v Secretary Department of Justice </w:t>
      </w:r>
      <w:r>
        <w:t>(2010) 28 VR 141</w:t>
      </w:r>
      <w:r w:rsidR="002708C0">
        <w:t xml:space="preserve">, </w:t>
      </w:r>
      <w:r>
        <w:t>[108], [113] (Emerton J).</w:t>
      </w:r>
    </w:p>
  </w:footnote>
  <w:footnote w:id="41">
    <w:p w14:paraId="61621CC0" w14:textId="348C7CC4" w:rsidR="00F715A5" w:rsidRPr="000F02B5" w:rsidRDefault="00F715A5" w:rsidP="00F715A5">
      <w:pPr>
        <w:pStyle w:val="FootnoteText"/>
        <w:rPr>
          <w:i/>
          <w:iCs/>
        </w:rPr>
      </w:pPr>
      <w:r>
        <w:rPr>
          <w:rStyle w:val="FootnoteReference"/>
        </w:rPr>
        <w:footnoteRef/>
      </w:r>
      <w:r>
        <w:t xml:space="preserve"> </w:t>
      </w:r>
      <w:r>
        <w:tab/>
        <w:t xml:space="preserve">Which was intended to establish a “minimum standard” of treatment of incarcerated persons: Explanatory Notes, </w:t>
      </w:r>
      <w:r>
        <w:rPr>
          <w:i/>
          <w:iCs/>
        </w:rPr>
        <w:t xml:space="preserve">Human Rights Bill 2018, </w:t>
      </w:r>
      <w:r>
        <w:t>p 25.</w:t>
      </w:r>
    </w:p>
  </w:footnote>
  <w:footnote w:id="42">
    <w:p w14:paraId="0BF5D901" w14:textId="29ACB7F2" w:rsidR="00F715A5" w:rsidRPr="00D7186C" w:rsidRDefault="00F715A5" w:rsidP="00F715A5">
      <w:pPr>
        <w:pStyle w:val="FootnoteText"/>
      </w:pPr>
      <w:r>
        <w:rPr>
          <w:rStyle w:val="FootnoteReference"/>
        </w:rPr>
        <w:footnoteRef/>
      </w:r>
      <w:r>
        <w:t xml:space="preserve"> </w:t>
      </w:r>
      <w:r>
        <w:tab/>
      </w:r>
      <w:r>
        <w:rPr>
          <w:i/>
          <w:iCs/>
        </w:rPr>
        <w:t xml:space="preserve">Castles v Secretary of the Department of Justice </w:t>
      </w:r>
      <w:r>
        <w:t>(2010) 28 VR 141</w:t>
      </w:r>
      <w:r w:rsidR="00D63C57">
        <w:t>,</w:t>
      </w:r>
      <w:r>
        <w:t xml:space="preserve"> [127] (Emerton J) concerning s 22(1) of the </w:t>
      </w:r>
      <w:r>
        <w:rPr>
          <w:i/>
          <w:iCs/>
        </w:rPr>
        <w:t xml:space="preserve">Charter of Human Rights and Responsibilities Act 2006 </w:t>
      </w:r>
      <w:r>
        <w:t>(Vic) which is in the same terms as s 30(1) HR Act.</w:t>
      </w:r>
    </w:p>
  </w:footnote>
  <w:footnote w:id="43">
    <w:p w14:paraId="7192BA60" w14:textId="1611FFE4" w:rsidR="00F715A5" w:rsidRPr="002976AD" w:rsidRDefault="00F715A5" w:rsidP="00F715A5">
      <w:pPr>
        <w:pStyle w:val="FootnoteText"/>
      </w:pPr>
      <w:r>
        <w:rPr>
          <w:rStyle w:val="FootnoteReference"/>
        </w:rPr>
        <w:footnoteRef/>
      </w:r>
      <w:r>
        <w:t xml:space="preserve"> </w:t>
      </w:r>
      <w:r>
        <w:tab/>
      </w:r>
      <w:r w:rsidRPr="002976AD">
        <w:t xml:space="preserve">Human Rights Bill 2018 </w:t>
      </w:r>
      <w:r w:rsidR="00F92399" w:rsidRPr="00F92399">
        <w:rPr>
          <w:b/>
          <w:bCs/>
        </w:rPr>
        <w:t xml:space="preserve">HR </w:t>
      </w:r>
      <w:r w:rsidRPr="002976AD">
        <w:rPr>
          <w:b/>
          <w:bCs/>
        </w:rPr>
        <w:t>Explanatory Note</w:t>
      </w:r>
      <w:r>
        <w:rPr>
          <w:i/>
          <w:iCs/>
        </w:rPr>
        <w:t xml:space="preserve"> </w:t>
      </w:r>
      <w:r>
        <w:t>p 25.</w:t>
      </w:r>
    </w:p>
  </w:footnote>
  <w:footnote w:id="44">
    <w:p w14:paraId="2504EBDD" w14:textId="0E5A8DE6" w:rsidR="00F715A5" w:rsidRDefault="00F715A5" w:rsidP="00F715A5">
      <w:pPr>
        <w:pStyle w:val="FootnoteText"/>
      </w:pPr>
      <w:r>
        <w:rPr>
          <w:rStyle w:val="FootnoteReference"/>
        </w:rPr>
        <w:footnoteRef/>
      </w:r>
      <w:r>
        <w:t xml:space="preserve"> </w:t>
      </w:r>
      <w:r>
        <w:tab/>
      </w:r>
      <w:r>
        <w:rPr>
          <w:i/>
          <w:iCs/>
        </w:rPr>
        <w:t xml:space="preserve">Owen-D’Arcy v Chief Executive, Queensland Corrective Services </w:t>
      </w:r>
      <w:r>
        <w:t>(2021) 9 QR 250</w:t>
      </w:r>
      <w:r w:rsidR="00D63C57">
        <w:t>,</w:t>
      </w:r>
      <w:r>
        <w:t xml:space="preserve"> [245] (Martin J).</w:t>
      </w:r>
    </w:p>
  </w:footnote>
  <w:footnote w:id="45">
    <w:p w14:paraId="48D941D8" w14:textId="77777777" w:rsidR="00F715A5" w:rsidRDefault="00F715A5" w:rsidP="00F715A5">
      <w:pPr>
        <w:pStyle w:val="FootnoteText"/>
      </w:pPr>
      <w:r>
        <w:rPr>
          <w:rStyle w:val="FootnoteReference"/>
        </w:rPr>
        <w:footnoteRef/>
      </w:r>
      <w:r>
        <w:t xml:space="preserve"> </w:t>
      </w:r>
      <w:r>
        <w:tab/>
        <w:t xml:space="preserve">s 3(1) CS Act. </w:t>
      </w:r>
    </w:p>
  </w:footnote>
  <w:footnote w:id="46">
    <w:p w14:paraId="51BFDD06" w14:textId="77777777" w:rsidR="00F715A5" w:rsidRDefault="00F715A5" w:rsidP="00F715A5">
      <w:pPr>
        <w:pStyle w:val="FootnoteText"/>
      </w:pPr>
      <w:r>
        <w:rPr>
          <w:rStyle w:val="FootnoteReference"/>
        </w:rPr>
        <w:footnoteRef/>
      </w:r>
      <w:r>
        <w:t xml:space="preserve"> </w:t>
      </w:r>
      <w:r>
        <w:tab/>
        <w:t xml:space="preserve">s 3(3)(a) CS Act. </w:t>
      </w:r>
    </w:p>
  </w:footnote>
  <w:footnote w:id="47">
    <w:p w14:paraId="488F1C0D" w14:textId="0ABC7301" w:rsidR="00F715A5" w:rsidRDefault="00F715A5" w:rsidP="00F715A5">
      <w:pPr>
        <w:pStyle w:val="FootnoteText"/>
      </w:pPr>
      <w:r>
        <w:rPr>
          <w:rStyle w:val="FootnoteReference"/>
        </w:rPr>
        <w:footnoteRef/>
      </w:r>
      <w:r>
        <w:t xml:space="preserve"> </w:t>
      </w:r>
      <w:r>
        <w:tab/>
      </w:r>
      <w:r>
        <w:rPr>
          <w:i/>
          <w:iCs/>
        </w:rPr>
        <w:t xml:space="preserve">Castles v Secretary of the Department of Justice </w:t>
      </w:r>
      <w:r>
        <w:t>(2010) 28 VR 141</w:t>
      </w:r>
      <w:r w:rsidR="00D63C57">
        <w:t>,</w:t>
      </w:r>
      <w:r>
        <w:t xml:space="preserve"> [94] (Emerton J).</w:t>
      </w:r>
    </w:p>
  </w:footnote>
  <w:footnote w:id="48">
    <w:p w14:paraId="3533F5A4" w14:textId="305B5498" w:rsidR="00F715A5" w:rsidRDefault="00F715A5" w:rsidP="00F715A5">
      <w:pPr>
        <w:pStyle w:val="FootnoteText"/>
      </w:pPr>
      <w:r>
        <w:rPr>
          <w:rStyle w:val="FootnoteReference"/>
        </w:rPr>
        <w:footnoteRef/>
      </w:r>
      <w:r>
        <w:t xml:space="preserve"> </w:t>
      </w:r>
      <w:r>
        <w:tab/>
      </w:r>
      <w:r>
        <w:rPr>
          <w:i/>
          <w:iCs/>
        </w:rPr>
        <w:t xml:space="preserve">Owen-D’Arcy v Chief Executive, Queensland Corrective Services </w:t>
      </w:r>
      <w:r>
        <w:t>(2021) 9 QR 250</w:t>
      </w:r>
      <w:r w:rsidR="00D63C57">
        <w:t>,</w:t>
      </w:r>
      <w:r>
        <w:t xml:space="preserve"> [237] (Martin J).</w:t>
      </w:r>
    </w:p>
  </w:footnote>
  <w:footnote w:id="49">
    <w:p w14:paraId="25636308" w14:textId="77777777" w:rsidR="00F715A5" w:rsidRPr="004F1FF0" w:rsidRDefault="00F715A5" w:rsidP="00F715A5">
      <w:pPr>
        <w:pStyle w:val="FootnoteText"/>
      </w:pPr>
      <w:r>
        <w:rPr>
          <w:rStyle w:val="FootnoteReference"/>
        </w:rPr>
        <w:footnoteRef/>
      </w:r>
      <w:r>
        <w:t xml:space="preserve"> </w:t>
      </w:r>
      <w:r>
        <w:tab/>
      </w:r>
      <w:r w:rsidRPr="0046026D">
        <w:rPr>
          <w:i/>
          <w:iCs/>
        </w:rPr>
        <w:t xml:space="preserve">United Nations Standard Minimum Rules for the Treatment of Prisoners, </w:t>
      </w:r>
      <w:r w:rsidRPr="0046026D">
        <w:t>UN Doc A/RES/70/175 (17 December 2015)</w:t>
      </w:r>
      <w:r w:rsidRPr="00E933C8">
        <w:t xml:space="preserve"> (the </w:t>
      </w:r>
      <w:r w:rsidRPr="0046026D">
        <w:rPr>
          <w:b/>
          <w:bCs/>
          <w:i/>
          <w:iCs/>
        </w:rPr>
        <w:t>Nelson Mandela Rules</w:t>
      </w:r>
      <w:r w:rsidRPr="00E933C8">
        <w:t>)</w:t>
      </w:r>
      <w:r>
        <w:rPr>
          <w:i/>
          <w:iCs/>
        </w:rPr>
        <w:t xml:space="preserve"> </w:t>
      </w:r>
      <w:r>
        <w:t>rule 3.</w:t>
      </w:r>
    </w:p>
  </w:footnote>
  <w:footnote w:id="50">
    <w:p w14:paraId="70DAE433" w14:textId="0BEBF771" w:rsidR="00F715A5" w:rsidRDefault="00F715A5" w:rsidP="00F715A5">
      <w:pPr>
        <w:pStyle w:val="FootnoteText"/>
      </w:pPr>
      <w:r>
        <w:rPr>
          <w:rStyle w:val="FootnoteReference"/>
        </w:rPr>
        <w:footnoteRef/>
      </w:r>
      <w:r>
        <w:t xml:space="preserve"> </w:t>
      </w:r>
      <w:r>
        <w:tab/>
      </w:r>
      <w:r>
        <w:rPr>
          <w:i/>
          <w:iCs/>
        </w:rPr>
        <w:t xml:space="preserve">Castles v Secretary of the Department of Justice </w:t>
      </w:r>
      <w:r>
        <w:t>(2010) 28 VR 141</w:t>
      </w:r>
      <w:r w:rsidR="00D63C57">
        <w:t>,</w:t>
      </w:r>
      <w:r>
        <w:t xml:space="preserve"> [99] (Emerton J).</w:t>
      </w:r>
    </w:p>
  </w:footnote>
  <w:footnote w:id="51">
    <w:p w14:paraId="18715E82" w14:textId="77777777" w:rsidR="00F715A5" w:rsidRPr="00373736" w:rsidRDefault="00F715A5" w:rsidP="00F715A5">
      <w:pPr>
        <w:pStyle w:val="FootnoteText"/>
      </w:pPr>
      <w:r>
        <w:rPr>
          <w:rStyle w:val="FootnoteReference"/>
        </w:rPr>
        <w:footnoteRef/>
      </w:r>
      <w:r>
        <w:t xml:space="preserve"> </w:t>
      </w:r>
      <w:r>
        <w:tab/>
      </w:r>
      <w:r w:rsidRPr="0046026D">
        <w:rPr>
          <w:i/>
          <w:iCs/>
        </w:rPr>
        <w:t>United Nations Rules for the Treatment of Women Prisoners and Non-custodial Measures for Women Offenders with their Commentary</w:t>
      </w:r>
      <w:r w:rsidRPr="0046026D">
        <w:t>, UN Doc A/RES/65/229 (21 December 2010)</w:t>
      </w:r>
      <w:r w:rsidRPr="00E933C8">
        <w:t xml:space="preserve"> (the </w:t>
      </w:r>
      <w:r w:rsidRPr="0046026D">
        <w:rPr>
          <w:b/>
          <w:bCs/>
          <w:i/>
          <w:iCs/>
        </w:rPr>
        <w:t>Bangkok Rules</w:t>
      </w:r>
      <w:r w:rsidRPr="00E933C8">
        <w:t xml:space="preserve">) </w:t>
      </w:r>
      <w:r>
        <w:t xml:space="preserve">rule 10(1). </w:t>
      </w:r>
    </w:p>
  </w:footnote>
  <w:footnote w:id="52">
    <w:p w14:paraId="50435CF2" w14:textId="44D42D43" w:rsidR="00F715A5" w:rsidRPr="007D5F5E" w:rsidRDefault="00F715A5" w:rsidP="00F715A5">
      <w:pPr>
        <w:pStyle w:val="FootnoteText"/>
      </w:pPr>
      <w:r>
        <w:rPr>
          <w:rStyle w:val="FootnoteReference"/>
        </w:rPr>
        <w:footnoteRef/>
      </w:r>
      <w:r>
        <w:t xml:space="preserve"> </w:t>
      </w:r>
      <w:r>
        <w:tab/>
        <w:t xml:space="preserve">s 9(2) </w:t>
      </w:r>
      <w:r>
        <w:rPr>
          <w:i/>
          <w:iCs/>
        </w:rPr>
        <w:t xml:space="preserve">Penalties and Sentences Act 1992 </w:t>
      </w:r>
      <w:r>
        <w:t xml:space="preserve">(Qld); </w:t>
      </w:r>
      <w:r>
        <w:rPr>
          <w:i/>
          <w:iCs/>
        </w:rPr>
        <w:t xml:space="preserve">Veen v R (No 2) </w:t>
      </w:r>
      <w:r>
        <w:t>(1988) 164 CLR 465</w:t>
      </w:r>
      <w:r w:rsidR="006451EB">
        <w:t>,</w:t>
      </w:r>
      <w:r>
        <w:t xml:space="preserve"> 476 (Mason CJ, Brennan, Dawson and Toohey JJ). This was recognised in the Explanatory Note to the CS Bill at p 20. </w:t>
      </w:r>
    </w:p>
  </w:footnote>
  <w:footnote w:id="53">
    <w:p w14:paraId="435180D6" w14:textId="6C94B860" w:rsidR="00F715A5" w:rsidRDefault="00F715A5" w:rsidP="00F715A5">
      <w:pPr>
        <w:pStyle w:val="FootnoteText"/>
      </w:pPr>
      <w:r>
        <w:rPr>
          <w:rStyle w:val="FootnoteReference"/>
        </w:rPr>
        <w:footnoteRef/>
      </w:r>
      <w:r>
        <w:t xml:space="preserve"> </w:t>
      </w:r>
      <w:r>
        <w:tab/>
      </w:r>
      <w:proofErr w:type="spellStart"/>
      <w:r w:rsidRPr="00B3646F">
        <w:rPr>
          <w:i/>
          <w:iCs/>
        </w:rPr>
        <w:t>Vartzokas</w:t>
      </w:r>
      <w:proofErr w:type="spellEnd"/>
      <w:r w:rsidRPr="00B3646F">
        <w:rPr>
          <w:i/>
          <w:iCs/>
        </w:rPr>
        <w:t xml:space="preserve"> v Zanker</w:t>
      </w:r>
      <w:r w:rsidRPr="00B3646F">
        <w:t xml:space="preserve"> (1989) 51 SASR 277</w:t>
      </w:r>
      <w:r w:rsidR="00D63C57">
        <w:t>,</w:t>
      </w:r>
      <w:r w:rsidRPr="00B3646F">
        <w:t xml:space="preserve"> 278 (King CJ)</w:t>
      </w:r>
      <w:r>
        <w:t>.</w:t>
      </w:r>
    </w:p>
  </w:footnote>
  <w:footnote w:id="54">
    <w:p w14:paraId="67FD6C3D" w14:textId="6C0E4AB1" w:rsidR="00F715A5" w:rsidRPr="005936FA" w:rsidRDefault="00F715A5" w:rsidP="00F715A5">
      <w:pPr>
        <w:pStyle w:val="FootnoteText"/>
      </w:pPr>
      <w:r>
        <w:rPr>
          <w:rStyle w:val="FootnoteReference"/>
        </w:rPr>
        <w:footnoteRef/>
      </w:r>
      <w:r>
        <w:t xml:space="preserve"> </w:t>
      </w:r>
      <w:r>
        <w:tab/>
      </w:r>
      <w:r>
        <w:rPr>
          <w:i/>
          <w:iCs/>
        </w:rPr>
        <w:t xml:space="preserve">Hogan v Hinch </w:t>
      </w:r>
      <w:r>
        <w:t>(2011) 243 CLR 506</w:t>
      </w:r>
      <w:r w:rsidR="004F4494">
        <w:t>,</w:t>
      </w:r>
      <w:r>
        <w:t xml:space="preserve"> 538-9 [32] (French CJ).</w:t>
      </w:r>
    </w:p>
  </w:footnote>
  <w:footnote w:id="55">
    <w:p w14:paraId="002E4F5C" w14:textId="747ECFB8" w:rsidR="00F715A5" w:rsidRPr="00F7051F" w:rsidRDefault="00F715A5" w:rsidP="00F715A5">
      <w:pPr>
        <w:pStyle w:val="FootnoteText"/>
        <w:rPr>
          <w:lang w:val="en-GB"/>
        </w:rPr>
      </w:pPr>
      <w:r>
        <w:rPr>
          <w:rStyle w:val="FootnoteReference"/>
        </w:rPr>
        <w:footnoteRef/>
      </w:r>
      <w:r>
        <w:t xml:space="preserve"> </w:t>
      </w:r>
      <w:r>
        <w:rPr>
          <w:lang w:val="en-GB"/>
        </w:rPr>
        <w:tab/>
      </w:r>
      <w:r w:rsidRPr="0046026D">
        <w:t xml:space="preserve">Committee on Economic, Social and Cultural Rights, </w:t>
      </w:r>
      <w:r w:rsidRPr="00E933C8">
        <w:rPr>
          <w:i/>
        </w:rPr>
        <w:t>General Comment No 14</w:t>
      </w:r>
      <w:r w:rsidRPr="0046026D">
        <w:rPr>
          <w:i/>
          <w:iCs/>
        </w:rPr>
        <w:t xml:space="preserve"> (2000): The Right to the Highest Attainable Standard of Health (Article 12 of the International Covenant on Economic, Social and Cultural Rights)</w:t>
      </w:r>
      <w:r w:rsidRPr="0046026D">
        <w:t>,</w:t>
      </w:r>
      <w:r w:rsidRPr="00E933C8">
        <w:t xml:space="preserve"> </w:t>
      </w:r>
      <w:r w:rsidRPr="0046026D">
        <w:t>UN Doc E/C.12/2000/4 (11 August 2000)</w:t>
      </w:r>
      <w:r w:rsidR="00D63C57">
        <w:t>,</w:t>
      </w:r>
      <w:r>
        <w:t xml:space="preserve"> [1].</w:t>
      </w:r>
    </w:p>
  </w:footnote>
  <w:footnote w:id="56">
    <w:p w14:paraId="1E305838" w14:textId="426902D1" w:rsidR="00F715A5" w:rsidRPr="006F264F" w:rsidRDefault="00F715A5" w:rsidP="00F715A5">
      <w:pPr>
        <w:pStyle w:val="FootnoteText"/>
      </w:pPr>
      <w:r>
        <w:rPr>
          <w:rStyle w:val="FootnoteReference"/>
        </w:rPr>
        <w:footnoteRef/>
      </w:r>
      <w:r>
        <w:t xml:space="preserve"> </w:t>
      </w:r>
      <w:r>
        <w:tab/>
      </w:r>
      <w:r w:rsidR="00D012A1">
        <w:t>ss 21,</w:t>
      </w:r>
      <w:r>
        <w:t xml:space="preserve"> 22(2)(b) of the </w:t>
      </w:r>
      <w:r>
        <w:rPr>
          <w:i/>
          <w:iCs/>
        </w:rPr>
        <w:t>Surrogacy Act 2010</w:t>
      </w:r>
      <w:r w:rsidR="000F0142">
        <w:rPr>
          <w:i/>
          <w:iCs/>
        </w:rPr>
        <w:t xml:space="preserve"> </w:t>
      </w:r>
      <w:r w:rsidR="000F0142">
        <w:t>(Qld)</w:t>
      </w:r>
      <w:r>
        <w:rPr>
          <w:i/>
          <w:iCs/>
        </w:rPr>
        <w:t xml:space="preserve">. </w:t>
      </w:r>
    </w:p>
  </w:footnote>
  <w:footnote w:id="57">
    <w:p w14:paraId="126FD7A8" w14:textId="28026635" w:rsidR="00F715A5" w:rsidRDefault="00F715A5" w:rsidP="00F715A5">
      <w:pPr>
        <w:pStyle w:val="FootnoteText"/>
      </w:pPr>
      <w:r>
        <w:rPr>
          <w:rStyle w:val="FootnoteReference"/>
        </w:rPr>
        <w:footnoteRef/>
      </w:r>
      <w:r>
        <w:t xml:space="preserve"> </w:t>
      </w:r>
      <w:r>
        <w:tab/>
      </w:r>
      <w:r w:rsidR="000F0142">
        <w:t xml:space="preserve">Including </w:t>
      </w:r>
      <w:r>
        <w:t>the length of a prisoner’s sentence and the period of their life that it traverses</w:t>
      </w:r>
      <w:r w:rsidR="000F0142">
        <w:t>, in addition to any specific evidence as to fertility status or specific risks of decline in fertility status</w:t>
      </w:r>
      <w:r>
        <w:t>.</w:t>
      </w:r>
    </w:p>
  </w:footnote>
  <w:footnote w:id="58">
    <w:p w14:paraId="0F06155D" w14:textId="74073AE8" w:rsidR="00F715A5" w:rsidRPr="00116AB6" w:rsidRDefault="00F715A5" w:rsidP="00F715A5">
      <w:pPr>
        <w:pStyle w:val="FootnoteText"/>
        <w:rPr>
          <w:lang w:val="en-GB"/>
        </w:rPr>
      </w:pPr>
      <w:r>
        <w:rPr>
          <w:rStyle w:val="FootnoteReference"/>
        </w:rPr>
        <w:footnoteRef/>
      </w:r>
      <w:r>
        <w:t xml:space="preserve"> </w:t>
      </w:r>
      <w:r>
        <w:rPr>
          <w:lang w:val="en-GB"/>
        </w:rPr>
        <w:tab/>
      </w:r>
      <w:r w:rsidRPr="0046026D">
        <w:rPr>
          <w:lang w:val="en-GB"/>
        </w:rPr>
        <w:t xml:space="preserve">Human Rights Committee, </w:t>
      </w:r>
      <w:r w:rsidRPr="00E933C8">
        <w:rPr>
          <w:i/>
          <w:lang w:val="en-GB"/>
        </w:rPr>
        <w:t xml:space="preserve">General Comment No 21: Article 10 (Humane Treatment of Persons Deprived of </w:t>
      </w:r>
      <w:r w:rsidRPr="0046026D">
        <w:rPr>
          <w:i/>
          <w:iCs/>
          <w:lang w:val="en-GB"/>
        </w:rPr>
        <w:t>Their</w:t>
      </w:r>
      <w:r w:rsidRPr="00E933C8">
        <w:rPr>
          <w:i/>
          <w:lang w:val="en-GB"/>
        </w:rPr>
        <w:t xml:space="preserve"> Liberty</w:t>
      </w:r>
      <w:r w:rsidRPr="0046026D">
        <w:rPr>
          <w:i/>
          <w:iCs/>
          <w:lang w:val="en-GB"/>
        </w:rPr>
        <w:t>)</w:t>
      </w:r>
      <w:r w:rsidRPr="0046026D">
        <w:rPr>
          <w:lang w:val="en-GB"/>
        </w:rPr>
        <w:t>, 44th sess, (10 April 1992)</w:t>
      </w:r>
      <w:r w:rsidR="00D63C57">
        <w:rPr>
          <w:lang w:val="en-GB"/>
        </w:rPr>
        <w:t>,</w:t>
      </w:r>
      <w:r>
        <w:rPr>
          <w:lang w:val="en-GB"/>
        </w:rPr>
        <w:t xml:space="preserve">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A711" w14:textId="77777777" w:rsidR="002B6725" w:rsidRDefault="002B6725">
    <w:pPr>
      <w:pStyle w:val="Header"/>
      <w:jc w:val="center"/>
    </w:pPr>
    <w:r>
      <w:t>-</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B2B21"/>
    <w:multiLevelType w:val="hybridMultilevel"/>
    <w:tmpl w:val="79E81C3A"/>
    <w:lvl w:ilvl="0" w:tplc="AE486E86">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 w15:restartNumberingAfterBreak="0">
    <w:nsid w:val="204248D0"/>
    <w:multiLevelType w:val="multilevel"/>
    <w:tmpl w:val="B2AC00B2"/>
    <w:lvl w:ilvl="0">
      <w:start w:val="1"/>
      <w:numFmt w:val="decimal"/>
      <w:pStyle w:val="NumberLevel1"/>
      <w:lvlText w:val="%1."/>
      <w:lvlJc w:val="left"/>
      <w:pPr>
        <w:tabs>
          <w:tab w:val="num" w:pos="567"/>
        </w:tabs>
        <w:ind w:left="567" w:hanging="567"/>
      </w:pPr>
      <w:rPr>
        <w:rFonts w:ascii="Times New Roman" w:hAnsi="Times New Roman" w:cs="Times New Roman" w:hint="default"/>
        <w:b w:val="0"/>
        <w:i w:val="0"/>
        <w:iCs w:val="0"/>
      </w:rPr>
    </w:lvl>
    <w:lvl w:ilvl="1">
      <w:start w:val="1"/>
      <w:numFmt w:val="decimal"/>
      <w:pStyle w:val="NumberLevel2"/>
      <w:lvlText w:val="%1.%2."/>
      <w:lvlJc w:val="left"/>
      <w:pPr>
        <w:tabs>
          <w:tab w:val="num" w:pos="1134"/>
        </w:tabs>
        <w:ind w:left="1134" w:hanging="567"/>
      </w:pPr>
      <w:rPr>
        <w:rFonts w:ascii="Times New Roman" w:hAnsi="Times New Roman" w:cs="Times New Roman" w:hint="default"/>
        <w:i w:val="0"/>
        <w:iCs w:val="0"/>
        <w:sz w:val="24"/>
        <w:szCs w:val="24"/>
      </w:rPr>
    </w:lvl>
    <w:lvl w:ilvl="2">
      <w:start w:val="1"/>
      <w:numFmt w:val="decimal"/>
      <w:pStyle w:val="NumberLevel3"/>
      <w:lvlText w:val="%1.%2.%3."/>
      <w:lvlJc w:val="left"/>
      <w:pPr>
        <w:tabs>
          <w:tab w:val="num" w:pos="1984"/>
        </w:tabs>
        <w:ind w:left="1984" w:hanging="850"/>
      </w:pPr>
    </w:lvl>
    <w:lvl w:ilvl="3">
      <w:start w:val="1"/>
      <w:numFmt w:val="decimal"/>
      <w:pStyle w:val="NumberLevel4"/>
      <w:lvlText w:val="%1.%2.%3.%4."/>
      <w:lvlJc w:val="left"/>
      <w:pPr>
        <w:tabs>
          <w:tab w:val="num" w:pos="2835"/>
        </w:tabs>
        <w:ind w:left="2835" w:hanging="851"/>
      </w:pPr>
    </w:lvl>
    <w:lvl w:ilvl="4">
      <w:start w:val="1"/>
      <w:numFmt w:val="decimal"/>
      <w:pStyle w:val="NumberLevel5"/>
      <w:lvlText w:val="%1.%2.%3.%4.%5."/>
      <w:lvlJc w:val="left"/>
      <w:pPr>
        <w:tabs>
          <w:tab w:val="num" w:pos="3969"/>
        </w:tabs>
        <w:ind w:left="3969" w:hanging="1134"/>
      </w:pPr>
    </w:lvl>
    <w:lvl w:ilvl="5">
      <w:start w:val="1"/>
      <w:numFmt w:val="decimal"/>
      <w:pStyle w:val="NumberLevel6"/>
      <w:lvlText w:val="%1.%2.%3.%4.%5.%6."/>
      <w:lvlJc w:val="left"/>
      <w:pPr>
        <w:tabs>
          <w:tab w:val="num" w:pos="5102"/>
        </w:tabs>
        <w:ind w:left="5102" w:hanging="1133"/>
      </w:pPr>
    </w:lvl>
    <w:lvl w:ilvl="6">
      <w:start w:val="1"/>
      <w:numFmt w:val="decimal"/>
      <w:pStyle w:val="NumberLevel7"/>
      <w:lvlText w:val="%1.%2.%3.%4.%5.%6.%7."/>
      <w:lvlJc w:val="left"/>
      <w:pPr>
        <w:tabs>
          <w:tab w:val="num" w:pos="6236"/>
        </w:tabs>
        <w:ind w:left="6236" w:hanging="1134"/>
      </w:pPr>
    </w:lvl>
    <w:lvl w:ilvl="7">
      <w:start w:val="1"/>
      <w:numFmt w:val="decimal"/>
      <w:pStyle w:val="NumberLevel8"/>
      <w:lvlText w:val="%1.%2.%3.%4.%5.%6.%7.%8."/>
      <w:lvlJc w:val="left"/>
      <w:pPr>
        <w:tabs>
          <w:tab w:val="num" w:pos="7370"/>
        </w:tabs>
        <w:ind w:left="7370" w:hanging="1134"/>
      </w:pPr>
    </w:lvl>
    <w:lvl w:ilvl="8">
      <w:start w:val="1"/>
      <w:numFmt w:val="decimal"/>
      <w:pStyle w:val="NumberLevel9"/>
      <w:lvlText w:val="%1.%2.%3.%4.%5.%6.%7.%8.%9."/>
      <w:lvlJc w:val="left"/>
      <w:pPr>
        <w:tabs>
          <w:tab w:val="num" w:pos="7370"/>
        </w:tabs>
        <w:ind w:left="7370" w:hanging="1134"/>
      </w:pPr>
    </w:lvl>
  </w:abstractNum>
  <w:abstractNum w:abstractNumId="2" w15:restartNumberingAfterBreak="0">
    <w:nsid w:val="27EF3549"/>
    <w:multiLevelType w:val="hybridMultilevel"/>
    <w:tmpl w:val="7898E21A"/>
    <w:lvl w:ilvl="0" w:tplc="E5F8EF5C">
      <w:start w:val="1"/>
      <w:numFmt w:val="decimal"/>
      <w:lvlText w:val="%1."/>
      <w:lvlJc w:val="left"/>
      <w:pPr>
        <w:ind w:left="720" w:hanging="360"/>
      </w:pPr>
      <w:rPr>
        <w:rFonts w:ascii="Times New Roman" w:hAnsi="Times New Roman" w:cs="Times New Roman" w:hint="default"/>
        <w:i w:val="0"/>
        <w:iCs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8CA0B18"/>
    <w:multiLevelType w:val="hybridMultilevel"/>
    <w:tmpl w:val="30DE3BA0"/>
    <w:lvl w:ilvl="0" w:tplc="DCEA84F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 w15:restartNumberingAfterBreak="0">
    <w:nsid w:val="379F13A8"/>
    <w:multiLevelType w:val="hybridMultilevel"/>
    <w:tmpl w:val="30C20BFA"/>
    <w:lvl w:ilvl="0" w:tplc="FEF49936">
      <w:start w:val="1"/>
      <w:numFmt w:val="lowerLetter"/>
      <w:lvlText w:val="(%1)"/>
      <w:lvlJc w:val="left"/>
      <w:pPr>
        <w:ind w:left="927" w:hanging="360"/>
      </w:pPr>
      <w:rPr>
        <w:rFonts w:hint="default"/>
        <w:i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15:restartNumberingAfterBreak="0">
    <w:nsid w:val="407D2DB9"/>
    <w:multiLevelType w:val="hybridMultilevel"/>
    <w:tmpl w:val="E4D8D744"/>
    <w:lvl w:ilvl="0" w:tplc="6DB674D0">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53FD4BC6"/>
    <w:multiLevelType w:val="multilevel"/>
    <w:tmpl w:val="34E0C89C"/>
    <w:name w:val="AGSPart"/>
    <w:lvl w:ilvl="0">
      <w:start w:val="1"/>
      <w:numFmt w:val="upperRoman"/>
      <w:pStyle w:val="PartHeading"/>
      <w:lvlText w:val="Part  %1"/>
      <w:lvlJc w:val="left"/>
      <w:pPr>
        <w:tabs>
          <w:tab w:val="num" w:pos="1134"/>
        </w:tabs>
        <w:ind w:left="1134" w:hanging="113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rPr>
        <w:b w:val="0"/>
        <w:bCs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B800C80"/>
    <w:multiLevelType w:val="hybridMultilevel"/>
    <w:tmpl w:val="79AADE14"/>
    <w:lvl w:ilvl="0" w:tplc="0C09000F">
      <w:start w:val="7"/>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1036DED"/>
    <w:multiLevelType w:val="hybridMultilevel"/>
    <w:tmpl w:val="A7026E30"/>
    <w:lvl w:ilvl="0" w:tplc="AA503928">
      <w:start w:val="1"/>
      <w:numFmt w:val="lowerLetter"/>
      <w:lvlText w:val="(%1)"/>
      <w:lvlJc w:val="left"/>
      <w:pPr>
        <w:ind w:left="927" w:hanging="360"/>
      </w:pPr>
      <w:rPr>
        <w:rFonts w:hint="default"/>
        <w:sz w:val="24"/>
        <w:szCs w:val="24"/>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77886544"/>
    <w:multiLevelType w:val="hybridMultilevel"/>
    <w:tmpl w:val="A7026E30"/>
    <w:lvl w:ilvl="0" w:tplc="FFFFFFFF">
      <w:start w:val="1"/>
      <w:numFmt w:val="lowerLetter"/>
      <w:lvlText w:val="(%1)"/>
      <w:lvlJc w:val="left"/>
      <w:pPr>
        <w:ind w:left="927" w:hanging="360"/>
      </w:pPr>
      <w:rPr>
        <w:rFonts w:hint="default"/>
        <w:sz w:val="24"/>
        <w:szCs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387215714">
    <w:abstractNumId w:val="1"/>
  </w:num>
  <w:num w:numId="2" w16cid:durableId="1447382711">
    <w:abstractNumId w:val="6"/>
  </w:num>
  <w:num w:numId="3" w16cid:durableId="1403680089">
    <w:abstractNumId w:val="5"/>
  </w:num>
  <w:num w:numId="4" w16cid:durableId="387726985">
    <w:abstractNumId w:val="0"/>
  </w:num>
  <w:num w:numId="5" w16cid:durableId="1876040166">
    <w:abstractNumId w:val="7"/>
  </w:num>
  <w:num w:numId="6" w16cid:durableId="230970966">
    <w:abstractNumId w:val="3"/>
  </w:num>
  <w:num w:numId="7" w16cid:durableId="882138281">
    <w:abstractNumId w:val="4"/>
  </w:num>
  <w:num w:numId="8" w16cid:durableId="863402620">
    <w:abstractNumId w:val="2"/>
  </w:num>
  <w:num w:numId="9" w16cid:durableId="1883903975">
    <w:abstractNumId w:val="1"/>
  </w:num>
  <w:num w:numId="10" w16cid:durableId="1939867411">
    <w:abstractNumId w:val="1"/>
  </w:num>
  <w:num w:numId="11" w16cid:durableId="589000270">
    <w:abstractNumId w:val="1"/>
  </w:num>
  <w:num w:numId="12" w16cid:durableId="563872601">
    <w:abstractNumId w:val="1"/>
  </w:num>
  <w:num w:numId="13" w16cid:durableId="1471165046">
    <w:abstractNumId w:val="1"/>
  </w:num>
  <w:num w:numId="14" w16cid:durableId="1646354797">
    <w:abstractNumId w:val="1"/>
  </w:num>
  <w:num w:numId="15" w16cid:durableId="1139032060">
    <w:abstractNumId w:val="1"/>
  </w:num>
  <w:num w:numId="16" w16cid:durableId="1394431476">
    <w:abstractNumId w:val="1"/>
  </w:num>
  <w:num w:numId="17" w16cid:durableId="1700885494">
    <w:abstractNumId w:val="1"/>
  </w:num>
  <w:num w:numId="18" w16cid:durableId="109865252">
    <w:abstractNumId w:val="1"/>
  </w:num>
  <w:num w:numId="19" w16cid:durableId="2044013873">
    <w:abstractNumId w:val="1"/>
  </w:num>
  <w:num w:numId="20" w16cid:durableId="245305280">
    <w:abstractNumId w:val="1"/>
  </w:num>
  <w:num w:numId="21" w16cid:durableId="2117630326">
    <w:abstractNumId w:val="1"/>
  </w:num>
  <w:num w:numId="22" w16cid:durableId="449671407">
    <w:abstractNumId w:val="1"/>
  </w:num>
  <w:num w:numId="23" w16cid:durableId="1478767094">
    <w:abstractNumId w:val="1"/>
  </w:num>
  <w:num w:numId="24" w16cid:durableId="165291307">
    <w:abstractNumId w:val="1"/>
  </w:num>
  <w:num w:numId="25" w16cid:durableId="2050949906">
    <w:abstractNumId w:val="1"/>
  </w:num>
  <w:num w:numId="26" w16cid:durableId="558055667">
    <w:abstractNumId w:val="1"/>
  </w:num>
  <w:num w:numId="27" w16cid:durableId="1731272280">
    <w:abstractNumId w:val="1"/>
  </w:num>
  <w:num w:numId="28" w16cid:durableId="1666125629">
    <w:abstractNumId w:val="1"/>
  </w:num>
  <w:num w:numId="29" w16cid:durableId="823468073">
    <w:abstractNumId w:val="1"/>
  </w:num>
  <w:num w:numId="30" w16cid:durableId="1591307343">
    <w:abstractNumId w:val="1"/>
  </w:num>
  <w:num w:numId="31" w16cid:durableId="944966548">
    <w:abstractNumId w:val="1"/>
  </w:num>
  <w:num w:numId="32" w16cid:durableId="1781298060">
    <w:abstractNumId w:val="1"/>
  </w:num>
  <w:num w:numId="33" w16cid:durableId="1537740808">
    <w:abstractNumId w:val="1"/>
  </w:num>
  <w:num w:numId="34" w16cid:durableId="1670014888">
    <w:abstractNumId w:val="1"/>
  </w:num>
  <w:num w:numId="35" w16cid:durableId="2033417645">
    <w:abstractNumId w:val="8"/>
  </w:num>
  <w:num w:numId="36" w16cid:durableId="1586914980">
    <w:abstractNumId w:val="1"/>
  </w:num>
  <w:num w:numId="37" w16cid:durableId="10784829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25"/>
    <w:rsid w:val="00011BB4"/>
    <w:rsid w:val="00014BA3"/>
    <w:rsid w:val="0002093F"/>
    <w:rsid w:val="00021387"/>
    <w:rsid w:val="00021DA2"/>
    <w:rsid w:val="00022D41"/>
    <w:rsid w:val="000246EE"/>
    <w:rsid w:val="0002476A"/>
    <w:rsid w:val="000256BA"/>
    <w:rsid w:val="00025CA2"/>
    <w:rsid w:val="00032334"/>
    <w:rsid w:val="00033F69"/>
    <w:rsid w:val="00035735"/>
    <w:rsid w:val="00036404"/>
    <w:rsid w:val="00037C9A"/>
    <w:rsid w:val="00042870"/>
    <w:rsid w:val="00042C9A"/>
    <w:rsid w:val="00053781"/>
    <w:rsid w:val="000565C4"/>
    <w:rsid w:val="000656E0"/>
    <w:rsid w:val="00070776"/>
    <w:rsid w:val="00072CB1"/>
    <w:rsid w:val="00074D75"/>
    <w:rsid w:val="00076144"/>
    <w:rsid w:val="000762D7"/>
    <w:rsid w:val="00083015"/>
    <w:rsid w:val="000855CC"/>
    <w:rsid w:val="00094A58"/>
    <w:rsid w:val="00096638"/>
    <w:rsid w:val="00097457"/>
    <w:rsid w:val="00097E8A"/>
    <w:rsid w:val="000A0C9B"/>
    <w:rsid w:val="000A423F"/>
    <w:rsid w:val="000A7C29"/>
    <w:rsid w:val="000B3454"/>
    <w:rsid w:val="000C706F"/>
    <w:rsid w:val="000D0203"/>
    <w:rsid w:val="000D3C88"/>
    <w:rsid w:val="000D4CB2"/>
    <w:rsid w:val="000D5E87"/>
    <w:rsid w:val="000D7B1C"/>
    <w:rsid w:val="000E1F75"/>
    <w:rsid w:val="000E3233"/>
    <w:rsid w:val="000E5190"/>
    <w:rsid w:val="000E5839"/>
    <w:rsid w:val="000E6E3E"/>
    <w:rsid w:val="000F0142"/>
    <w:rsid w:val="000F03AE"/>
    <w:rsid w:val="000F3B3D"/>
    <w:rsid w:val="00101380"/>
    <w:rsid w:val="001061A8"/>
    <w:rsid w:val="0010736C"/>
    <w:rsid w:val="00110776"/>
    <w:rsid w:val="00111C51"/>
    <w:rsid w:val="00120F56"/>
    <w:rsid w:val="00121D85"/>
    <w:rsid w:val="00125C74"/>
    <w:rsid w:val="001303B4"/>
    <w:rsid w:val="00131766"/>
    <w:rsid w:val="001317A5"/>
    <w:rsid w:val="001333FB"/>
    <w:rsid w:val="0013419C"/>
    <w:rsid w:val="0013755C"/>
    <w:rsid w:val="00140ACD"/>
    <w:rsid w:val="00151B3B"/>
    <w:rsid w:val="001545C7"/>
    <w:rsid w:val="001661A6"/>
    <w:rsid w:val="00166352"/>
    <w:rsid w:val="0017490A"/>
    <w:rsid w:val="00180EA0"/>
    <w:rsid w:val="0018116A"/>
    <w:rsid w:val="001813BA"/>
    <w:rsid w:val="00181BA7"/>
    <w:rsid w:val="0019120F"/>
    <w:rsid w:val="00191675"/>
    <w:rsid w:val="0019193C"/>
    <w:rsid w:val="00192EE6"/>
    <w:rsid w:val="00194131"/>
    <w:rsid w:val="00194A02"/>
    <w:rsid w:val="0019786A"/>
    <w:rsid w:val="001A2E3C"/>
    <w:rsid w:val="001A4DA2"/>
    <w:rsid w:val="001A663F"/>
    <w:rsid w:val="001B1952"/>
    <w:rsid w:val="001B1AE8"/>
    <w:rsid w:val="001B1B05"/>
    <w:rsid w:val="001B3579"/>
    <w:rsid w:val="001C41A0"/>
    <w:rsid w:val="001C4F53"/>
    <w:rsid w:val="001C5C72"/>
    <w:rsid w:val="001D448C"/>
    <w:rsid w:val="001D4666"/>
    <w:rsid w:val="001F0960"/>
    <w:rsid w:val="001F1719"/>
    <w:rsid w:val="001F1EEB"/>
    <w:rsid w:val="001F1FC0"/>
    <w:rsid w:val="001F5F8B"/>
    <w:rsid w:val="0020161B"/>
    <w:rsid w:val="002019CD"/>
    <w:rsid w:val="00207EEE"/>
    <w:rsid w:val="00216542"/>
    <w:rsid w:val="00217217"/>
    <w:rsid w:val="002305E5"/>
    <w:rsid w:val="00230F9B"/>
    <w:rsid w:val="00235E3A"/>
    <w:rsid w:val="00237D8F"/>
    <w:rsid w:val="00242795"/>
    <w:rsid w:val="00244224"/>
    <w:rsid w:val="00244BBF"/>
    <w:rsid w:val="00244F7F"/>
    <w:rsid w:val="00245106"/>
    <w:rsid w:val="00250C1D"/>
    <w:rsid w:val="00255BD8"/>
    <w:rsid w:val="00260DAD"/>
    <w:rsid w:val="0026502B"/>
    <w:rsid w:val="002708C0"/>
    <w:rsid w:val="0027351A"/>
    <w:rsid w:val="00274447"/>
    <w:rsid w:val="00283561"/>
    <w:rsid w:val="00283CFB"/>
    <w:rsid w:val="002844D1"/>
    <w:rsid w:val="0028476D"/>
    <w:rsid w:val="002865D0"/>
    <w:rsid w:val="002866B2"/>
    <w:rsid w:val="00291007"/>
    <w:rsid w:val="0029254F"/>
    <w:rsid w:val="00295D39"/>
    <w:rsid w:val="002969C4"/>
    <w:rsid w:val="002A2B5F"/>
    <w:rsid w:val="002A3F5F"/>
    <w:rsid w:val="002B0E05"/>
    <w:rsid w:val="002B1E69"/>
    <w:rsid w:val="002B6725"/>
    <w:rsid w:val="002C134C"/>
    <w:rsid w:val="002C45F2"/>
    <w:rsid w:val="002C57C7"/>
    <w:rsid w:val="002C5817"/>
    <w:rsid w:val="002D18A9"/>
    <w:rsid w:val="002D1D58"/>
    <w:rsid w:val="002E1071"/>
    <w:rsid w:val="002E665D"/>
    <w:rsid w:val="002E697D"/>
    <w:rsid w:val="002E750D"/>
    <w:rsid w:val="003021F1"/>
    <w:rsid w:val="00304CF6"/>
    <w:rsid w:val="00306DEC"/>
    <w:rsid w:val="00310CEA"/>
    <w:rsid w:val="00314402"/>
    <w:rsid w:val="0031736F"/>
    <w:rsid w:val="00321385"/>
    <w:rsid w:val="00322438"/>
    <w:rsid w:val="00322B24"/>
    <w:rsid w:val="003240E8"/>
    <w:rsid w:val="00327789"/>
    <w:rsid w:val="00332CB7"/>
    <w:rsid w:val="003356C5"/>
    <w:rsid w:val="00335DE7"/>
    <w:rsid w:val="003360EA"/>
    <w:rsid w:val="00337A0D"/>
    <w:rsid w:val="00351187"/>
    <w:rsid w:val="00353CF1"/>
    <w:rsid w:val="0035584F"/>
    <w:rsid w:val="00360AA9"/>
    <w:rsid w:val="003745A0"/>
    <w:rsid w:val="00384CFC"/>
    <w:rsid w:val="00385F42"/>
    <w:rsid w:val="00390FA9"/>
    <w:rsid w:val="003B0271"/>
    <w:rsid w:val="003B0BDC"/>
    <w:rsid w:val="003B13EC"/>
    <w:rsid w:val="003B6D7C"/>
    <w:rsid w:val="003C0020"/>
    <w:rsid w:val="003C1FC5"/>
    <w:rsid w:val="003C31A7"/>
    <w:rsid w:val="003C3FAB"/>
    <w:rsid w:val="003C6152"/>
    <w:rsid w:val="003C7A29"/>
    <w:rsid w:val="003E3E5A"/>
    <w:rsid w:val="003F0F1D"/>
    <w:rsid w:val="003F17F2"/>
    <w:rsid w:val="00401345"/>
    <w:rsid w:val="00403DA7"/>
    <w:rsid w:val="00405954"/>
    <w:rsid w:val="0040759B"/>
    <w:rsid w:val="00410207"/>
    <w:rsid w:val="00411309"/>
    <w:rsid w:val="00412355"/>
    <w:rsid w:val="0041335C"/>
    <w:rsid w:val="00414E28"/>
    <w:rsid w:val="00415360"/>
    <w:rsid w:val="004178A9"/>
    <w:rsid w:val="00420199"/>
    <w:rsid w:val="00421570"/>
    <w:rsid w:val="00421969"/>
    <w:rsid w:val="00422F66"/>
    <w:rsid w:val="0042320B"/>
    <w:rsid w:val="004259BA"/>
    <w:rsid w:val="004269B8"/>
    <w:rsid w:val="00433182"/>
    <w:rsid w:val="004339F4"/>
    <w:rsid w:val="00436884"/>
    <w:rsid w:val="004369CC"/>
    <w:rsid w:val="00440E2C"/>
    <w:rsid w:val="004578A4"/>
    <w:rsid w:val="00461042"/>
    <w:rsid w:val="0046389B"/>
    <w:rsid w:val="00463A89"/>
    <w:rsid w:val="00465353"/>
    <w:rsid w:val="004706A7"/>
    <w:rsid w:val="00470C36"/>
    <w:rsid w:val="00471C89"/>
    <w:rsid w:val="00481621"/>
    <w:rsid w:val="00482D3F"/>
    <w:rsid w:val="0048768C"/>
    <w:rsid w:val="00490F24"/>
    <w:rsid w:val="004975D2"/>
    <w:rsid w:val="004A0D3E"/>
    <w:rsid w:val="004B2745"/>
    <w:rsid w:val="004B2C9B"/>
    <w:rsid w:val="004B31E2"/>
    <w:rsid w:val="004C413C"/>
    <w:rsid w:val="004C7620"/>
    <w:rsid w:val="004D1BF3"/>
    <w:rsid w:val="004D2622"/>
    <w:rsid w:val="004D3E1B"/>
    <w:rsid w:val="004D4D83"/>
    <w:rsid w:val="004E0779"/>
    <w:rsid w:val="004E28ED"/>
    <w:rsid w:val="004E6A13"/>
    <w:rsid w:val="004F05ED"/>
    <w:rsid w:val="004F12FE"/>
    <w:rsid w:val="004F4494"/>
    <w:rsid w:val="004F643D"/>
    <w:rsid w:val="00500322"/>
    <w:rsid w:val="0050087D"/>
    <w:rsid w:val="00503925"/>
    <w:rsid w:val="005143EE"/>
    <w:rsid w:val="00515295"/>
    <w:rsid w:val="00516297"/>
    <w:rsid w:val="00516DD6"/>
    <w:rsid w:val="0052494A"/>
    <w:rsid w:val="005268D9"/>
    <w:rsid w:val="00530E40"/>
    <w:rsid w:val="00531499"/>
    <w:rsid w:val="005334D5"/>
    <w:rsid w:val="00543545"/>
    <w:rsid w:val="00550B04"/>
    <w:rsid w:val="00550B3D"/>
    <w:rsid w:val="005579A0"/>
    <w:rsid w:val="0056067F"/>
    <w:rsid w:val="00561C44"/>
    <w:rsid w:val="005670C4"/>
    <w:rsid w:val="0057149F"/>
    <w:rsid w:val="00574421"/>
    <w:rsid w:val="00576C3B"/>
    <w:rsid w:val="0057738A"/>
    <w:rsid w:val="0059623A"/>
    <w:rsid w:val="005A2A6C"/>
    <w:rsid w:val="005B27F7"/>
    <w:rsid w:val="005B4BAB"/>
    <w:rsid w:val="005C2C5D"/>
    <w:rsid w:val="005C5F54"/>
    <w:rsid w:val="005C77F0"/>
    <w:rsid w:val="005D36FC"/>
    <w:rsid w:val="005D5437"/>
    <w:rsid w:val="005D6873"/>
    <w:rsid w:val="005F681C"/>
    <w:rsid w:val="006016D0"/>
    <w:rsid w:val="00604B23"/>
    <w:rsid w:val="0060578C"/>
    <w:rsid w:val="006106D3"/>
    <w:rsid w:val="00613680"/>
    <w:rsid w:val="006151ED"/>
    <w:rsid w:val="00616D14"/>
    <w:rsid w:val="00620C7F"/>
    <w:rsid w:val="006217D1"/>
    <w:rsid w:val="00621ACD"/>
    <w:rsid w:val="00623D18"/>
    <w:rsid w:val="0063745D"/>
    <w:rsid w:val="006411F5"/>
    <w:rsid w:val="006451EB"/>
    <w:rsid w:val="0065020D"/>
    <w:rsid w:val="0065036F"/>
    <w:rsid w:val="00650F8F"/>
    <w:rsid w:val="00651DEF"/>
    <w:rsid w:val="006559F9"/>
    <w:rsid w:val="006570ED"/>
    <w:rsid w:val="006631A0"/>
    <w:rsid w:val="0067142C"/>
    <w:rsid w:val="00672E1E"/>
    <w:rsid w:val="00686ED4"/>
    <w:rsid w:val="006918AA"/>
    <w:rsid w:val="0069592F"/>
    <w:rsid w:val="0069674E"/>
    <w:rsid w:val="00696979"/>
    <w:rsid w:val="006B283C"/>
    <w:rsid w:val="006B41E5"/>
    <w:rsid w:val="006B56CF"/>
    <w:rsid w:val="006B6D39"/>
    <w:rsid w:val="006C1C2E"/>
    <w:rsid w:val="006C2B23"/>
    <w:rsid w:val="006C5AD1"/>
    <w:rsid w:val="006C6C03"/>
    <w:rsid w:val="006D6F11"/>
    <w:rsid w:val="006D77FC"/>
    <w:rsid w:val="006E3103"/>
    <w:rsid w:val="006E4133"/>
    <w:rsid w:val="006E6190"/>
    <w:rsid w:val="006F7318"/>
    <w:rsid w:val="007009F6"/>
    <w:rsid w:val="00703C28"/>
    <w:rsid w:val="00705C41"/>
    <w:rsid w:val="00710F79"/>
    <w:rsid w:val="0071155D"/>
    <w:rsid w:val="007205EA"/>
    <w:rsid w:val="00720E99"/>
    <w:rsid w:val="00733453"/>
    <w:rsid w:val="00734FF0"/>
    <w:rsid w:val="007360B0"/>
    <w:rsid w:val="00746051"/>
    <w:rsid w:val="00754CDD"/>
    <w:rsid w:val="00756D79"/>
    <w:rsid w:val="00761CC9"/>
    <w:rsid w:val="00766F5E"/>
    <w:rsid w:val="00767021"/>
    <w:rsid w:val="00772AC1"/>
    <w:rsid w:val="00777F69"/>
    <w:rsid w:val="0078064E"/>
    <w:rsid w:val="0078667F"/>
    <w:rsid w:val="00791C5C"/>
    <w:rsid w:val="00792B47"/>
    <w:rsid w:val="007A39DA"/>
    <w:rsid w:val="007A3C52"/>
    <w:rsid w:val="007A7F54"/>
    <w:rsid w:val="007B45D7"/>
    <w:rsid w:val="007B6273"/>
    <w:rsid w:val="007E34EB"/>
    <w:rsid w:val="007E3646"/>
    <w:rsid w:val="007E517E"/>
    <w:rsid w:val="007E7353"/>
    <w:rsid w:val="007F2F01"/>
    <w:rsid w:val="00805B22"/>
    <w:rsid w:val="008075DF"/>
    <w:rsid w:val="008103EC"/>
    <w:rsid w:val="0081168E"/>
    <w:rsid w:val="0081593C"/>
    <w:rsid w:val="0081711F"/>
    <w:rsid w:val="00820FED"/>
    <w:rsid w:val="00825252"/>
    <w:rsid w:val="00830FB5"/>
    <w:rsid w:val="008357DC"/>
    <w:rsid w:val="00843C20"/>
    <w:rsid w:val="00860D5E"/>
    <w:rsid w:val="008612B9"/>
    <w:rsid w:val="0086221F"/>
    <w:rsid w:val="00862857"/>
    <w:rsid w:val="0086381B"/>
    <w:rsid w:val="00877B7A"/>
    <w:rsid w:val="00882938"/>
    <w:rsid w:val="008848D2"/>
    <w:rsid w:val="00887B17"/>
    <w:rsid w:val="00892565"/>
    <w:rsid w:val="008A19A4"/>
    <w:rsid w:val="008A2561"/>
    <w:rsid w:val="008A3B04"/>
    <w:rsid w:val="008C27F2"/>
    <w:rsid w:val="008C2ACC"/>
    <w:rsid w:val="008C2D7F"/>
    <w:rsid w:val="008C66C9"/>
    <w:rsid w:val="008D144B"/>
    <w:rsid w:val="008D5B9B"/>
    <w:rsid w:val="008D7B81"/>
    <w:rsid w:val="008E3270"/>
    <w:rsid w:val="008F147A"/>
    <w:rsid w:val="008F352B"/>
    <w:rsid w:val="00901952"/>
    <w:rsid w:val="00902067"/>
    <w:rsid w:val="009042C8"/>
    <w:rsid w:val="009042F0"/>
    <w:rsid w:val="00906D13"/>
    <w:rsid w:val="009071A3"/>
    <w:rsid w:val="00913C2A"/>
    <w:rsid w:val="009170B3"/>
    <w:rsid w:val="00921FA3"/>
    <w:rsid w:val="009333D0"/>
    <w:rsid w:val="009350BB"/>
    <w:rsid w:val="00940260"/>
    <w:rsid w:val="00941B72"/>
    <w:rsid w:val="009506EC"/>
    <w:rsid w:val="00952A32"/>
    <w:rsid w:val="009571E2"/>
    <w:rsid w:val="009614FF"/>
    <w:rsid w:val="0097149B"/>
    <w:rsid w:val="00974455"/>
    <w:rsid w:val="0097614F"/>
    <w:rsid w:val="009777A3"/>
    <w:rsid w:val="00984C96"/>
    <w:rsid w:val="00985AB6"/>
    <w:rsid w:val="00991923"/>
    <w:rsid w:val="00993A38"/>
    <w:rsid w:val="0099405F"/>
    <w:rsid w:val="009968B5"/>
    <w:rsid w:val="009A0958"/>
    <w:rsid w:val="009A4E17"/>
    <w:rsid w:val="009B0D3F"/>
    <w:rsid w:val="009B44D2"/>
    <w:rsid w:val="009B51FF"/>
    <w:rsid w:val="009C11E4"/>
    <w:rsid w:val="009C1766"/>
    <w:rsid w:val="009C3DB7"/>
    <w:rsid w:val="009C6C5A"/>
    <w:rsid w:val="009D08BB"/>
    <w:rsid w:val="009D29FA"/>
    <w:rsid w:val="009D62A4"/>
    <w:rsid w:val="009E23F7"/>
    <w:rsid w:val="009E2C82"/>
    <w:rsid w:val="009E32B2"/>
    <w:rsid w:val="009E5041"/>
    <w:rsid w:val="009F69BA"/>
    <w:rsid w:val="009F7B69"/>
    <w:rsid w:val="00A00E22"/>
    <w:rsid w:val="00A01883"/>
    <w:rsid w:val="00A102AE"/>
    <w:rsid w:val="00A116DA"/>
    <w:rsid w:val="00A1171B"/>
    <w:rsid w:val="00A13DB8"/>
    <w:rsid w:val="00A14361"/>
    <w:rsid w:val="00A153D9"/>
    <w:rsid w:val="00A21210"/>
    <w:rsid w:val="00A25737"/>
    <w:rsid w:val="00A275C2"/>
    <w:rsid w:val="00A3070A"/>
    <w:rsid w:val="00A30A1F"/>
    <w:rsid w:val="00A33ADC"/>
    <w:rsid w:val="00A35355"/>
    <w:rsid w:val="00A35CA2"/>
    <w:rsid w:val="00A37BE0"/>
    <w:rsid w:val="00A425E2"/>
    <w:rsid w:val="00A42781"/>
    <w:rsid w:val="00A46438"/>
    <w:rsid w:val="00A4711B"/>
    <w:rsid w:val="00A528C3"/>
    <w:rsid w:val="00A566E0"/>
    <w:rsid w:val="00A6109C"/>
    <w:rsid w:val="00A64306"/>
    <w:rsid w:val="00A647D0"/>
    <w:rsid w:val="00A70405"/>
    <w:rsid w:val="00A73B87"/>
    <w:rsid w:val="00A74284"/>
    <w:rsid w:val="00A8042D"/>
    <w:rsid w:val="00A805C9"/>
    <w:rsid w:val="00A8396D"/>
    <w:rsid w:val="00A93BDB"/>
    <w:rsid w:val="00AB0AB2"/>
    <w:rsid w:val="00AB69F4"/>
    <w:rsid w:val="00AC10AE"/>
    <w:rsid w:val="00AC2000"/>
    <w:rsid w:val="00AD193D"/>
    <w:rsid w:val="00AD27C6"/>
    <w:rsid w:val="00AD6B7E"/>
    <w:rsid w:val="00AE3062"/>
    <w:rsid w:val="00AE3F47"/>
    <w:rsid w:val="00AF0BC0"/>
    <w:rsid w:val="00AF0D08"/>
    <w:rsid w:val="00AF5657"/>
    <w:rsid w:val="00AF68BB"/>
    <w:rsid w:val="00AF6EA9"/>
    <w:rsid w:val="00B030CF"/>
    <w:rsid w:val="00B07A10"/>
    <w:rsid w:val="00B1003F"/>
    <w:rsid w:val="00B10D91"/>
    <w:rsid w:val="00B14B0B"/>
    <w:rsid w:val="00B14E9B"/>
    <w:rsid w:val="00B179D4"/>
    <w:rsid w:val="00B21B9C"/>
    <w:rsid w:val="00B220DF"/>
    <w:rsid w:val="00B23517"/>
    <w:rsid w:val="00B26770"/>
    <w:rsid w:val="00B30323"/>
    <w:rsid w:val="00B316B9"/>
    <w:rsid w:val="00B32459"/>
    <w:rsid w:val="00B327FC"/>
    <w:rsid w:val="00B3280B"/>
    <w:rsid w:val="00B3632E"/>
    <w:rsid w:val="00B50DA7"/>
    <w:rsid w:val="00B52A70"/>
    <w:rsid w:val="00B631F4"/>
    <w:rsid w:val="00B648B3"/>
    <w:rsid w:val="00B65403"/>
    <w:rsid w:val="00B722CC"/>
    <w:rsid w:val="00B873C7"/>
    <w:rsid w:val="00B91EAB"/>
    <w:rsid w:val="00B93243"/>
    <w:rsid w:val="00B941C1"/>
    <w:rsid w:val="00B95579"/>
    <w:rsid w:val="00BA4A01"/>
    <w:rsid w:val="00BB41B4"/>
    <w:rsid w:val="00BB4FC6"/>
    <w:rsid w:val="00BC40F9"/>
    <w:rsid w:val="00BC494F"/>
    <w:rsid w:val="00BD100B"/>
    <w:rsid w:val="00BD1AAD"/>
    <w:rsid w:val="00BE0578"/>
    <w:rsid w:val="00BE2451"/>
    <w:rsid w:val="00BF0226"/>
    <w:rsid w:val="00BF33CB"/>
    <w:rsid w:val="00BF5570"/>
    <w:rsid w:val="00C030F0"/>
    <w:rsid w:val="00C05B72"/>
    <w:rsid w:val="00C07188"/>
    <w:rsid w:val="00C16CCF"/>
    <w:rsid w:val="00C21E82"/>
    <w:rsid w:val="00C23EF0"/>
    <w:rsid w:val="00C2458E"/>
    <w:rsid w:val="00C25195"/>
    <w:rsid w:val="00C253F5"/>
    <w:rsid w:val="00C3341D"/>
    <w:rsid w:val="00C3658E"/>
    <w:rsid w:val="00C365A1"/>
    <w:rsid w:val="00C520A4"/>
    <w:rsid w:val="00C53E68"/>
    <w:rsid w:val="00C54BE4"/>
    <w:rsid w:val="00C5655C"/>
    <w:rsid w:val="00C56EED"/>
    <w:rsid w:val="00C5768C"/>
    <w:rsid w:val="00C60389"/>
    <w:rsid w:val="00C61321"/>
    <w:rsid w:val="00C62514"/>
    <w:rsid w:val="00C6271F"/>
    <w:rsid w:val="00C62ADD"/>
    <w:rsid w:val="00C62C92"/>
    <w:rsid w:val="00C67C0C"/>
    <w:rsid w:val="00C7748B"/>
    <w:rsid w:val="00C77AAE"/>
    <w:rsid w:val="00C77CDB"/>
    <w:rsid w:val="00C83D33"/>
    <w:rsid w:val="00C877E0"/>
    <w:rsid w:val="00C976AC"/>
    <w:rsid w:val="00C97D83"/>
    <w:rsid w:val="00CA05A8"/>
    <w:rsid w:val="00CA09C9"/>
    <w:rsid w:val="00CA13A4"/>
    <w:rsid w:val="00CB5AB5"/>
    <w:rsid w:val="00CC05C7"/>
    <w:rsid w:val="00CC1407"/>
    <w:rsid w:val="00CC64F8"/>
    <w:rsid w:val="00CC6C06"/>
    <w:rsid w:val="00CD1B41"/>
    <w:rsid w:val="00CD7553"/>
    <w:rsid w:val="00CE03BC"/>
    <w:rsid w:val="00CE1F94"/>
    <w:rsid w:val="00CE31BC"/>
    <w:rsid w:val="00CE7B1A"/>
    <w:rsid w:val="00CE7D33"/>
    <w:rsid w:val="00CF1158"/>
    <w:rsid w:val="00CF46A0"/>
    <w:rsid w:val="00CF4EDC"/>
    <w:rsid w:val="00CF4F2A"/>
    <w:rsid w:val="00CF7C33"/>
    <w:rsid w:val="00D00EC3"/>
    <w:rsid w:val="00D012A1"/>
    <w:rsid w:val="00D0322C"/>
    <w:rsid w:val="00D03F89"/>
    <w:rsid w:val="00D04EF8"/>
    <w:rsid w:val="00D0545E"/>
    <w:rsid w:val="00D058F3"/>
    <w:rsid w:val="00D10321"/>
    <w:rsid w:val="00D13C18"/>
    <w:rsid w:val="00D1772C"/>
    <w:rsid w:val="00D17A28"/>
    <w:rsid w:val="00D20FF7"/>
    <w:rsid w:val="00D21502"/>
    <w:rsid w:val="00D21AB2"/>
    <w:rsid w:val="00D238F5"/>
    <w:rsid w:val="00D23C17"/>
    <w:rsid w:val="00D265CB"/>
    <w:rsid w:val="00D27E7F"/>
    <w:rsid w:val="00D30E25"/>
    <w:rsid w:val="00D321D5"/>
    <w:rsid w:val="00D33160"/>
    <w:rsid w:val="00D41DC3"/>
    <w:rsid w:val="00D43B12"/>
    <w:rsid w:val="00D44726"/>
    <w:rsid w:val="00D54A6D"/>
    <w:rsid w:val="00D55D37"/>
    <w:rsid w:val="00D576CD"/>
    <w:rsid w:val="00D60440"/>
    <w:rsid w:val="00D62A45"/>
    <w:rsid w:val="00D63C57"/>
    <w:rsid w:val="00D65FE0"/>
    <w:rsid w:val="00D734E0"/>
    <w:rsid w:val="00D7555D"/>
    <w:rsid w:val="00D77094"/>
    <w:rsid w:val="00D777B1"/>
    <w:rsid w:val="00D875CD"/>
    <w:rsid w:val="00D9106C"/>
    <w:rsid w:val="00D948E5"/>
    <w:rsid w:val="00DA1B33"/>
    <w:rsid w:val="00DA24CF"/>
    <w:rsid w:val="00DA38A1"/>
    <w:rsid w:val="00DB3BF3"/>
    <w:rsid w:val="00DB4319"/>
    <w:rsid w:val="00DB7F1E"/>
    <w:rsid w:val="00DC5A9B"/>
    <w:rsid w:val="00DD1D3F"/>
    <w:rsid w:val="00DE23F5"/>
    <w:rsid w:val="00DE53A0"/>
    <w:rsid w:val="00DF226A"/>
    <w:rsid w:val="00DF54BE"/>
    <w:rsid w:val="00E00FDB"/>
    <w:rsid w:val="00E03E7A"/>
    <w:rsid w:val="00E03FD0"/>
    <w:rsid w:val="00E0478F"/>
    <w:rsid w:val="00E1460B"/>
    <w:rsid w:val="00E1506F"/>
    <w:rsid w:val="00E21E5F"/>
    <w:rsid w:val="00E22EE7"/>
    <w:rsid w:val="00E23FE2"/>
    <w:rsid w:val="00E252CC"/>
    <w:rsid w:val="00E258ED"/>
    <w:rsid w:val="00E26F11"/>
    <w:rsid w:val="00E27866"/>
    <w:rsid w:val="00E31923"/>
    <w:rsid w:val="00E3240D"/>
    <w:rsid w:val="00E45A8C"/>
    <w:rsid w:val="00E45C08"/>
    <w:rsid w:val="00E501D2"/>
    <w:rsid w:val="00E535EA"/>
    <w:rsid w:val="00E55718"/>
    <w:rsid w:val="00E60395"/>
    <w:rsid w:val="00E62753"/>
    <w:rsid w:val="00E644B3"/>
    <w:rsid w:val="00E7293B"/>
    <w:rsid w:val="00E73F6A"/>
    <w:rsid w:val="00E76E6F"/>
    <w:rsid w:val="00E779A4"/>
    <w:rsid w:val="00E81563"/>
    <w:rsid w:val="00E85E73"/>
    <w:rsid w:val="00E8634F"/>
    <w:rsid w:val="00E92011"/>
    <w:rsid w:val="00E9209C"/>
    <w:rsid w:val="00E9238B"/>
    <w:rsid w:val="00E92F91"/>
    <w:rsid w:val="00E93A12"/>
    <w:rsid w:val="00E960A0"/>
    <w:rsid w:val="00E96A7E"/>
    <w:rsid w:val="00EA4B4F"/>
    <w:rsid w:val="00EB0EA7"/>
    <w:rsid w:val="00EB1B5D"/>
    <w:rsid w:val="00EB577F"/>
    <w:rsid w:val="00EB6DFF"/>
    <w:rsid w:val="00ED353A"/>
    <w:rsid w:val="00ED6CB3"/>
    <w:rsid w:val="00ED6CC6"/>
    <w:rsid w:val="00ED70CE"/>
    <w:rsid w:val="00EF09A3"/>
    <w:rsid w:val="00EF33DE"/>
    <w:rsid w:val="00EF3627"/>
    <w:rsid w:val="00EF3F39"/>
    <w:rsid w:val="00F012E8"/>
    <w:rsid w:val="00F02314"/>
    <w:rsid w:val="00F06797"/>
    <w:rsid w:val="00F07C0B"/>
    <w:rsid w:val="00F22C73"/>
    <w:rsid w:val="00F22D38"/>
    <w:rsid w:val="00F22DBE"/>
    <w:rsid w:val="00F33F47"/>
    <w:rsid w:val="00F34460"/>
    <w:rsid w:val="00F34DFC"/>
    <w:rsid w:val="00F41504"/>
    <w:rsid w:val="00F416F7"/>
    <w:rsid w:val="00F43916"/>
    <w:rsid w:val="00F508E7"/>
    <w:rsid w:val="00F51E03"/>
    <w:rsid w:val="00F55DF0"/>
    <w:rsid w:val="00F63C9E"/>
    <w:rsid w:val="00F63E72"/>
    <w:rsid w:val="00F647E9"/>
    <w:rsid w:val="00F67688"/>
    <w:rsid w:val="00F70258"/>
    <w:rsid w:val="00F712F2"/>
    <w:rsid w:val="00F715A5"/>
    <w:rsid w:val="00F74151"/>
    <w:rsid w:val="00F8421A"/>
    <w:rsid w:val="00F86401"/>
    <w:rsid w:val="00F904E4"/>
    <w:rsid w:val="00F92399"/>
    <w:rsid w:val="00F941D1"/>
    <w:rsid w:val="00F96446"/>
    <w:rsid w:val="00FA083B"/>
    <w:rsid w:val="00FA57A5"/>
    <w:rsid w:val="00FB60E7"/>
    <w:rsid w:val="00FB7CA6"/>
    <w:rsid w:val="00FB7DB1"/>
    <w:rsid w:val="00FC1DB9"/>
    <w:rsid w:val="00FC3882"/>
    <w:rsid w:val="00FC3934"/>
    <w:rsid w:val="00FD016D"/>
    <w:rsid w:val="00FD31B8"/>
    <w:rsid w:val="00FD46AC"/>
    <w:rsid w:val="00FD5300"/>
    <w:rsid w:val="00FD7FA0"/>
    <w:rsid w:val="00FE100F"/>
    <w:rsid w:val="00FE1810"/>
    <w:rsid w:val="00FE30DC"/>
    <w:rsid w:val="00FF26D1"/>
    <w:rsid w:val="00FF5B41"/>
    <w:rsid w:val="00FF6B2F"/>
    <w:rsid w:val="00FF7A18"/>
    <w:rsid w:val="00FF7BD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9C7C7"/>
  <w15:chartTrackingRefBased/>
  <w15:docId w15:val="{B4D8FD4F-BC83-4309-9BEE-651A8B81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725"/>
    <w:pPr>
      <w:spacing w:after="0" w:line="240" w:lineRule="auto"/>
    </w:pPr>
    <w:rPr>
      <w:rFonts w:ascii="Times New Roman" w:eastAsia="Times New Roman" w:hAnsi="Times New Roman" w:cs="Arial"/>
      <w:kern w:val="0"/>
      <w:sz w:val="24"/>
      <w:szCs w:val="24"/>
      <w:lang w:val="en-US" w:bidi="ar-SA"/>
      <w14:ligatures w14:val="none"/>
    </w:rPr>
  </w:style>
  <w:style w:type="paragraph" w:styleId="Heading1">
    <w:name w:val="heading 1"/>
    <w:basedOn w:val="Normal"/>
    <w:next w:val="Normal"/>
    <w:link w:val="Heading1Char"/>
    <w:uiPriority w:val="9"/>
    <w:qFormat/>
    <w:rsid w:val="002B672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2B672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2B672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2B6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7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7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7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7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72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2B672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2B672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2B6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725"/>
    <w:rPr>
      <w:rFonts w:eastAsiaTheme="majorEastAsia" w:cstheme="majorBidi"/>
      <w:color w:val="272727" w:themeColor="text1" w:themeTint="D8"/>
    </w:rPr>
  </w:style>
  <w:style w:type="paragraph" w:styleId="Title">
    <w:name w:val="Title"/>
    <w:basedOn w:val="Normal"/>
    <w:next w:val="Normal"/>
    <w:link w:val="TitleChar"/>
    <w:uiPriority w:val="10"/>
    <w:qFormat/>
    <w:rsid w:val="002B6725"/>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B672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B672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B672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B6725"/>
    <w:pPr>
      <w:spacing w:before="160"/>
      <w:jc w:val="center"/>
    </w:pPr>
    <w:rPr>
      <w:i/>
      <w:iCs/>
      <w:color w:val="404040" w:themeColor="text1" w:themeTint="BF"/>
    </w:rPr>
  </w:style>
  <w:style w:type="character" w:customStyle="1" w:styleId="QuoteChar">
    <w:name w:val="Quote Char"/>
    <w:basedOn w:val="DefaultParagraphFont"/>
    <w:link w:val="Quote"/>
    <w:uiPriority w:val="29"/>
    <w:rsid w:val="002B6725"/>
    <w:rPr>
      <w:i/>
      <w:iCs/>
      <w:color w:val="404040" w:themeColor="text1" w:themeTint="BF"/>
    </w:rPr>
  </w:style>
  <w:style w:type="paragraph" w:styleId="ListParagraph">
    <w:name w:val="List Paragraph"/>
    <w:basedOn w:val="Normal"/>
    <w:uiPriority w:val="34"/>
    <w:qFormat/>
    <w:rsid w:val="002B6725"/>
    <w:pPr>
      <w:ind w:left="720"/>
      <w:contextualSpacing/>
    </w:pPr>
  </w:style>
  <w:style w:type="character" w:styleId="IntenseEmphasis">
    <w:name w:val="Intense Emphasis"/>
    <w:basedOn w:val="DefaultParagraphFont"/>
    <w:uiPriority w:val="21"/>
    <w:qFormat/>
    <w:rsid w:val="002B6725"/>
    <w:rPr>
      <w:i/>
      <w:iCs/>
      <w:color w:val="0F4761" w:themeColor="accent1" w:themeShade="BF"/>
    </w:rPr>
  </w:style>
  <w:style w:type="paragraph" w:styleId="IntenseQuote">
    <w:name w:val="Intense Quote"/>
    <w:basedOn w:val="Normal"/>
    <w:next w:val="Normal"/>
    <w:link w:val="IntenseQuoteChar"/>
    <w:uiPriority w:val="30"/>
    <w:qFormat/>
    <w:rsid w:val="002B6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725"/>
    <w:rPr>
      <w:i/>
      <w:iCs/>
      <w:color w:val="0F4761" w:themeColor="accent1" w:themeShade="BF"/>
    </w:rPr>
  </w:style>
  <w:style w:type="character" w:styleId="IntenseReference">
    <w:name w:val="Intense Reference"/>
    <w:basedOn w:val="DefaultParagraphFont"/>
    <w:uiPriority w:val="32"/>
    <w:qFormat/>
    <w:rsid w:val="002B6725"/>
    <w:rPr>
      <w:b/>
      <w:bCs/>
      <w:smallCaps/>
      <w:color w:val="0F4761" w:themeColor="accent1" w:themeShade="BF"/>
      <w:spacing w:val="5"/>
    </w:rPr>
  </w:style>
  <w:style w:type="paragraph" w:styleId="Header">
    <w:name w:val="header"/>
    <w:basedOn w:val="Normal"/>
    <w:link w:val="HeaderChar"/>
    <w:uiPriority w:val="99"/>
    <w:rsid w:val="002B6725"/>
    <w:pPr>
      <w:tabs>
        <w:tab w:val="center" w:pos="4320"/>
        <w:tab w:val="right" w:pos="8640"/>
      </w:tabs>
    </w:pPr>
  </w:style>
  <w:style w:type="character" w:customStyle="1" w:styleId="HeaderChar">
    <w:name w:val="Header Char"/>
    <w:basedOn w:val="DefaultParagraphFont"/>
    <w:link w:val="Header"/>
    <w:uiPriority w:val="99"/>
    <w:rsid w:val="002B6725"/>
    <w:rPr>
      <w:rFonts w:ascii="Times New Roman" w:eastAsia="Times New Roman" w:hAnsi="Times New Roman" w:cs="Arial"/>
      <w:kern w:val="0"/>
      <w:sz w:val="24"/>
      <w:szCs w:val="24"/>
      <w:lang w:val="en-US" w:bidi="ar-SA"/>
      <w14:ligatures w14:val="none"/>
    </w:rPr>
  </w:style>
  <w:style w:type="paragraph" w:styleId="Footer">
    <w:name w:val="footer"/>
    <w:basedOn w:val="Normal"/>
    <w:link w:val="FooterChar"/>
    <w:uiPriority w:val="99"/>
    <w:rsid w:val="002B6725"/>
    <w:pPr>
      <w:tabs>
        <w:tab w:val="center" w:pos="4320"/>
        <w:tab w:val="right" w:pos="8640"/>
      </w:tabs>
    </w:pPr>
  </w:style>
  <w:style w:type="character" w:customStyle="1" w:styleId="FooterChar">
    <w:name w:val="Footer Char"/>
    <w:basedOn w:val="DefaultParagraphFont"/>
    <w:link w:val="Footer"/>
    <w:uiPriority w:val="99"/>
    <w:rsid w:val="002B6725"/>
    <w:rPr>
      <w:rFonts w:ascii="Times New Roman" w:eastAsia="Times New Roman" w:hAnsi="Times New Roman" w:cs="Arial"/>
      <w:kern w:val="0"/>
      <w:sz w:val="24"/>
      <w:szCs w:val="24"/>
      <w:lang w:val="en-US" w:bidi="ar-SA"/>
      <w14:ligatures w14:val="none"/>
    </w:rPr>
  </w:style>
  <w:style w:type="character" w:styleId="PageNumber">
    <w:name w:val="page number"/>
    <w:basedOn w:val="DefaultParagraphFont"/>
    <w:uiPriority w:val="99"/>
    <w:rsid w:val="002B6725"/>
    <w:rPr>
      <w:rFonts w:ascii="Times New Roman" w:hAnsi="Times New Roman" w:cs="Arial"/>
    </w:rPr>
  </w:style>
  <w:style w:type="character" w:styleId="FootnoteReference">
    <w:name w:val="footnote reference"/>
    <w:aliases w:val="MCW Footnote Reference"/>
    <w:basedOn w:val="DefaultParagraphFont"/>
    <w:uiPriority w:val="99"/>
    <w:rsid w:val="009A0958"/>
    <w:rPr>
      <w:rFonts w:ascii="Times New Roman" w:hAnsi="Times New Roman" w:cs="Arial"/>
      <w:b w:val="0"/>
      <w:i w:val="0"/>
      <w:sz w:val="18"/>
      <w:vertAlign w:val="superscript"/>
    </w:rPr>
  </w:style>
  <w:style w:type="paragraph" w:styleId="FootnoteText">
    <w:name w:val="footnote text"/>
    <w:basedOn w:val="Normal"/>
    <w:link w:val="FootnoteTextChar"/>
    <w:uiPriority w:val="99"/>
    <w:rsid w:val="009A0958"/>
    <w:pPr>
      <w:tabs>
        <w:tab w:val="left" w:pos="425"/>
      </w:tabs>
      <w:spacing w:after="60"/>
      <w:ind w:left="425" w:hanging="425"/>
      <w:jc w:val="both"/>
    </w:pPr>
    <w:rPr>
      <w:sz w:val="18"/>
      <w:szCs w:val="20"/>
      <w:lang w:val="en-AU" w:eastAsia="en-AU"/>
    </w:rPr>
  </w:style>
  <w:style w:type="character" w:customStyle="1" w:styleId="FootnoteTextChar">
    <w:name w:val="Footnote Text Char"/>
    <w:basedOn w:val="DefaultParagraphFont"/>
    <w:link w:val="FootnoteText"/>
    <w:uiPriority w:val="99"/>
    <w:rsid w:val="009A0958"/>
    <w:rPr>
      <w:rFonts w:ascii="Times New Roman" w:eastAsia="Times New Roman" w:hAnsi="Times New Roman" w:cs="Arial"/>
      <w:kern w:val="0"/>
      <w:sz w:val="18"/>
      <w:szCs w:val="20"/>
      <w:lang w:eastAsia="en-AU" w:bidi="ar-SA"/>
      <w14:ligatures w14:val="none"/>
    </w:rPr>
  </w:style>
  <w:style w:type="paragraph" w:customStyle="1" w:styleId="NumberLevel1">
    <w:name w:val="Number Level 1"/>
    <w:aliases w:val="N1"/>
    <w:basedOn w:val="Normal"/>
    <w:link w:val="NumberLevel1Char"/>
    <w:uiPriority w:val="1"/>
    <w:qFormat/>
    <w:rsid w:val="009A0958"/>
    <w:pPr>
      <w:numPr>
        <w:numId w:val="1"/>
      </w:numPr>
      <w:spacing w:before="280" w:after="140" w:line="280" w:lineRule="atLeast"/>
      <w:outlineLvl w:val="0"/>
    </w:pPr>
    <w:rPr>
      <w:rFonts w:ascii="Arial" w:hAnsi="Arial"/>
      <w:sz w:val="22"/>
      <w:szCs w:val="22"/>
      <w:lang w:val="en-AU" w:eastAsia="en-AU"/>
    </w:rPr>
  </w:style>
  <w:style w:type="paragraph" w:customStyle="1" w:styleId="NumberLevel2">
    <w:name w:val="Number Level 2"/>
    <w:aliases w:val="N2"/>
    <w:basedOn w:val="Normal"/>
    <w:uiPriority w:val="1"/>
    <w:qFormat/>
    <w:rsid w:val="009A0958"/>
    <w:pPr>
      <w:numPr>
        <w:ilvl w:val="1"/>
        <w:numId w:val="1"/>
      </w:numPr>
      <w:spacing w:before="280" w:after="140" w:line="280" w:lineRule="atLeast"/>
      <w:outlineLvl w:val="1"/>
    </w:pPr>
    <w:rPr>
      <w:rFonts w:ascii="Arial" w:hAnsi="Arial"/>
      <w:sz w:val="22"/>
      <w:szCs w:val="22"/>
      <w:lang w:val="en-AU" w:eastAsia="en-AU"/>
    </w:rPr>
  </w:style>
  <w:style w:type="paragraph" w:customStyle="1" w:styleId="NumberLevel3">
    <w:name w:val="Number Level 3"/>
    <w:aliases w:val="N3"/>
    <w:basedOn w:val="Normal"/>
    <w:uiPriority w:val="1"/>
    <w:qFormat/>
    <w:rsid w:val="009A0958"/>
    <w:pPr>
      <w:numPr>
        <w:ilvl w:val="2"/>
        <w:numId w:val="1"/>
      </w:numPr>
      <w:spacing w:before="280" w:after="140" w:line="280" w:lineRule="atLeast"/>
      <w:outlineLvl w:val="2"/>
    </w:pPr>
    <w:rPr>
      <w:rFonts w:ascii="Arial" w:hAnsi="Arial"/>
      <w:sz w:val="22"/>
      <w:szCs w:val="22"/>
      <w:lang w:val="en-AU" w:eastAsia="en-AU"/>
    </w:rPr>
  </w:style>
  <w:style w:type="paragraph" w:customStyle="1" w:styleId="NumberLevel4">
    <w:name w:val="Number Level 4"/>
    <w:aliases w:val="N4"/>
    <w:basedOn w:val="Normal"/>
    <w:uiPriority w:val="1"/>
    <w:qFormat/>
    <w:rsid w:val="009A0958"/>
    <w:pPr>
      <w:numPr>
        <w:ilvl w:val="3"/>
        <w:numId w:val="1"/>
      </w:numPr>
      <w:tabs>
        <w:tab w:val="clear" w:pos="2835"/>
        <w:tab w:val="num" w:pos="360"/>
      </w:tabs>
      <w:spacing w:before="280" w:after="140" w:line="280" w:lineRule="atLeast"/>
      <w:ind w:left="0" w:firstLine="0"/>
      <w:outlineLvl w:val="3"/>
    </w:pPr>
    <w:rPr>
      <w:rFonts w:ascii="Arial" w:hAnsi="Arial"/>
      <w:sz w:val="22"/>
      <w:szCs w:val="22"/>
      <w:lang w:val="en-AU" w:eastAsia="en-AU"/>
    </w:rPr>
  </w:style>
  <w:style w:type="paragraph" w:customStyle="1" w:styleId="NumberLevel5">
    <w:name w:val="Number Level 5"/>
    <w:aliases w:val="N5"/>
    <w:basedOn w:val="Normal"/>
    <w:uiPriority w:val="1"/>
    <w:rsid w:val="009A0958"/>
    <w:pPr>
      <w:numPr>
        <w:ilvl w:val="4"/>
        <w:numId w:val="1"/>
      </w:numPr>
      <w:tabs>
        <w:tab w:val="clear" w:pos="3969"/>
        <w:tab w:val="num" w:pos="360"/>
      </w:tabs>
      <w:spacing w:before="280" w:after="140" w:line="280" w:lineRule="atLeast"/>
      <w:ind w:left="0" w:firstLine="0"/>
      <w:outlineLvl w:val="4"/>
    </w:pPr>
    <w:rPr>
      <w:rFonts w:ascii="Arial" w:hAnsi="Arial"/>
      <w:sz w:val="22"/>
      <w:szCs w:val="22"/>
      <w:lang w:val="en-AU" w:eastAsia="en-AU"/>
    </w:rPr>
  </w:style>
  <w:style w:type="paragraph" w:customStyle="1" w:styleId="NumberLevel6">
    <w:name w:val="Number Level 6"/>
    <w:basedOn w:val="Normal"/>
    <w:uiPriority w:val="1"/>
    <w:rsid w:val="009A0958"/>
    <w:pPr>
      <w:numPr>
        <w:ilvl w:val="5"/>
        <w:numId w:val="1"/>
      </w:numPr>
      <w:tabs>
        <w:tab w:val="clear" w:pos="5102"/>
        <w:tab w:val="num" w:pos="360"/>
      </w:tabs>
      <w:spacing w:before="280" w:after="140" w:line="280" w:lineRule="atLeast"/>
      <w:ind w:left="0" w:firstLine="0"/>
      <w:outlineLvl w:val="5"/>
    </w:pPr>
    <w:rPr>
      <w:rFonts w:ascii="Arial" w:hAnsi="Arial"/>
      <w:sz w:val="22"/>
      <w:szCs w:val="22"/>
      <w:lang w:val="en-AU" w:eastAsia="en-AU"/>
    </w:rPr>
  </w:style>
  <w:style w:type="paragraph" w:customStyle="1" w:styleId="NumberLevel7">
    <w:name w:val="Number Level 7"/>
    <w:basedOn w:val="Normal"/>
    <w:uiPriority w:val="1"/>
    <w:rsid w:val="009A0958"/>
    <w:pPr>
      <w:numPr>
        <w:ilvl w:val="6"/>
        <w:numId w:val="1"/>
      </w:numPr>
      <w:tabs>
        <w:tab w:val="clear" w:pos="6236"/>
        <w:tab w:val="num" w:pos="360"/>
      </w:tabs>
      <w:spacing w:before="280" w:after="140" w:line="280" w:lineRule="atLeast"/>
      <w:ind w:left="0" w:firstLine="0"/>
      <w:outlineLvl w:val="6"/>
    </w:pPr>
    <w:rPr>
      <w:rFonts w:ascii="Arial" w:hAnsi="Arial"/>
      <w:sz w:val="22"/>
      <w:szCs w:val="22"/>
      <w:lang w:val="en-AU" w:eastAsia="en-AU"/>
    </w:rPr>
  </w:style>
  <w:style w:type="paragraph" w:customStyle="1" w:styleId="NumberLevel8">
    <w:name w:val="Number Level 8"/>
    <w:basedOn w:val="Normal"/>
    <w:uiPriority w:val="1"/>
    <w:rsid w:val="009A0958"/>
    <w:pPr>
      <w:numPr>
        <w:ilvl w:val="7"/>
        <w:numId w:val="1"/>
      </w:numPr>
      <w:tabs>
        <w:tab w:val="clear" w:pos="7370"/>
        <w:tab w:val="num" w:pos="360"/>
      </w:tabs>
      <w:spacing w:before="280" w:after="140" w:line="280" w:lineRule="atLeast"/>
      <w:ind w:left="0" w:firstLine="0"/>
      <w:outlineLvl w:val="7"/>
    </w:pPr>
    <w:rPr>
      <w:rFonts w:ascii="Arial" w:hAnsi="Arial"/>
      <w:sz w:val="22"/>
      <w:szCs w:val="22"/>
      <w:lang w:val="en-AU" w:eastAsia="en-AU"/>
    </w:rPr>
  </w:style>
  <w:style w:type="paragraph" w:customStyle="1" w:styleId="NumberLevel9">
    <w:name w:val="Number Level 9"/>
    <w:basedOn w:val="Normal"/>
    <w:uiPriority w:val="1"/>
    <w:rsid w:val="009A0958"/>
    <w:pPr>
      <w:numPr>
        <w:ilvl w:val="8"/>
        <w:numId w:val="1"/>
      </w:numPr>
      <w:tabs>
        <w:tab w:val="clear" w:pos="7370"/>
        <w:tab w:val="num" w:pos="360"/>
      </w:tabs>
      <w:spacing w:before="280" w:after="140" w:line="280" w:lineRule="atLeast"/>
      <w:ind w:left="0" w:firstLine="0"/>
      <w:outlineLvl w:val="8"/>
    </w:pPr>
    <w:rPr>
      <w:rFonts w:ascii="Arial" w:hAnsi="Arial"/>
      <w:sz w:val="22"/>
      <w:szCs w:val="22"/>
      <w:lang w:val="en-AU" w:eastAsia="en-AU"/>
    </w:rPr>
  </w:style>
  <w:style w:type="paragraph" w:customStyle="1" w:styleId="PartHeading">
    <w:name w:val="Part Heading"/>
    <w:aliases w:val="PH"/>
    <w:next w:val="NumberLevel1"/>
    <w:qFormat/>
    <w:rsid w:val="009A0958"/>
    <w:pPr>
      <w:keepNext/>
      <w:keepLines/>
      <w:numPr>
        <w:numId w:val="2"/>
      </w:numPr>
      <w:pBdr>
        <w:bottom w:val="single" w:sz="2" w:space="0" w:color="auto"/>
      </w:pBdr>
      <w:spacing w:before="420" w:after="140" w:line="280" w:lineRule="atLeast"/>
      <w:outlineLvl w:val="0"/>
    </w:pPr>
    <w:rPr>
      <w:rFonts w:ascii="Arial" w:eastAsia="Times New Roman" w:hAnsi="Arial" w:cs="Arial"/>
      <w:b/>
      <w:caps/>
      <w:kern w:val="0"/>
      <w:sz w:val="20"/>
      <w:szCs w:val="22"/>
      <w:lang w:eastAsia="en-AU" w:bidi="ar-SA"/>
      <w14:ligatures w14:val="none"/>
    </w:rPr>
  </w:style>
  <w:style w:type="character" w:customStyle="1" w:styleId="NumberLevel1Char">
    <w:name w:val="Number Level 1 Char"/>
    <w:basedOn w:val="DefaultParagraphFont"/>
    <w:link w:val="NumberLevel1"/>
    <w:uiPriority w:val="1"/>
    <w:rsid w:val="009A0958"/>
    <w:rPr>
      <w:rFonts w:ascii="Arial" w:eastAsia="Times New Roman" w:hAnsi="Arial" w:cs="Arial"/>
      <w:kern w:val="0"/>
      <w:szCs w:val="22"/>
      <w:lang w:eastAsia="en-AU" w:bidi="ar-SA"/>
      <w14:ligatures w14:val="none"/>
    </w:rPr>
  </w:style>
  <w:style w:type="character" w:styleId="CommentReference">
    <w:name w:val="annotation reference"/>
    <w:basedOn w:val="DefaultParagraphFont"/>
    <w:uiPriority w:val="99"/>
    <w:semiHidden/>
    <w:unhideWhenUsed/>
    <w:rsid w:val="00F86401"/>
    <w:rPr>
      <w:sz w:val="16"/>
      <w:szCs w:val="16"/>
    </w:rPr>
  </w:style>
  <w:style w:type="paragraph" w:styleId="CommentText">
    <w:name w:val="annotation text"/>
    <w:basedOn w:val="Normal"/>
    <w:link w:val="CommentTextChar"/>
    <w:uiPriority w:val="99"/>
    <w:unhideWhenUsed/>
    <w:rsid w:val="00F86401"/>
    <w:rPr>
      <w:sz w:val="20"/>
      <w:szCs w:val="20"/>
    </w:rPr>
  </w:style>
  <w:style w:type="character" w:customStyle="1" w:styleId="CommentTextChar">
    <w:name w:val="Comment Text Char"/>
    <w:basedOn w:val="DefaultParagraphFont"/>
    <w:link w:val="CommentText"/>
    <w:uiPriority w:val="99"/>
    <w:rsid w:val="00F86401"/>
    <w:rPr>
      <w:rFonts w:ascii="Times New Roman" w:eastAsia="Times New Roman" w:hAnsi="Times New Roman" w:cs="Arial"/>
      <w:kern w:val="0"/>
      <w:sz w:val="20"/>
      <w:szCs w:val="20"/>
      <w:lang w:val="en-US" w:bidi="ar-SA"/>
      <w14:ligatures w14:val="none"/>
    </w:rPr>
  </w:style>
  <w:style w:type="paragraph" w:styleId="CommentSubject">
    <w:name w:val="annotation subject"/>
    <w:basedOn w:val="CommentText"/>
    <w:next w:val="CommentText"/>
    <w:link w:val="CommentSubjectChar"/>
    <w:uiPriority w:val="99"/>
    <w:semiHidden/>
    <w:unhideWhenUsed/>
    <w:rsid w:val="00F86401"/>
    <w:rPr>
      <w:b/>
      <w:bCs/>
    </w:rPr>
  </w:style>
  <w:style w:type="character" w:customStyle="1" w:styleId="CommentSubjectChar">
    <w:name w:val="Comment Subject Char"/>
    <w:basedOn w:val="CommentTextChar"/>
    <w:link w:val="CommentSubject"/>
    <w:uiPriority w:val="99"/>
    <w:semiHidden/>
    <w:rsid w:val="00F86401"/>
    <w:rPr>
      <w:rFonts w:ascii="Times New Roman" w:eastAsia="Times New Roman" w:hAnsi="Times New Roman" w:cs="Arial"/>
      <w:b/>
      <w:bCs/>
      <w:kern w:val="0"/>
      <w:sz w:val="20"/>
      <w:szCs w:val="20"/>
      <w:lang w:val="en-US" w:bidi="ar-SA"/>
      <w14:ligatures w14:val="none"/>
    </w:rPr>
  </w:style>
  <w:style w:type="paragraph" w:styleId="Revision">
    <w:name w:val="Revision"/>
    <w:hidden/>
    <w:uiPriority w:val="99"/>
    <w:semiHidden/>
    <w:rsid w:val="001D448C"/>
    <w:pPr>
      <w:spacing w:after="0" w:line="240" w:lineRule="auto"/>
    </w:pPr>
    <w:rPr>
      <w:rFonts w:ascii="Times New Roman" w:eastAsia="Times New Roman" w:hAnsi="Times New Roman" w:cs="Arial"/>
      <w:kern w:val="0"/>
      <w:sz w:val="24"/>
      <w:szCs w:val="24"/>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6155ed63-341b-4a6d-8d92-bc71a3205411" ContentTypeId="0x0101000118694C86DCC840B8A954DADB00E5EA" PreviousValue="false"/>
</file>

<file path=customXml/item2.xml><?xml version="1.0" encoding="utf-8"?>
<p:properties xmlns:p="http://schemas.microsoft.com/office/2006/metadata/properties" xmlns:xsi="http://www.w3.org/2001/XMLSchema-instance" xmlns:pc="http://schemas.microsoft.com/office/infopath/2007/PartnerControls">
  <documentManagement>
    <FileNumber xmlns="a9ec758c-7b29-4bbd-836f-c599af6fef2b" xsi:nil="true"/>
    <Courtdocno xmlns="c5416b15-8c9f-40be-a62c-6db8b561148b" xsi:nil="true"/>
    <Datefiled xmlns="c5416b15-8c9f-40be-a62c-6db8b561148b" xsi:nil="true"/>
    <Appref xmlns="c5416b15-8c9f-40be-a62c-6db8b561148b" xsi:nil="true"/>
    <oa9fbd0508de436da13dc19a72853b3f xmlns="ca61dc34-46aa-470b-af0e-0de93029fe6e">
      <Terms xmlns="http://schemas.microsoft.com/office/infopath/2007/PartnerControls"/>
    </oa9fbd0508de436da13dc19a72853b3f>
    <AGref xmlns="c5416b15-8c9f-40be-a62c-6db8b561148b" xsi:nil="true"/>
    <TaxCatchAll xmlns="ca61dc34-46aa-470b-af0e-0de93029fe6e" xsi:nil="true"/>
    <lcf76f155ced4ddcb4097134ff3c332f xmlns="c5416b15-8c9f-40be-a62c-6db8b561148b">
      <Terms xmlns="http://schemas.microsoft.com/office/infopath/2007/PartnerControls"/>
    </lcf76f155ced4ddcb4097134ff3c332f>
    <Notificationdate xmlns="c5416b15-8c9f-40be-a62c-6db8b561148b" xsi:nil="true"/>
    <Notifier xmlns="c5416b15-8c9f-40be-a62c-6db8b561148b" xsi:nil="true"/>
    <_dlc_DocId xmlns="a9ec758c-7b29-4bbd-836f-c599af6fef2b">CS3F356C3TDS-712513482-42767</_dlc_DocId>
    <_dlc_DocIdUrl xmlns="a9ec758c-7b29-4bbd-836f-c599af6fef2b">
      <Url>https://qldhrc.sharepoint.com/sites/LegalResearchandPolicy/_layouts/15/DocIdRedir.aspx?ID=CS3F356C3TDS-712513482-42767</Url>
      <Description>CS3F356C3TDS-712513482-42767</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QHRC Document" ma:contentTypeID="0x0101000118694C86DCC840B8A954DADB00E5EA00C6F22D2796F7B74489EED2F5294F549E" ma:contentTypeVersion="34" ma:contentTypeDescription="" ma:contentTypeScope="" ma:versionID="528ccce894d77bcd0482a8601268fe17">
  <xsd:schema xmlns:xsd="http://www.w3.org/2001/XMLSchema" xmlns:xs="http://www.w3.org/2001/XMLSchema" xmlns:p="http://schemas.microsoft.com/office/2006/metadata/properties" xmlns:ns2="ca61dc34-46aa-470b-af0e-0de93029fe6e" xmlns:ns3="c5416b15-8c9f-40be-a62c-6db8b561148b" xmlns:ns4="a9ec758c-7b29-4bbd-836f-c599af6fef2b" targetNamespace="http://schemas.microsoft.com/office/2006/metadata/properties" ma:root="true" ma:fieldsID="7f635f5fd64085fe1b6a42feaf4e5162" ns2:_="" ns3:_="" ns4:_="">
    <xsd:import namespace="ca61dc34-46aa-470b-af0e-0de93029fe6e"/>
    <xsd:import namespace="c5416b15-8c9f-40be-a62c-6db8b561148b"/>
    <xsd:import namespace="a9ec758c-7b29-4bbd-836f-c599af6fef2b"/>
    <xsd:element name="properties">
      <xsd:complexType>
        <xsd:sequence>
          <xsd:element name="documentManagement">
            <xsd:complexType>
              <xsd:all>
                <xsd:element ref="ns2:oa9fbd0508de436da13dc19a72853b3f" minOccurs="0"/>
                <xsd:element ref="ns2:TaxCatchAll" minOccurs="0"/>
                <xsd:element ref="ns2:TaxCatchAllLabel"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3:MediaServiceOCR" minOccurs="0"/>
                <xsd:element ref="ns4:FileNumber" minOccurs="0"/>
                <xsd:element ref="ns3:Notificationdate" minOccurs="0"/>
                <xsd:element ref="ns3:Courtdocno" minOccurs="0"/>
                <xsd:element ref="ns3:Notifier" minOccurs="0"/>
                <xsd:element ref="ns3:Appref" minOccurs="0"/>
                <xsd:element ref="ns3:AGref" minOccurs="0"/>
                <xsd:element ref="ns3:Datefiled"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1dc34-46aa-470b-af0e-0de93029fe6e" elementFormDefault="qualified">
    <xsd:import namespace="http://schemas.microsoft.com/office/2006/documentManagement/types"/>
    <xsd:import namespace="http://schemas.microsoft.com/office/infopath/2007/PartnerControls"/>
    <xsd:element name="oa9fbd0508de436da13dc19a72853b3f" ma:index="8" nillable="true" ma:taxonomy="true" ma:internalName="oa9fbd0508de436da13dc19a72853b3f" ma:taxonomyFieldName="DocumentType" ma:displayName="Document Type" ma:readOnly="false" ma:fieldId="{8a9fbd05-08de-436d-a13d-c19a72853b3f}" ma:sspId="6155ed63-341b-4a6d-8d92-bc71a3205411" ma:termSetId="8bbc9f34-4119-40c5-bf7c-0e9cabac0be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6e732e9-20f6-4cc6-8312-ca0e2c83f086}" ma:internalName="TaxCatchAll" ma:showField="CatchAllData" ma:web="a9ec758c-7b29-4bbd-836f-c599af6fef2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6e732e9-20f6-4cc6-8312-ca0e2c83f086}" ma:internalName="TaxCatchAllLabel" ma:readOnly="true" ma:showField="CatchAllDataLabel" ma:web="a9ec758c-7b29-4bbd-836f-c599af6fef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416b15-8c9f-40be-a62c-6db8b561148b"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tificationdate" ma:index="21" nillable="true" ma:displayName="Notification/decision date" ma:description="Date parties notified of Commission's decision" ma:format="DateOnly" ma:internalName="Notificationdate">
      <xsd:simpleType>
        <xsd:restriction base="dms:DateTime"/>
      </xsd:simpleType>
    </xsd:element>
    <xsd:element name="Courtdocno" ma:index="22" nillable="true" ma:displayName="Court doc no" ma:decimals="0" ma:format="Dropdown" ma:indexed="true" ma:internalName="Courtdocno" ma:percentage="FALSE">
      <xsd:simpleType>
        <xsd:restriction base="dms:Number"/>
      </xsd:simpleType>
    </xsd:element>
    <xsd:element name="Notifier" ma:index="23" nillable="true" ma:displayName="Notifier" ma:description="Who made the notification" ma:format="Dropdown" ma:internalName="Notifier">
      <xsd:simpleType>
        <xsd:restriction base="dms:Choice">
          <xsd:enumeration value="Party - s 52"/>
          <xsd:enumeration value="Party - informal"/>
          <xsd:enumeration value="Court - informal"/>
          <xsd:enumeration value="Court - s 53"/>
          <xsd:enumeration value="Self-initiated"/>
        </xsd:restriction>
      </xsd:simpleType>
    </xsd:element>
    <xsd:element name="Appref" ma:index="24" nillable="true" ma:displayName="App ref" ma:format="Dropdown" ma:internalName="Appref">
      <xsd:simpleType>
        <xsd:restriction base="dms:Text">
          <xsd:maxLength value="255"/>
        </xsd:restriction>
      </xsd:simpleType>
    </xsd:element>
    <xsd:element name="AGref" ma:index="25" nillable="true" ma:displayName="AG ref" ma:format="Dropdown" ma:internalName="AGref">
      <xsd:simpleType>
        <xsd:restriction base="dms:Text">
          <xsd:maxLength value="255"/>
        </xsd:restriction>
      </xsd:simpleType>
    </xsd:element>
    <xsd:element name="Datefiled" ma:index="26"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9ec758c-7b29-4bbd-836f-c599af6fef2b" elementFormDefault="qualified">
    <xsd:import namespace="http://schemas.microsoft.com/office/2006/documentManagement/types"/>
    <xsd:import namespace="http://schemas.microsoft.com/office/infopath/2007/PartnerControls"/>
    <xsd:element name="FileNumber" ma:index="20" nillable="true" ma:displayName="File Number" ma:internalName="FileNumber">
      <xsd:simpleType>
        <xsd:restriction base="dms:Text"/>
      </xsd:simpleType>
    </xsd:element>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50A3D-6645-4429-A467-074FEDC76CB4}">
  <ds:schemaRefs>
    <ds:schemaRef ds:uri="Microsoft.SharePoint.Taxonomy.ContentTypeSync"/>
  </ds:schemaRefs>
</ds:datastoreItem>
</file>

<file path=customXml/itemProps2.xml><?xml version="1.0" encoding="utf-8"?>
<ds:datastoreItem xmlns:ds="http://schemas.openxmlformats.org/officeDocument/2006/customXml" ds:itemID="{F080B784-9252-4708-9060-401466E23F77}">
  <ds:schemaRefs>
    <ds:schemaRef ds:uri="http://schemas.microsoft.com/office/2006/metadata/properties"/>
    <ds:schemaRef ds:uri="http://schemas.microsoft.com/office/infopath/2007/PartnerControls"/>
    <ds:schemaRef ds:uri="a9ec758c-7b29-4bbd-836f-c599af6fef2b"/>
    <ds:schemaRef ds:uri="c5416b15-8c9f-40be-a62c-6db8b561148b"/>
    <ds:schemaRef ds:uri="ca61dc34-46aa-470b-af0e-0de93029fe6e"/>
  </ds:schemaRefs>
</ds:datastoreItem>
</file>

<file path=customXml/itemProps3.xml><?xml version="1.0" encoding="utf-8"?>
<ds:datastoreItem xmlns:ds="http://schemas.openxmlformats.org/officeDocument/2006/customXml" ds:itemID="{07057F97-2360-4548-9DD9-C1F3ED91AD36}">
  <ds:schemaRefs>
    <ds:schemaRef ds:uri="http://schemas.microsoft.com/sharepoint/events"/>
  </ds:schemaRefs>
</ds:datastoreItem>
</file>

<file path=customXml/itemProps4.xml><?xml version="1.0" encoding="utf-8"?>
<ds:datastoreItem xmlns:ds="http://schemas.openxmlformats.org/officeDocument/2006/customXml" ds:itemID="{73B542C9-61FA-4531-BD80-BF6A54820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1dc34-46aa-470b-af0e-0de93029fe6e"/>
    <ds:schemaRef ds:uri="c5416b15-8c9f-40be-a62c-6db8b561148b"/>
    <ds:schemaRef ds:uri="a9ec758c-7b29-4bbd-836f-c599af6fe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C7B576-3A34-4CEB-B5DB-2DF5803106E6}">
  <ds:schemaRefs>
    <ds:schemaRef ds:uri="http://schemas.openxmlformats.org/officeDocument/2006/bibliography"/>
  </ds:schemaRefs>
</ds:datastoreItem>
</file>

<file path=customXml/itemProps6.xml><?xml version="1.0" encoding="utf-8"?>
<ds:datastoreItem xmlns:ds="http://schemas.openxmlformats.org/officeDocument/2006/customXml" ds:itemID="{0543370B-476C-4063-8587-62A9FBBAB5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2871</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Slack</dc:creator>
  <cp:keywords/>
  <dc:description/>
  <cp:lastModifiedBy>Helen Bannerman</cp:lastModifiedBy>
  <cp:revision>2</cp:revision>
  <cp:lastPrinted>2026-07-07T03:57:00Z</cp:lastPrinted>
  <dcterms:created xsi:type="dcterms:W3CDTF">2026-10-19T04:15:00Z</dcterms:created>
  <dcterms:modified xsi:type="dcterms:W3CDTF">2026-10-19T04:15:00Z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0x0101000118694C86DCC840B8A954DADB00E5EA00C6F22D2796F7B74489EED2F5294F549E</vt:lpwstr>
  </property>
  <property fmtid="{D5CDD505-2E9C-101B-9397-08002B2CF9AE}" pid="3" name="CourtTribunal">
    <vt:lpwstr/>
  </property>
  <property fmtid="{D5CDD505-2E9C-101B-9397-08002B2CF9AE}" pid="4" name="g18f092eaa554abcb943f50973cc4433">
    <vt:lpwstr/>
  </property>
  <property fmtid="{D5CDD505-2E9C-101B-9397-08002B2CF9AE}" pid="5" name="MediaServiceImageTags">
    <vt:lpwstr/>
  </property>
  <property fmtid="{D5CDD505-2E9C-101B-9397-08002B2CF9AE}" pid="6" name="gd33c3d1596d4dbc905bd8fcf99d2a20">
    <vt:lpwstr/>
  </property>
  <property fmtid="{D5CDD505-2E9C-101B-9397-08002B2CF9AE}" pid="7" name="j247aad77c47473bb0faabc1ce8c681a">
    <vt:lpwstr/>
  </property>
  <property fmtid="{D5CDD505-2E9C-101B-9397-08002B2CF9AE}" pid="8" name="QHRCKeywords">
    <vt:lpwstr/>
  </property>
  <property fmtid="{D5CDD505-2E9C-101B-9397-08002B2CF9AE}" pid="9" name="DocumentType">
    <vt:lpwstr/>
  </property>
  <property fmtid="{D5CDD505-2E9C-101B-9397-08002B2CF9AE}" pid="10" name="Review_x0020_Cycles">
    <vt:lpwstr/>
  </property>
  <property fmtid="{D5CDD505-2E9C-101B-9397-08002B2CF9AE}" pid="11" name="hcb8175055ac4f30b3f6e802ca7673c9">
    <vt:lpwstr/>
  </property>
  <property fmtid="{D5CDD505-2E9C-101B-9397-08002B2CF9AE}" pid="12" name="L_x0026_P_x0020_Tags">
    <vt:lpwstr/>
  </property>
  <property fmtid="{D5CDD505-2E9C-101B-9397-08002B2CF9AE}" pid="13" name="Review Cycles">
    <vt:lpwstr/>
  </property>
  <property fmtid="{D5CDD505-2E9C-101B-9397-08002B2CF9AE}" pid="14" name="L&amp;P Tags">
    <vt:lpwstr/>
  </property>
  <property fmtid="{D5CDD505-2E9C-101B-9397-08002B2CF9AE}" pid="15" name="_dlc_DocIdItemGuid">
    <vt:lpwstr>41e357c2-d785-4188-9d17-0cf3ad08d8d3</vt:lpwstr>
  </property>
</Properties>
</file>