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b/>
          <w:color w:val="347B9F"/>
          <w:sz w:val="24"/>
          <w:szCs w:val="24"/>
        </w:rPr>
        <w:id w:val="-934660533"/>
        <w:docPartObj>
          <w:docPartGallery w:val="Cover Pages"/>
          <w:docPartUnique/>
        </w:docPartObj>
      </w:sdtPr>
      <w:sdtEndPr/>
      <w:sdtContent>
        <w:p w14:paraId="3CED8BC7" w14:textId="77777777" w:rsidR="00EE63B5" w:rsidRDefault="00EE63B5">
          <w:pPr>
            <w:rPr>
              <w:rFonts w:cs="Arial"/>
              <w:b/>
              <w:sz w:val="24"/>
              <w:szCs w:val="24"/>
            </w:rPr>
          </w:pPr>
        </w:p>
        <w:p w14:paraId="00182870" w14:textId="77777777" w:rsidR="00EE63B5" w:rsidRDefault="00C705CC">
          <w:pPr>
            <w:rPr>
              <w:rFonts w:cs="Arial"/>
              <w:b/>
              <w:sz w:val="24"/>
              <w:szCs w:val="24"/>
            </w:rPr>
          </w:pPr>
          <w:r>
            <w:rPr>
              <w:rFonts w:cs="Arial"/>
              <w:b/>
              <w:noProof/>
              <w:sz w:val="24"/>
              <w:szCs w:val="24"/>
            </w:rPr>
            <w:drawing>
              <wp:anchor distT="0" distB="0" distL="114300" distR="114300" simplePos="0" relativeHeight="251660288" behindDoc="1" locked="0" layoutInCell="1" allowOverlap="1" wp14:anchorId="2D08B758" wp14:editId="426E80FD">
                <wp:simplePos x="0" y="0"/>
                <wp:positionH relativeFrom="column">
                  <wp:posOffset>827690</wp:posOffset>
                </wp:positionH>
                <wp:positionV relativeFrom="paragraph">
                  <wp:posOffset>27327</wp:posOffset>
                </wp:positionV>
                <wp:extent cx="2993126" cy="12503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HRC-logo-cmyk (for printing).jpg"/>
                        <pic:cNvPicPr/>
                      </pic:nvPicPr>
                      <pic:blipFill rotWithShape="1">
                        <a:blip r:embed="rId8" cstate="print">
                          <a:extLst>
                            <a:ext uri="{28A0092B-C50C-407E-A947-70E740481C1C}">
                              <a14:useLocalDpi xmlns:a14="http://schemas.microsoft.com/office/drawing/2010/main" val="0"/>
                            </a:ext>
                          </a:extLst>
                        </a:blip>
                        <a:srcRect l="4408"/>
                        <a:stretch/>
                      </pic:blipFill>
                      <pic:spPr bwMode="auto">
                        <a:xfrm>
                          <a:off x="0" y="0"/>
                          <a:ext cx="2993126" cy="1250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D40DAE" w14:textId="77777777" w:rsidR="00EE63B5" w:rsidRDefault="00EE63B5">
          <w:pPr>
            <w:rPr>
              <w:rFonts w:cs="Arial"/>
              <w:b/>
              <w:sz w:val="24"/>
              <w:szCs w:val="24"/>
            </w:rPr>
          </w:pPr>
        </w:p>
        <w:p w14:paraId="171DA082" w14:textId="77777777" w:rsidR="00EE63B5" w:rsidRDefault="00EE63B5">
          <w:pPr>
            <w:rPr>
              <w:rFonts w:cs="Arial"/>
              <w:b/>
              <w:sz w:val="24"/>
              <w:szCs w:val="24"/>
            </w:rPr>
          </w:pPr>
        </w:p>
        <w:p w14:paraId="66A36999" w14:textId="77777777" w:rsidR="00EE63B5" w:rsidRDefault="00EE63B5">
          <w:pPr>
            <w:rPr>
              <w:rFonts w:cs="Arial"/>
              <w:b/>
              <w:sz w:val="24"/>
              <w:szCs w:val="24"/>
            </w:rPr>
          </w:pPr>
        </w:p>
        <w:p w14:paraId="261712A3" w14:textId="77777777" w:rsidR="00EE63B5" w:rsidRDefault="00EE63B5">
          <w:pPr>
            <w:rPr>
              <w:rFonts w:cs="Arial"/>
              <w:b/>
              <w:sz w:val="24"/>
              <w:szCs w:val="24"/>
            </w:rPr>
          </w:pPr>
        </w:p>
        <w:p w14:paraId="5E32BAF3" w14:textId="77777777" w:rsidR="00EE63B5" w:rsidRDefault="00EE63B5">
          <w:pPr>
            <w:rPr>
              <w:rFonts w:cs="Arial"/>
              <w:b/>
              <w:sz w:val="24"/>
              <w:szCs w:val="24"/>
            </w:rPr>
          </w:pPr>
        </w:p>
        <w:p w14:paraId="5B3ADDE8" w14:textId="77777777" w:rsidR="00EE63B5" w:rsidRDefault="00EE63B5">
          <w:pPr>
            <w:rPr>
              <w:rFonts w:cs="Arial"/>
              <w:b/>
              <w:sz w:val="24"/>
              <w:szCs w:val="24"/>
            </w:rPr>
          </w:pPr>
        </w:p>
        <w:p w14:paraId="7C60011E" w14:textId="77777777" w:rsidR="00EE63B5" w:rsidRDefault="00EE63B5">
          <w:pPr>
            <w:rPr>
              <w:rFonts w:cs="Arial"/>
              <w:b/>
              <w:sz w:val="24"/>
              <w:szCs w:val="24"/>
            </w:rPr>
          </w:pPr>
        </w:p>
        <w:p w14:paraId="0A17D510" w14:textId="77777777" w:rsidR="00EE63B5" w:rsidRDefault="00EE63B5">
          <w:pPr>
            <w:rPr>
              <w:rFonts w:cs="Arial"/>
              <w:b/>
              <w:sz w:val="24"/>
              <w:szCs w:val="24"/>
            </w:rPr>
          </w:pPr>
        </w:p>
        <w:p w14:paraId="4F556F59" w14:textId="77777777" w:rsidR="00EE63B5" w:rsidRDefault="00EE63B5">
          <w:pPr>
            <w:rPr>
              <w:rFonts w:cs="Arial"/>
              <w:b/>
              <w:sz w:val="24"/>
              <w:szCs w:val="24"/>
            </w:rPr>
          </w:pPr>
        </w:p>
        <w:p w14:paraId="1B9D8D70" w14:textId="77777777" w:rsidR="00EE63B5" w:rsidRDefault="00EE63B5">
          <w:pPr>
            <w:rPr>
              <w:rFonts w:cs="Arial"/>
              <w:b/>
              <w:sz w:val="24"/>
              <w:szCs w:val="24"/>
            </w:rPr>
          </w:pPr>
        </w:p>
        <w:p w14:paraId="0647CEF1" w14:textId="77777777" w:rsidR="00EE63B5" w:rsidRDefault="00EE63B5">
          <w:pPr>
            <w:rPr>
              <w:rFonts w:cs="Arial"/>
              <w:b/>
              <w:sz w:val="24"/>
              <w:szCs w:val="24"/>
            </w:rPr>
          </w:pPr>
        </w:p>
        <w:p w14:paraId="0BDAB172" w14:textId="77777777" w:rsidR="00EE63B5" w:rsidRDefault="00EE63B5">
          <w:pPr>
            <w:rPr>
              <w:rFonts w:cs="Arial"/>
              <w:b/>
              <w:sz w:val="24"/>
              <w:szCs w:val="24"/>
            </w:rPr>
          </w:pPr>
        </w:p>
        <w:p w14:paraId="5FD6173D" w14:textId="77777777" w:rsidR="00EE63B5" w:rsidRDefault="00EE63B5">
          <w:pPr>
            <w:rPr>
              <w:rFonts w:cs="Arial"/>
              <w:b/>
              <w:sz w:val="24"/>
              <w:szCs w:val="24"/>
            </w:rPr>
          </w:pPr>
        </w:p>
        <w:p w14:paraId="33465B2C" w14:textId="77777777" w:rsidR="00EE63B5" w:rsidRDefault="00EE63B5">
          <w:pPr>
            <w:rPr>
              <w:rFonts w:cs="Arial"/>
              <w:b/>
              <w:sz w:val="24"/>
              <w:szCs w:val="24"/>
            </w:rPr>
          </w:pPr>
        </w:p>
        <w:p w14:paraId="2D2482EC" w14:textId="77777777" w:rsidR="00EE63B5" w:rsidRDefault="00EE63B5">
          <w:pPr>
            <w:rPr>
              <w:rFonts w:cs="Arial"/>
              <w:b/>
              <w:sz w:val="24"/>
              <w:szCs w:val="24"/>
            </w:rPr>
          </w:pPr>
        </w:p>
        <w:p w14:paraId="6CBF6CB3" w14:textId="77777777" w:rsidR="00EE63B5" w:rsidRDefault="00EE63B5">
          <w:pPr>
            <w:rPr>
              <w:rFonts w:cs="Arial"/>
              <w:b/>
              <w:sz w:val="24"/>
              <w:szCs w:val="24"/>
            </w:rPr>
          </w:pPr>
        </w:p>
        <w:p w14:paraId="06BA0E7C" w14:textId="77777777" w:rsidR="004C0311" w:rsidRDefault="004C0311" w:rsidP="004C0311">
          <w:pPr>
            <w:rPr>
              <w:rFonts w:cs="Arial"/>
              <w:b/>
              <w:sz w:val="24"/>
              <w:szCs w:val="24"/>
            </w:rPr>
          </w:pPr>
        </w:p>
        <w:p w14:paraId="2ACA5D7A" w14:textId="77777777" w:rsidR="004C0311" w:rsidRPr="00583C1B" w:rsidRDefault="004C0311" w:rsidP="004C0311">
          <w:pPr>
            <w:pStyle w:val="Heading1"/>
            <w:ind w:left="1440"/>
            <w:rPr>
              <w:b/>
              <w:color w:val="373D41"/>
              <w:sz w:val="48"/>
              <w:szCs w:val="48"/>
            </w:rPr>
          </w:pPr>
        </w:p>
        <w:p w14:paraId="3070CE2A" w14:textId="77777777" w:rsidR="00583C1B" w:rsidRPr="00583C1B" w:rsidRDefault="00CA06E9" w:rsidP="004C0311">
          <w:pPr>
            <w:pStyle w:val="Heading1"/>
            <w:ind w:left="1440"/>
          </w:pPr>
          <w:bookmarkStart w:id="0" w:name="_Toc59022019"/>
          <w:bookmarkStart w:id="1" w:name="_Toc59022782"/>
          <w:r>
            <w:rPr>
              <w:b/>
              <w:color w:val="373D41"/>
              <w:sz w:val="48"/>
              <w:szCs w:val="48"/>
            </w:rPr>
            <w:t>Public interest disclosure policy</w:t>
          </w:r>
          <w:bookmarkEnd w:id="0"/>
          <w:bookmarkEnd w:id="1"/>
        </w:p>
        <w:p w14:paraId="72A1E79D" w14:textId="49BC8596" w:rsidR="00583C1B" w:rsidRDefault="00583C1B" w:rsidP="00583C1B">
          <w:pPr>
            <w:pStyle w:val="Heading1"/>
            <w:ind w:left="1440"/>
          </w:pPr>
          <w:bookmarkStart w:id="2" w:name="_Toc8285930"/>
          <w:bookmarkStart w:id="3" w:name="_Toc14702240"/>
          <w:bookmarkStart w:id="4" w:name="_Toc40798731"/>
          <w:bookmarkStart w:id="5" w:name="_Toc59022020"/>
          <w:bookmarkStart w:id="6" w:name="_Toc59022783"/>
          <w:r w:rsidRPr="0082693E">
            <w:rPr>
              <w:i/>
              <w:noProof/>
              <w:color w:val="373D41"/>
              <w:sz w:val="60"/>
              <w:szCs w:val="60"/>
            </w:rPr>
            <w:drawing>
              <wp:anchor distT="0" distB="0" distL="114300" distR="114300" simplePos="0" relativeHeight="251659264" behindDoc="0" locked="0" layoutInCell="1" allowOverlap="1" wp14:anchorId="24573178" wp14:editId="40118DFA">
                <wp:simplePos x="0" y="0"/>
                <wp:positionH relativeFrom="leftMargin">
                  <wp:posOffset>-5028565</wp:posOffset>
                </wp:positionH>
                <wp:positionV relativeFrom="margin">
                  <wp:posOffset>4338320</wp:posOffset>
                </wp:positionV>
                <wp:extent cx="10733405" cy="651510"/>
                <wp:effectExtent l="0" t="7302" r="3492" b="3493"/>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_5108 QHRC EDM_Pattern Header.jpg"/>
                        <pic:cNvPicPr/>
                      </pic:nvPicPr>
                      <pic:blipFill>
                        <a:blip r:embed="rId9">
                          <a:extLst>
                            <a:ext uri="{28A0092B-C50C-407E-A947-70E740481C1C}">
                              <a14:useLocalDpi xmlns:a14="http://schemas.microsoft.com/office/drawing/2010/main" val="0"/>
                            </a:ext>
                          </a:extLst>
                        </a:blip>
                        <a:stretch>
                          <a:fillRect/>
                        </a:stretch>
                      </pic:blipFill>
                      <pic:spPr>
                        <a:xfrm rot="5400000">
                          <a:off x="0" y="0"/>
                          <a:ext cx="10733405" cy="65151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bookmarkEnd w:id="4"/>
          <w:bookmarkEnd w:id="5"/>
          <w:bookmarkEnd w:id="6"/>
          <w:r w:rsidR="008A208B">
            <w:t>September</w:t>
          </w:r>
          <w:r w:rsidR="00A37207">
            <w:t xml:space="preserve"> 202</w:t>
          </w:r>
          <w:r w:rsidR="008A208B">
            <w:t>3</w:t>
          </w:r>
        </w:p>
        <w:p w14:paraId="483F6161" w14:textId="77777777" w:rsidR="009F7A60" w:rsidRDefault="009F7A60" w:rsidP="009F7A60"/>
        <w:p w14:paraId="42879D15" w14:textId="77777777" w:rsidR="009F7A60" w:rsidRDefault="009F7A60" w:rsidP="009F7A60"/>
        <w:p w14:paraId="67A1F61C" w14:textId="77777777" w:rsidR="009F7A60" w:rsidRDefault="009F7A60" w:rsidP="009F7A60"/>
        <w:p w14:paraId="4B6B74F3" w14:textId="77777777" w:rsidR="009F7A60" w:rsidRDefault="009F7A60" w:rsidP="009F7A60"/>
        <w:p w14:paraId="747273E1" w14:textId="77777777" w:rsidR="009F7A60" w:rsidRDefault="009F7A60" w:rsidP="009F7A60"/>
        <w:p w14:paraId="65D46444" w14:textId="77777777" w:rsidR="009F7A60" w:rsidRDefault="009F7A60" w:rsidP="009F7A60"/>
        <w:p w14:paraId="20176357" w14:textId="77777777" w:rsidR="009F7A60" w:rsidRDefault="009F7A60" w:rsidP="009F7A60"/>
        <w:p w14:paraId="3C4AC3E4" w14:textId="77777777" w:rsidR="009F7A60" w:rsidRDefault="009F7A60" w:rsidP="009F7A60"/>
        <w:p w14:paraId="1B49E004" w14:textId="77777777" w:rsidR="009F7A60" w:rsidRDefault="009F7A60" w:rsidP="009F7A60"/>
        <w:p w14:paraId="7C23B94A" w14:textId="77777777" w:rsidR="009F7A60" w:rsidRPr="009F7A60" w:rsidRDefault="009F7A60" w:rsidP="009F7A60">
          <w:r>
            <w:tab/>
          </w:r>
          <w:r>
            <w:tab/>
          </w:r>
        </w:p>
        <w:tbl>
          <w:tblPr>
            <w:tblStyle w:val="ListTable3-Accent5"/>
            <w:tblpPr w:leftFromText="180" w:rightFromText="180" w:vertAnchor="text" w:horzAnchor="page" w:tblpX="2658" w:tblpY="2401"/>
            <w:tblW w:w="0" w:type="auto"/>
            <w:tblBorders>
              <w:left w:val="none" w:sz="0" w:space="0" w:color="auto"/>
              <w:bottom w:val="single" w:sz="6" w:space="0" w:color="347B9F"/>
              <w:right w:val="none" w:sz="0" w:space="0" w:color="auto"/>
            </w:tblBorders>
            <w:tblLook w:val="04A0" w:firstRow="1" w:lastRow="0" w:firstColumn="1" w:lastColumn="0" w:noHBand="0" w:noVBand="1"/>
          </w:tblPr>
          <w:tblGrid>
            <w:gridCol w:w="3685"/>
          </w:tblGrid>
          <w:tr w:rsidR="009F7A60" w14:paraId="637749C6" w14:textId="77777777" w:rsidTr="00FA18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Borders>
                  <w:bottom w:val="none" w:sz="0" w:space="0" w:color="auto"/>
                  <w:right w:val="none" w:sz="0" w:space="0" w:color="auto"/>
                </w:tcBorders>
              </w:tcPr>
              <w:p w14:paraId="018842CC" w14:textId="77777777" w:rsidR="009F7A60" w:rsidRPr="00AF136A" w:rsidRDefault="009F7A60" w:rsidP="00FA1813">
                <w:pPr>
                  <w:rPr>
                    <w:rFonts w:cs="Arial"/>
                    <w:b w:val="0"/>
                    <w:sz w:val="24"/>
                    <w:szCs w:val="24"/>
                  </w:rPr>
                </w:pPr>
                <w:r w:rsidRPr="00AF136A">
                  <w:rPr>
                    <w:rFonts w:cs="Arial"/>
                    <w:b w:val="0"/>
                    <w:sz w:val="24"/>
                    <w:szCs w:val="24"/>
                  </w:rPr>
                  <w:t xml:space="preserve">Approved </w:t>
                </w:r>
              </w:p>
            </w:tc>
          </w:tr>
          <w:tr w:rsidR="009F7A60" w14:paraId="24131179" w14:textId="77777777" w:rsidTr="00FA181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bottom w:val="none" w:sz="0" w:space="0" w:color="auto"/>
                  <w:right w:val="none" w:sz="0" w:space="0" w:color="auto"/>
                </w:tcBorders>
              </w:tcPr>
              <w:p w14:paraId="72561D93" w14:textId="77777777" w:rsidR="009F7A60" w:rsidRPr="00AF136A" w:rsidRDefault="009F7A60" w:rsidP="00FA1813">
                <w:pPr>
                  <w:rPr>
                    <w:rFonts w:cs="Arial"/>
                    <w:b w:val="0"/>
                    <w:sz w:val="24"/>
                    <w:szCs w:val="24"/>
                  </w:rPr>
                </w:pPr>
              </w:p>
              <w:p w14:paraId="6CB9843D" w14:textId="08DE27E0" w:rsidR="009F7A60" w:rsidRPr="0094130D" w:rsidRDefault="0094130D" w:rsidP="00FA1813">
                <w:pPr>
                  <w:rPr>
                    <w:rFonts w:cs="Arial"/>
                    <w:b w:val="0"/>
                    <w:bCs w:val="0"/>
                    <w:sz w:val="24"/>
                    <w:szCs w:val="24"/>
                  </w:rPr>
                </w:pPr>
                <w:r w:rsidRPr="0094130D">
                  <w:rPr>
                    <w:rFonts w:cs="Arial"/>
                    <w:b w:val="0"/>
                    <w:bCs w:val="0"/>
                    <w:noProof/>
                    <w:sz w:val="24"/>
                    <w:szCs w:val="24"/>
                  </w:rPr>
                  <w:t>[signature redacted]</w:t>
                </w:r>
              </w:p>
            </w:tc>
          </w:tr>
          <w:tr w:rsidR="009F7A60" w14:paraId="565787E1" w14:textId="77777777" w:rsidTr="00FA1813">
            <w:trPr>
              <w:trHeight w:val="848"/>
            </w:trPr>
            <w:tc>
              <w:tcPr>
                <w:cnfStyle w:val="001000000000" w:firstRow="0" w:lastRow="0" w:firstColumn="1" w:lastColumn="0" w:oddVBand="0" w:evenVBand="0" w:oddHBand="0" w:evenHBand="0" w:firstRowFirstColumn="0" w:firstRowLastColumn="0" w:lastRowFirstColumn="0" w:lastRowLastColumn="0"/>
                <w:tcW w:w="3685" w:type="dxa"/>
                <w:tcBorders>
                  <w:right w:val="none" w:sz="0" w:space="0" w:color="auto"/>
                </w:tcBorders>
              </w:tcPr>
              <w:p w14:paraId="0A92056F" w14:textId="77777777" w:rsidR="009F7A60" w:rsidRPr="00AF136A" w:rsidRDefault="009F7A60" w:rsidP="00FA1813">
                <w:pPr>
                  <w:rPr>
                    <w:rFonts w:cs="Arial"/>
                    <w:b w:val="0"/>
                    <w:sz w:val="24"/>
                    <w:szCs w:val="24"/>
                  </w:rPr>
                </w:pPr>
                <w:r w:rsidRPr="00AF136A">
                  <w:rPr>
                    <w:rFonts w:cs="Arial"/>
                    <w:b w:val="0"/>
                    <w:sz w:val="24"/>
                    <w:szCs w:val="24"/>
                  </w:rPr>
                  <w:t>Scott McDougall</w:t>
                </w:r>
              </w:p>
              <w:p w14:paraId="1EE728D3" w14:textId="77777777" w:rsidR="009F7A60" w:rsidRPr="00AF136A" w:rsidRDefault="009F7A60" w:rsidP="00FA1813">
                <w:pPr>
                  <w:rPr>
                    <w:rFonts w:cs="Arial"/>
                    <w:b w:val="0"/>
                    <w:sz w:val="24"/>
                    <w:szCs w:val="24"/>
                  </w:rPr>
                </w:pPr>
                <w:r w:rsidRPr="00AF136A">
                  <w:rPr>
                    <w:rFonts w:cs="Arial"/>
                    <w:b w:val="0"/>
                    <w:sz w:val="24"/>
                    <w:szCs w:val="24"/>
                  </w:rPr>
                  <w:t xml:space="preserve">Commissioner </w:t>
                </w:r>
              </w:p>
              <w:p w14:paraId="2515F4A8" w14:textId="0A0BDA8E" w:rsidR="009F7A60" w:rsidRPr="00AF136A" w:rsidRDefault="008A208B" w:rsidP="00A37207">
                <w:pPr>
                  <w:rPr>
                    <w:rFonts w:cs="Arial"/>
                    <w:b w:val="0"/>
                    <w:sz w:val="24"/>
                    <w:szCs w:val="24"/>
                  </w:rPr>
                </w:pPr>
                <w:r>
                  <w:rPr>
                    <w:rFonts w:cs="Arial"/>
                    <w:b w:val="0"/>
                    <w:sz w:val="24"/>
                    <w:szCs w:val="24"/>
                  </w:rPr>
                  <w:t>11 September</w:t>
                </w:r>
                <w:r w:rsidR="00A37207">
                  <w:rPr>
                    <w:rFonts w:cs="Arial"/>
                    <w:b w:val="0"/>
                    <w:sz w:val="24"/>
                    <w:szCs w:val="24"/>
                  </w:rPr>
                  <w:t xml:space="preserve"> 202</w:t>
                </w:r>
                <w:r>
                  <w:rPr>
                    <w:rFonts w:cs="Arial"/>
                    <w:b w:val="0"/>
                    <w:sz w:val="24"/>
                    <w:szCs w:val="24"/>
                  </w:rPr>
                  <w:t>3</w:t>
                </w:r>
              </w:p>
            </w:tc>
          </w:tr>
        </w:tbl>
        <w:p w14:paraId="77049B13" w14:textId="77777777" w:rsidR="009F7A60" w:rsidRDefault="009F7A60" w:rsidP="009F7A60">
          <w:pPr>
            <w:rPr>
              <w:rFonts w:cs="Arial"/>
              <w:b/>
              <w:sz w:val="24"/>
              <w:szCs w:val="24"/>
            </w:rPr>
          </w:pPr>
          <w:r>
            <w:rPr>
              <w:rFonts w:cs="Arial"/>
              <w:b/>
              <w:sz w:val="24"/>
              <w:szCs w:val="24"/>
            </w:rPr>
            <w:br w:type="page"/>
          </w:r>
        </w:p>
        <w:p w14:paraId="06BE2E07" w14:textId="77777777" w:rsidR="00583C1B" w:rsidRDefault="00583C1B" w:rsidP="00583C1B"/>
        <w:p w14:paraId="48F87B6A" w14:textId="77777777" w:rsidR="009F7A60" w:rsidRPr="00FC04E2" w:rsidRDefault="009F7A60" w:rsidP="009F7A60">
          <w:pPr>
            <w:pStyle w:val="Heading1"/>
          </w:pPr>
          <w:bookmarkStart w:id="7" w:name="_Toc14702241"/>
          <w:bookmarkStart w:id="8" w:name="_Toc59022021"/>
          <w:bookmarkStart w:id="9" w:name="_Toc59022784"/>
          <w:r w:rsidRPr="00FC04E2">
            <w:t>Table of Contents</w:t>
          </w:r>
          <w:bookmarkEnd w:id="7"/>
          <w:bookmarkEnd w:id="8"/>
          <w:bookmarkEnd w:id="9"/>
        </w:p>
        <w:p w14:paraId="7FA3662C" w14:textId="77777777" w:rsidR="009F7A60" w:rsidRDefault="009F7A60" w:rsidP="009F7A60">
          <w:pPr>
            <w:tabs>
              <w:tab w:val="right" w:leader="dot" w:pos="9072"/>
              <w:tab w:val="right" w:leader="dot" w:pos="9639"/>
            </w:tabs>
            <w:spacing w:after="120"/>
            <w:rPr>
              <w:rFonts w:cs="Arial"/>
              <w:sz w:val="22"/>
              <w:szCs w:val="22"/>
            </w:rPr>
          </w:pPr>
        </w:p>
        <w:p w14:paraId="3A93AFEE" w14:textId="77777777" w:rsidR="00605D85" w:rsidRDefault="009F7A60">
          <w:pPr>
            <w:pStyle w:val="TOC1"/>
            <w:rPr>
              <w:rFonts w:asciiTheme="minorHAnsi" w:eastAsiaTheme="minorEastAsia" w:hAnsiTheme="minorHAnsi" w:cstheme="minorBidi"/>
              <w:bCs w:val="0"/>
              <w:color w:val="auto"/>
              <w:szCs w:val="22"/>
            </w:rPr>
          </w:pPr>
          <w:r w:rsidRPr="00D56FAA">
            <w:rPr>
              <w:rFonts w:cs="Arial"/>
              <w:szCs w:val="22"/>
            </w:rPr>
            <w:fldChar w:fldCharType="begin"/>
          </w:r>
          <w:r w:rsidRPr="00D56FAA">
            <w:rPr>
              <w:rFonts w:cs="Arial"/>
              <w:szCs w:val="22"/>
            </w:rPr>
            <w:instrText xml:space="preserve"> TOC \o "1-3" \h \z \u </w:instrText>
          </w:r>
          <w:r w:rsidRPr="00D56FAA">
            <w:rPr>
              <w:rFonts w:cs="Arial"/>
              <w:szCs w:val="22"/>
            </w:rPr>
            <w:fldChar w:fldCharType="separate"/>
          </w:r>
          <w:hyperlink w:anchor="_Toc59022785" w:history="1">
            <w:r w:rsidR="00605D85" w:rsidRPr="00A2184C">
              <w:rPr>
                <w:rStyle w:val="Hyperlink"/>
              </w:rPr>
              <w:t>Purpose</w:t>
            </w:r>
            <w:r w:rsidR="00605D85">
              <w:rPr>
                <w:webHidden/>
              </w:rPr>
              <w:tab/>
            </w:r>
            <w:r w:rsidR="00605D85">
              <w:rPr>
                <w:webHidden/>
              </w:rPr>
              <w:fldChar w:fldCharType="begin"/>
            </w:r>
            <w:r w:rsidR="00605D85">
              <w:rPr>
                <w:webHidden/>
              </w:rPr>
              <w:instrText xml:space="preserve"> PAGEREF _Toc59022785 \h </w:instrText>
            </w:r>
            <w:r w:rsidR="00605D85">
              <w:rPr>
                <w:webHidden/>
              </w:rPr>
            </w:r>
            <w:r w:rsidR="00605D85">
              <w:rPr>
                <w:webHidden/>
              </w:rPr>
              <w:fldChar w:fldCharType="separate"/>
            </w:r>
            <w:r w:rsidR="005E46F9">
              <w:rPr>
                <w:webHidden/>
              </w:rPr>
              <w:t>4</w:t>
            </w:r>
            <w:r w:rsidR="00605D85">
              <w:rPr>
                <w:webHidden/>
              </w:rPr>
              <w:fldChar w:fldCharType="end"/>
            </w:r>
          </w:hyperlink>
        </w:p>
        <w:p w14:paraId="4ED1005F" w14:textId="77777777" w:rsidR="00605D85" w:rsidRDefault="0094130D">
          <w:pPr>
            <w:pStyle w:val="TOC1"/>
            <w:rPr>
              <w:rFonts w:asciiTheme="minorHAnsi" w:eastAsiaTheme="minorEastAsia" w:hAnsiTheme="minorHAnsi" w:cstheme="minorBidi"/>
              <w:bCs w:val="0"/>
              <w:color w:val="auto"/>
              <w:szCs w:val="22"/>
            </w:rPr>
          </w:pPr>
          <w:hyperlink w:anchor="_Toc59022786" w:history="1">
            <w:r w:rsidR="00605D85" w:rsidRPr="00A2184C">
              <w:rPr>
                <w:rStyle w:val="Hyperlink"/>
                <w:lang w:val="en-US"/>
              </w:rPr>
              <w:t>Principles</w:t>
            </w:r>
            <w:r w:rsidR="00605D85">
              <w:rPr>
                <w:webHidden/>
              </w:rPr>
              <w:tab/>
            </w:r>
            <w:r w:rsidR="00605D85">
              <w:rPr>
                <w:webHidden/>
              </w:rPr>
              <w:fldChar w:fldCharType="begin"/>
            </w:r>
            <w:r w:rsidR="00605D85">
              <w:rPr>
                <w:webHidden/>
              </w:rPr>
              <w:instrText xml:space="preserve"> PAGEREF _Toc59022786 \h </w:instrText>
            </w:r>
            <w:r w:rsidR="00605D85">
              <w:rPr>
                <w:webHidden/>
              </w:rPr>
            </w:r>
            <w:r w:rsidR="00605D85">
              <w:rPr>
                <w:webHidden/>
              </w:rPr>
              <w:fldChar w:fldCharType="separate"/>
            </w:r>
            <w:r w:rsidR="005E46F9">
              <w:rPr>
                <w:webHidden/>
              </w:rPr>
              <w:t>4</w:t>
            </w:r>
            <w:r w:rsidR="00605D85">
              <w:rPr>
                <w:webHidden/>
              </w:rPr>
              <w:fldChar w:fldCharType="end"/>
            </w:r>
          </w:hyperlink>
        </w:p>
        <w:p w14:paraId="43081E38" w14:textId="77777777" w:rsidR="00605D85" w:rsidRDefault="0094130D">
          <w:pPr>
            <w:pStyle w:val="TOC1"/>
            <w:rPr>
              <w:rFonts w:asciiTheme="minorHAnsi" w:eastAsiaTheme="minorEastAsia" w:hAnsiTheme="minorHAnsi" w:cstheme="minorBidi"/>
              <w:bCs w:val="0"/>
              <w:color w:val="auto"/>
              <w:szCs w:val="22"/>
            </w:rPr>
          </w:pPr>
          <w:hyperlink w:anchor="_Toc59022787" w:history="1">
            <w:r w:rsidR="00605D85" w:rsidRPr="00A2184C">
              <w:rPr>
                <w:rStyle w:val="Hyperlink"/>
                <w:lang w:val="en-US"/>
              </w:rPr>
              <w:t>Authority</w:t>
            </w:r>
            <w:r w:rsidR="00605D85">
              <w:rPr>
                <w:webHidden/>
              </w:rPr>
              <w:tab/>
            </w:r>
            <w:r w:rsidR="00605D85">
              <w:rPr>
                <w:webHidden/>
              </w:rPr>
              <w:fldChar w:fldCharType="begin"/>
            </w:r>
            <w:r w:rsidR="00605D85">
              <w:rPr>
                <w:webHidden/>
              </w:rPr>
              <w:instrText xml:space="preserve"> PAGEREF _Toc59022787 \h </w:instrText>
            </w:r>
            <w:r w:rsidR="00605D85">
              <w:rPr>
                <w:webHidden/>
              </w:rPr>
            </w:r>
            <w:r w:rsidR="00605D85">
              <w:rPr>
                <w:webHidden/>
              </w:rPr>
              <w:fldChar w:fldCharType="separate"/>
            </w:r>
            <w:r w:rsidR="005E46F9">
              <w:rPr>
                <w:webHidden/>
              </w:rPr>
              <w:t>4</w:t>
            </w:r>
            <w:r w:rsidR="00605D85">
              <w:rPr>
                <w:webHidden/>
              </w:rPr>
              <w:fldChar w:fldCharType="end"/>
            </w:r>
          </w:hyperlink>
        </w:p>
        <w:p w14:paraId="297C1ECA" w14:textId="77777777" w:rsidR="00605D85" w:rsidRDefault="0094130D">
          <w:pPr>
            <w:pStyle w:val="TOC1"/>
            <w:rPr>
              <w:rFonts w:asciiTheme="minorHAnsi" w:eastAsiaTheme="minorEastAsia" w:hAnsiTheme="minorHAnsi" w:cstheme="minorBidi"/>
              <w:bCs w:val="0"/>
              <w:color w:val="auto"/>
              <w:szCs w:val="22"/>
            </w:rPr>
          </w:pPr>
          <w:hyperlink w:anchor="_Toc59022788" w:history="1">
            <w:r w:rsidR="00605D85" w:rsidRPr="00A2184C">
              <w:rPr>
                <w:rStyle w:val="Hyperlink"/>
                <w:lang w:val="en-US"/>
              </w:rPr>
              <w:t>Commitment</w:t>
            </w:r>
            <w:r w:rsidR="00605D85">
              <w:rPr>
                <w:webHidden/>
              </w:rPr>
              <w:tab/>
            </w:r>
            <w:r w:rsidR="00605D85">
              <w:rPr>
                <w:webHidden/>
              </w:rPr>
              <w:fldChar w:fldCharType="begin"/>
            </w:r>
            <w:r w:rsidR="00605D85">
              <w:rPr>
                <w:webHidden/>
              </w:rPr>
              <w:instrText xml:space="preserve"> PAGEREF _Toc59022788 \h </w:instrText>
            </w:r>
            <w:r w:rsidR="00605D85">
              <w:rPr>
                <w:webHidden/>
              </w:rPr>
            </w:r>
            <w:r w:rsidR="00605D85">
              <w:rPr>
                <w:webHidden/>
              </w:rPr>
              <w:fldChar w:fldCharType="separate"/>
            </w:r>
            <w:r w:rsidR="005E46F9">
              <w:rPr>
                <w:webHidden/>
              </w:rPr>
              <w:t>5</w:t>
            </w:r>
            <w:r w:rsidR="00605D85">
              <w:rPr>
                <w:webHidden/>
              </w:rPr>
              <w:fldChar w:fldCharType="end"/>
            </w:r>
          </w:hyperlink>
        </w:p>
        <w:p w14:paraId="19B5FA0F" w14:textId="77777777" w:rsidR="00605D85" w:rsidRDefault="0094130D">
          <w:pPr>
            <w:pStyle w:val="TOC1"/>
            <w:rPr>
              <w:rFonts w:asciiTheme="minorHAnsi" w:eastAsiaTheme="minorEastAsia" w:hAnsiTheme="minorHAnsi" w:cstheme="minorBidi"/>
              <w:bCs w:val="0"/>
              <w:color w:val="auto"/>
              <w:szCs w:val="22"/>
            </w:rPr>
          </w:pPr>
          <w:hyperlink w:anchor="_Toc59022789" w:history="1">
            <w:r w:rsidR="00605D85" w:rsidRPr="00A2184C">
              <w:rPr>
                <w:rStyle w:val="Hyperlink"/>
                <w:lang w:val="en-US"/>
              </w:rPr>
              <w:t>Scope of policy</w:t>
            </w:r>
            <w:r w:rsidR="00605D85">
              <w:rPr>
                <w:webHidden/>
              </w:rPr>
              <w:tab/>
            </w:r>
            <w:r w:rsidR="00605D85">
              <w:rPr>
                <w:webHidden/>
              </w:rPr>
              <w:fldChar w:fldCharType="begin"/>
            </w:r>
            <w:r w:rsidR="00605D85">
              <w:rPr>
                <w:webHidden/>
              </w:rPr>
              <w:instrText xml:space="preserve"> PAGEREF _Toc59022789 \h </w:instrText>
            </w:r>
            <w:r w:rsidR="00605D85">
              <w:rPr>
                <w:webHidden/>
              </w:rPr>
            </w:r>
            <w:r w:rsidR="00605D85">
              <w:rPr>
                <w:webHidden/>
              </w:rPr>
              <w:fldChar w:fldCharType="separate"/>
            </w:r>
            <w:r w:rsidR="005E46F9">
              <w:rPr>
                <w:webHidden/>
              </w:rPr>
              <w:t>5</w:t>
            </w:r>
            <w:r w:rsidR="00605D85">
              <w:rPr>
                <w:webHidden/>
              </w:rPr>
              <w:fldChar w:fldCharType="end"/>
            </w:r>
          </w:hyperlink>
        </w:p>
        <w:p w14:paraId="7546E0A5" w14:textId="77777777" w:rsidR="00605D85" w:rsidRDefault="0094130D">
          <w:pPr>
            <w:pStyle w:val="TOC1"/>
            <w:rPr>
              <w:rFonts w:asciiTheme="minorHAnsi" w:eastAsiaTheme="minorEastAsia" w:hAnsiTheme="minorHAnsi" w:cstheme="minorBidi"/>
              <w:bCs w:val="0"/>
              <w:color w:val="auto"/>
              <w:szCs w:val="22"/>
            </w:rPr>
          </w:pPr>
          <w:hyperlink w:anchor="_Toc59022790" w:history="1">
            <w:r w:rsidR="00605D85" w:rsidRPr="00A2184C">
              <w:rPr>
                <w:rStyle w:val="Hyperlink"/>
                <w:lang w:val="en-US"/>
              </w:rPr>
              <w:t>Definitions</w:t>
            </w:r>
            <w:r w:rsidR="00605D85">
              <w:rPr>
                <w:webHidden/>
              </w:rPr>
              <w:tab/>
            </w:r>
            <w:r w:rsidR="00605D85">
              <w:rPr>
                <w:webHidden/>
              </w:rPr>
              <w:fldChar w:fldCharType="begin"/>
            </w:r>
            <w:r w:rsidR="00605D85">
              <w:rPr>
                <w:webHidden/>
              </w:rPr>
              <w:instrText xml:space="preserve"> PAGEREF _Toc59022790 \h </w:instrText>
            </w:r>
            <w:r w:rsidR="00605D85">
              <w:rPr>
                <w:webHidden/>
              </w:rPr>
            </w:r>
            <w:r w:rsidR="00605D85">
              <w:rPr>
                <w:webHidden/>
              </w:rPr>
              <w:fldChar w:fldCharType="separate"/>
            </w:r>
            <w:r w:rsidR="005E46F9">
              <w:rPr>
                <w:webHidden/>
              </w:rPr>
              <w:t>6</w:t>
            </w:r>
            <w:r w:rsidR="00605D85">
              <w:rPr>
                <w:webHidden/>
              </w:rPr>
              <w:fldChar w:fldCharType="end"/>
            </w:r>
          </w:hyperlink>
        </w:p>
        <w:p w14:paraId="3B2519EB" w14:textId="77777777" w:rsidR="00605D85" w:rsidRDefault="0094130D">
          <w:pPr>
            <w:pStyle w:val="TOC1"/>
            <w:rPr>
              <w:rFonts w:asciiTheme="minorHAnsi" w:eastAsiaTheme="minorEastAsia" w:hAnsiTheme="minorHAnsi" w:cstheme="minorBidi"/>
              <w:bCs w:val="0"/>
              <w:color w:val="auto"/>
              <w:szCs w:val="22"/>
            </w:rPr>
          </w:pPr>
          <w:hyperlink w:anchor="_Toc59022791" w:history="1">
            <w:r w:rsidR="00605D85" w:rsidRPr="00A2184C">
              <w:rPr>
                <w:rStyle w:val="Hyperlink"/>
              </w:rPr>
              <w:t>What is a public interest disclosure (PID)?</w:t>
            </w:r>
            <w:r w:rsidR="00605D85">
              <w:rPr>
                <w:webHidden/>
              </w:rPr>
              <w:tab/>
            </w:r>
            <w:r w:rsidR="00605D85">
              <w:rPr>
                <w:webHidden/>
              </w:rPr>
              <w:fldChar w:fldCharType="begin"/>
            </w:r>
            <w:r w:rsidR="00605D85">
              <w:rPr>
                <w:webHidden/>
              </w:rPr>
              <w:instrText xml:space="preserve"> PAGEREF _Toc59022791 \h </w:instrText>
            </w:r>
            <w:r w:rsidR="00605D85">
              <w:rPr>
                <w:webHidden/>
              </w:rPr>
            </w:r>
            <w:r w:rsidR="00605D85">
              <w:rPr>
                <w:webHidden/>
              </w:rPr>
              <w:fldChar w:fldCharType="separate"/>
            </w:r>
            <w:r w:rsidR="005E46F9">
              <w:rPr>
                <w:webHidden/>
              </w:rPr>
              <w:t>8</w:t>
            </w:r>
            <w:r w:rsidR="00605D85">
              <w:rPr>
                <w:webHidden/>
              </w:rPr>
              <w:fldChar w:fldCharType="end"/>
            </w:r>
          </w:hyperlink>
        </w:p>
        <w:p w14:paraId="19602F81" w14:textId="77777777" w:rsidR="00605D85" w:rsidRDefault="0094130D">
          <w:pPr>
            <w:pStyle w:val="TOC1"/>
            <w:rPr>
              <w:rFonts w:asciiTheme="minorHAnsi" w:eastAsiaTheme="minorEastAsia" w:hAnsiTheme="minorHAnsi" w:cstheme="minorBidi"/>
              <w:bCs w:val="0"/>
              <w:color w:val="auto"/>
              <w:szCs w:val="22"/>
            </w:rPr>
          </w:pPr>
          <w:hyperlink w:anchor="_Toc59022795" w:history="1">
            <w:r w:rsidR="00605D85" w:rsidRPr="00A2184C">
              <w:rPr>
                <w:rStyle w:val="Hyperlink"/>
              </w:rPr>
              <w:t>PD management program</w:t>
            </w:r>
            <w:r w:rsidR="00605D85">
              <w:rPr>
                <w:webHidden/>
              </w:rPr>
              <w:tab/>
            </w:r>
            <w:r w:rsidR="00605D85">
              <w:rPr>
                <w:webHidden/>
              </w:rPr>
              <w:fldChar w:fldCharType="begin"/>
            </w:r>
            <w:r w:rsidR="00605D85">
              <w:rPr>
                <w:webHidden/>
              </w:rPr>
              <w:instrText xml:space="preserve"> PAGEREF _Toc59022795 \h </w:instrText>
            </w:r>
            <w:r w:rsidR="00605D85">
              <w:rPr>
                <w:webHidden/>
              </w:rPr>
            </w:r>
            <w:r w:rsidR="00605D85">
              <w:rPr>
                <w:webHidden/>
              </w:rPr>
              <w:fldChar w:fldCharType="separate"/>
            </w:r>
            <w:r w:rsidR="005E46F9">
              <w:rPr>
                <w:webHidden/>
              </w:rPr>
              <w:t>9</w:t>
            </w:r>
            <w:r w:rsidR="00605D85">
              <w:rPr>
                <w:webHidden/>
              </w:rPr>
              <w:fldChar w:fldCharType="end"/>
            </w:r>
          </w:hyperlink>
        </w:p>
        <w:p w14:paraId="1A0B2741" w14:textId="77777777" w:rsidR="00605D85" w:rsidRDefault="0094130D">
          <w:pPr>
            <w:pStyle w:val="TOC1"/>
            <w:rPr>
              <w:rFonts w:asciiTheme="minorHAnsi" w:eastAsiaTheme="minorEastAsia" w:hAnsiTheme="minorHAnsi" w:cstheme="minorBidi"/>
              <w:bCs w:val="0"/>
              <w:color w:val="auto"/>
              <w:szCs w:val="22"/>
            </w:rPr>
          </w:pPr>
          <w:hyperlink w:anchor="_Toc59022796" w:history="1">
            <w:r w:rsidR="00605D85" w:rsidRPr="00A2184C">
              <w:rPr>
                <w:rStyle w:val="Hyperlink"/>
              </w:rPr>
              <w:t>How to make a disclosure</w:t>
            </w:r>
            <w:r w:rsidR="00605D85">
              <w:rPr>
                <w:webHidden/>
              </w:rPr>
              <w:tab/>
            </w:r>
            <w:r w:rsidR="00605D85">
              <w:rPr>
                <w:webHidden/>
              </w:rPr>
              <w:fldChar w:fldCharType="begin"/>
            </w:r>
            <w:r w:rsidR="00605D85">
              <w:rPr>
                <w:webHidden/>
              </w:rPr>
              <w:instrText xml:space="preserve"> PAGEREF _Toc59022796 \h </w:instrText>
            </w:r>
            <w:r w:rsidR="00605D85">
              <w:rPr>
                <w:webHidden/>
              </w:rPr>
            </w:r>
            <w:r w:rsidR="00605D85">
              <w:rPr>
                <w:webHidden/>
              </w:rPr>
              <w:fldChar w:fldCharType="separate"/>
            </w:r>
            <w:r w:rsidR="005E46F9">
              <w:rPr>
                <w:webHidden/>
              </w:rPr>
              <w:t>10</w:t>
            </w:r>
            <w:r w:rsidR="00605D85">
              <w:rPr>
                <w:webHidden/>
              </w:rPr>
              <w:fldChar w:fldCharType="end"/>
            </w:r>
          </w:hyperlink>
        </w:p>
        <w:p w14:paraId="38EDB5B7" w14:textId="77777777" w:rsidR="00605D85" w:rsidRDefault="0094130D">
          <w:pPr>
            <w:pStyle w:val="TOC1"/>
            <w:rPr>
              <w:rFonts w:asciiTheme="minorHAnsi" w:eastAsiaTheme="minorEastAsia" w:hAnsiTheme="minorHAnsi" w:cstheme="minorBidi"/>
              <w:bCs w:val="0"/>
              <w:color w:val="auto"/>
              <w:szCs w:val="22"/>
            </w:rPr>
          </w:pPr>
          <w:hyperlink w:anchor="_Toc59022803" w:history="1">
            <w:r w:rsidR="00605D85" w:rsidRPr="00A2184C">
              <w:rPr>
                <w:rStyle w:val="Hyperlink"/>
              </w:rPr>
              <w:t>What we will do after you make a disclosure</w:t>
            </w:r>
            <w:r w:rsidR="00605D85">
              <w:rPr>
                <w:webHidden/>
              </w:rPr>
              <w:tab/>
            </w:r>
            <w:r w:rsidR="00605D85">
              <w:rPr>
                <w:webHidden/>
              </w:rPr>
              <w:fldChar w:fldCharType="begin"/>
            </w:r>
            <w:r w:rsidR="00605D85">
              <w:rPr>
                <w:webHidden/>
              </w:rPr>
              <w:instrText xml:space="preserve"> PAGEREF _Toc59022803 \h </w:instrText>
            </w:r>
            <w:r w:rsidR="00605D85">
              <w:rPr>
                <w:webHidden/>
              </w:rPr>
            </w:r>
            <w:r w:rsidR="00605D85">
              <w:rPr>
                <w:webHidden/>
              </w:rPr>
              <w:fldChar w:fldCharType="separate"/>
            </w:r>
            <w:r w:rsidR="005E46F9">
              <w:rPr>
                <w:webHidden/>
              </w:rPr>
              <w:t>13</w:t>
            </w:r>
            <w:r w:rsidR="00605D85">
              <w:rPr>
                <w:webHidden/>
              </w:rPr>
              <w:fldChar w:fldCharType="end"/>
            </w:r>
          </w:hyperlink>
        </w:p>
        <w:p w14:paraId="126103CD" w14:textId="77777777" w:rsidR="00605D85" w:rsidRDefault="0094130D">
          <w:pPr>
            <w:pStyle w:val="TOC1"/>
            <w:rPr>
              <w:rFonts w:asciiTheme="minorHAnsi" w:eastAsiaTheme="minorEastAsia" w:hAnsiTheme="minorHAnsi" w:cstheme="minorBidi"/>
              <w:bCs w:val="0"/>
              <w:color w:val="auto"/>
              <w:szCs w:val="22"/>
            </w:rPr>
          </w:pPr>
          <w:hyperlink w:anchor="_Toc59022808" w:history="1">
            <w:r w:rsidR="00605D85" w:rsidRPr="00A2184C">
              <w:rPr>
                <w:rStyle w:val="Hyperlink"/>
              </w:rPr>
              <w:t>Support for disclosers</w:t>
            </w:r>
            <w:r w:rsidR="00605D85">
              <w:rPr>
                <w:webHidden/>
              </w:rPr>
              <w:tab/>
            </w:r>
            <w:r w:rsidR="00605D85">
              <w:rPr>
                <w:webHidden/>
              </w:rPr>
              <w:fldChar w:fldCharType="begin"/>
            </w:r>
            <w:r w:rsidR="00605D85">
              <w:rPr>
                <w:webHidden/>
              </w:rPr>
              <w:instrText xml:space="preserve"> PAGEREF _Toc59022808 \h </w:instrText>
            </w:r>
            <w:r w:rsidR="00605D85">
              <w:rPr>
                <w:webHidden/>
              </w:rPr>
            </w:r>
            <w:r w:rsidR="00605D85">
              <w:rPr>
                <w:webHidden/>
              </w:rPr>
              <w:fldChar w:fldCharType="separate"/>
            </w:r>
            <w:r w:rsidR="005E46F9">
              <w:rPr>
                <w:webHidden/>
              </w:rPr>
              <w:t>14</w:t>
            </w:r>
            <w:r w:rsidR="00605D85">
              <w:rPr>
                <w:webHidden/>
              </w:rPr>
              <w:fldChar w:fldCharType="end"/>
            </w:r>
          </w:hyperlink>
        </w:p>
        <w:p w14:paraId="2EDB8C8A" w14:textId="77777777" w:rsidR="00605D85" w:rsidRDefault="0094130D">
          <w:pPr>
            <w:pStyle w:val="TOC1"/>
            <w:rPr>
              <w:rFonts w:asciiTheme="minorHAnsi" w:eastAsiaTheme="minorEastAsia" w:hAnsiTheme="minorHAnsi" w:cstheme="minorBidi"/>
              <w:bCs w:val="0"/>
              <w:color w:val="auto"/>
              <w:szCs w:val="22"/>
            </w:rPr>
          </w:pPr>
          <w:hyperlink w:anchor="_Toc59022811" w:history="1">
            <w:r w:rsidR="00605D85" w:rsidRPr="00A2184C">
              <w:rPr>
                <w:rStyle w:val="Hyperlink"/>
              </w:rPr>
              <w:t>Responding to reprisals</w:t>
            </w:r>
            <w:r w:rsidR="00605D85">
              <w:rPr>
                <w:webHidden/>
              </w:rPr>
              <w:tab/>
            </w:r>
            <w:r w:rsidR="00605D85">
              <w:rPr>
                <w:webHidden/>
              </w:rPr>
              <w:fldChar w:fldCharType="begin"/>
            </w:r>
            <w:r w:rsidR="00605D85">
              <w:rPr>
                <w:webHidden/>
              </w:rPr>
              <w:instrText xml:space="preserve"> PAGEREF _Toc59022811 \h </w:instrText>
            </w:r>
            <w:r w:rsidR="00605D85">
              <w:rPr>
                <w:webHidden/>
              </w:rPr>
            </w:r>
            <w:r w:rsidR="00605D85">
              <w:rPr>
                <w:webHidden/>
              </w:rPr>
              <w:fldChar w:fldCharType="separate"/>
            </w:r>
            <w:r w:rsidR="005E46F9">
              <w:rPr>
                <w:webHidden/>
              </w:rPr>
              <w:t>16</w:t>
            </w:r>
            <w:r w:rsidR="00605D85">
              <w:rPr>
                <w:webHidden/>
              </w:rPr>
              <w:fldChar w:fldCharType="end"/>
            </w:r>
          </w:hyperlink>
        </w:p>
        <w:p w14:paraId="37AB6565" w14:textId="77777777" w:rsidR="00605D85" w:rsidRDefault="0094130D">
          <w:pPr>
            <w:pStyle w:val="TOC1"/>
            <w:rPr>
              <w:rFonts w:asciiTheme="minorHAnsi" w:eastAsiaTheme="minorEastAsia" w:hAnsiTheme="minorHAnsi" w:cstheme="minorBidi"/>
              <w:bCs w:val="0"/>
              <w:color w:val="auto"/>
              <w:szCs w:val="22"/>
            </w:rPr>
          </w:pPr>
          <w:hyperlink w:anchor="_Toc59022812" w:history="1">
            <w:r w:rsidR="00605D85" w:rsidRPr="00A2184C">
              <w:rPr>
                <w:rStyle w:val="Hyperlink"/>
              </w:rPr>
              <w:t>Investigating a PID</w:t>
            </w:r>
            <w:r w:rsidR="00605D85">
              <w:rPr>
                <w:webHidden/>
              </w:rPr>
              <w:tab/>
            </w:r>
            <w:r w:rsidR="00605D85">
              <w:rPr>
                <w:webHidden/>
              </w:rPr>
              <w:fldChar w:fldCharType="begin"/>
            </w:r>
            <w:r w:rsidR="00605D85">
              <w:rPr>
                <w:webHidden/>
              </w:rPr>
              <w:instrText xml:space="preserve"> PAGEREF _Toc59022812 \h </w:instrText>
            </w:r>
            <w:r w:rsidR="00605D85">
              <w:rPr>
                <w:webHidden/>
              </w:rPr>
            </w:r>
            <w:r w:rsidR="00605D85">
              <w:rPr>
                <w:webHidden/>
              </w:rPr>
              <w:fldChar w:fldCharType="separate"/>
            </w:r>
            <w:r w:rsidR="005E46F9">
              <w:rPr>
                <w:webHidden/>
              </w:rPr>
              <w:t>16</w:t>
            </w:r>
            <w:r w:rsidR="00605D85">
              <w:rPr>
                <w:webHidden/>
              </w:rPr>
              <w:fldChar w:fldCharType="end"/>
            </w:r>
          </w:hyperlink>
        </w:p>
        <w:p w14:paraId="455DB6AC" w14:textId="77777777" w:rsidR="00605D85" w:rsidRDefault="0094130D">
          <w:pPr>
            <w:pStyle w:val="TOC1"/>
            <w:rPr>
              <w:rFonts w:asciiTheme="minorHAnsi" w:eastAsiaTheme="minorEastAsia" w:hAnsiTheme="minorHAnsi" w:cstheme="minorBidi"/>
              <w:bCs w:val="0"/>
              <w:color w:val="auto"/>
              <w:szCs w:val="22"/>
            </w:rPr>
          </w:pPr>
          <w:hyperlink w:anchor="_Toc59022813" w:history="1">
            <w:r w:rsidR="00605D85" w:rsidRPr="00A2184C">
              <w:rPr>
                <w:rStyle w:val="Hyperlink"/>
              </w:rPr>
              <w:t>What if a PID is made about me?</w:t>
            </w:r>
            <w:r w:rsidR="00605D85">
              <w:rPr>
                <w:webHidden/>
              </w:rPr>
              <w:tab/>
            </w:r>
            <w:r w:rsidR="00605D85">
              <w:rPr>
                <w:webHidden/>
              </w:rPr>
              <w:fldChar w:fldCharType="begin"/>
            </w:r>
            <w:r w:rsidR="00605D85">
              <w:rPr>
                <w:webHidden/>
              </w:rPr>
              <w:instrText xml:space="preserve"> PAGEREF _Toc59022813 \h </w:instrText>
            </w:r>
            <w:r w:rsidR="00605D85">
              <w:rPr>
                <w:webHidden/>
              </w:rPr>
            </w:r>
            <w:r w:rsidR="00605D85">
              <w:rPr>
                <w:webHidden/>
              </w:rPr>
              <w:fldChar w:fldCharType="separate"/>
            </w:r>
            <w:r w:rsidR="005E46F9">
              <w:rPr>
                <w:webHidden/>
              </w:rPr>
              <w:t>17</w:t>
            </w:r>
            <w:r w:rsidR="00605D85">
              <w:rPr>
                <w:webHidden/>
              </w:rPr>
              <w:fldChar w:fldCharType="end"/>
            </w:r>
          </w:hyperlink>
        </w:p>
        <w:p w14:paraId="3735BC4D" w14:textId="77777777" w:rsidR="00605D85" w:rsidRDefault="0094130D">
          <w:pPr>
            <w:pStyle w:val="TOC1"/>
            <w:rPr>
              <w:rFonts w:asciiTheme="minorHAnsi" w:eastAsiaTheme="minorEastAsia" w:hAnsiTheme="minorHAnsi" w:cstheme="minorBidi"/>
              <w:bCs w:val="0"/>
              <w:color w:val="auto"/>
              <w:szCs w:val="22"/>
            </w:rPr>
          </w:pPr>
          <w:hyperlink w:anchor="_Toc59022814" w:history="1">
            <w:r w:rsidR="00605D85" w:rsidRPr="00A2184C">
              <w:rPr>
                <w:rStyle w:val="Hyperlink"/>
              </w:rPr>
              <w:t>Record-keeping and reporting</w:t>
            </w:r>
            <w:r w:rsidR="00605D85">
              <w:rPr>
                <w:webHidden/>
              </w:rPr>
              <w:tab/>
            </w:r>
            <w:r w:rsidR="00605D85">
              <w:rPr>
                <w:webHidden/>
              </w:rPr>
              <w:fldChar w:fldCharType="begin"/>
            </w:r>
            <w:r w:rsidR="00605D85">
              <w:rPr>
                <w:webHidden/>
              </w:rPr>
              <w:instrText xml:space="preserve"> PAGEREF _Toc59022814 \h </w:instrText>
            </w:r>
            <w:r w:rsidR="00605D85">
              <w:rPr>
                <w:webHidden/>
              </w:rPr>
            </w:r>
            <w:r w:rsidR="00605D85">
              <w:rPr>
                <w:webHidden/>
              </w:rPr>
              <w:fldChar w:fldCharType="separate"/>
            </w:r>
            <w:r w:rsidR="005E46F9">
              <w:rPr>
                <w:webHidden/>
              </w:rPr>
              <w:t>17</w:t>
            </w:r>
            <w:r w:rsidR="00605D85">
              <w:rPr>
                <w:webHidden/>
              </w:rPr>
              <w:fldChar w:fldCharType="end"/>
            </w:r>
          </w:hyperlink>
        </w:p>
        <w:p w14:paraId="2385AB51" w14:textId="77777777" w:rsidR="00605D85" w:rsidRDefault="0094130D">
          <w:pPr>
            <w:pStyle w:val="TOC1"/>
            <w:rPr>
              <w:rFonts w:asciiTheme="minorHAnsi" w:eastAsiaTheme="minorEastAsia" w:hAnsiTheme="minorHAnsi" w:cstheme="minorBidi"/>
              <w:bCs w:val="0"/>
              <w:color w:val="auto"/>
              <w:szCs w:val="22"/>
            </w:rPr>
          </w:pPr>
          <w:hyperlink w:anchor="_Toc59022815" w:history="1">
            <w:r w:rsidR="00605D85" w:rsidRPr="00A2184C">
              <w:rPr>
                <w:rStyle w:val="Hyperlink"/>
              </w:rPr>
              <w:t>Commitment to regular review</w:t>
            </w:r>
            <w:r w:rsidR="00605D85">
              <w:rPr>
                <w:webHidden/>
              </w:rPr>
              <w:tab/>
            </w:r>
            <w:r w:rsidR="00605D85">
              <w:rPr>
                <w:webHidden/>
              </w:rPr>
              <w:fldChar w:fldCharType="begin"/>
            </w:r>
            <w:r w:rsidR="00605D85">
              <w:rPr>
                <w:webHidden/>
              </w:rPr>
              <w:instrText xml:space="preserve"> PAGEREF _Toc59022815 \h </w:instrText>
            </w:r>
            <w:r w:rsidR="00605D85">
              <w:rPr>
                <w:webHidden/>
              </w:rPr>
            </w:r>
            <w:r w:rsidR="00605D85">
              <w:rPr>
                <w:webHidden/>
              </w:rPr>
              <w:fldChar w:fldCharType="separate"/>
            </w:r>
            <w:r w:rsidR="005E46F9">
              <w:rPr>
                <w:webHidden/>
              </w:rPr>
              <w:t>18</w:t>
            </w:r>
            <w:r w:rsidR="00605D85">
              <w:rPr>
                <w:webHidden/>
              </w:rPr>
              <w:fldChar w:fldCharType="end"/>
            </w:r>
          </w:hyperlink>
        </w:p>
        <w:p w14:paraId="5A0A17FE" w14:textId="77777777" w:rsidR="00605D85" w:rsidRDefault="0094130D">
          <w:pPr>
            <w:pStyle w:val="TOC1"/>
            <w:rPr>
              <w:rFonts w:asciiTheme="minorHAnsi" w:eastAsiaTheme="minorEastAsia" w:hAnsiTheme="minorHAnsi" w:cstheme="minorBidi"/>
              <w:bCs w:val="0"/>
              <w:color w:val="auto"/>
              <w:szCs w:val="22"/>
            </w:rPr>
          </w:pPr>
          <w:hyperlink w:anchor="_Toc59022816" w:history="1">
            <w:r w:rsidR="00605D85" w:rsidRPr="00A2184C">
              <w:rPr>
                <w:rStyle w:val="Hyperlink"/>
              </w:rPr>
              <w:t>Further information and assistance</w:t>
            </w:r>
            <w:r w:rsidR="00605D85">
              <w:rPr>
                <w:webHidden/>
              </w:rPr>
              <w:tab/>
            </w:r>
            <w:r w:rsidR="00605D85">
              <w:rPr>
                <w:webHidden/>
              </w:rPr>
              <w:fldChar w:fldCharType="begin"/>
            </w:r>
            <w:r w:rsidR="00605D85">
              <w:rPr>
                <w:webHidden/>
              </w:rPr>
              <w:instrText xml:space="preserve"> PAGEREF _Toc59022816 \h </w:instrText>
            </w:r>
            <w:r w:rsidR="00605D85">
              <w:rPr>
                <w:webHidden/>
              </w:rPr>
            </w:r>
            <w:r w:rsidR="00605D85">
              <w:rPr>
                <w:webHidden/>
              </w:rPr>
              <w:fldChar w:fldCharType="separate"/>
            </w:r>
            <w:r w:rsidR="005E46F9">
              <w:rPr>
                <w:webHidden/>
              </w:rPr>
              <w:t>18</w:t>
            </w:r>
            <w:r w:rsidR="00605D85">
              <w:rPr>
                <w:webHidden/>
              </w:rPr>
              <w:fldChar w:fldCharType="end"/>
            </w:r>
          </w:hyperlink>
        </w:p>
        <w:p w14:paraId="504755BF" w14:textId="77777777" w:rsidR="00605D85" w:rsidRDefault="0094130D">
          <w:pPr>
            <w:pStyle w:val="TOC1"/>
            <w:rPr>
              <w:rFonts w:asciiTheme="minorHAnsi" w:eastAsiaTheme="minorEastAsia" w:hAnsiTheme="minorHAnsi" w:cstheme="minorBidi"/>
              <w:bCs w:val="0"/>
              <w:color w:val="auto"/>
              <w:szCs w:val="22"/>
            </w:rPr>
          </w:pPr>
          <w:hyperlink w:anchor="_Toc59022817" w:history="1">
            <w:r w:rsidR="00605D85" w:rsidRPr="00A2184C">
              <w:rPr>
                <w:rStyle w:val="Hyperlink"/>
              </w:rPr>
              <w:t>Policy administration</w:t>
            </w:r>
            <w:r w:rsidR="00605D85">
              <w:rPr>
                <w:webHidden/>
              </w:rPr>
              <w:tab/>
            </w:r>
            <w:r w:rsidR="00605D85">
              <w:rPr>
                <w:webHidden/>
              </w:rPr>
              <w:fldChar w:fldCharType="begin"/>
            </w:r>
            <w:r w:rsidR="00605D85">
              <w:rPr>
                <w:webHidden/>
              </w:rPr>
              <w:instrText xml:space="preserve"> PAGEREF _Toc59022817 \h </w:instrText>
            </w:r>
            <w:r w:rsidR="00605D85">
              <w:rPr>
                <w:webHidden/>
              </w:rPr>
            </w:r>
            <w:r w:rsidR="00605D85">
              <w:rPr>
                <w:webHidden/>
              </w:rPr>
              <w:fldChar w:fldCharType="separate"/>
            </w:r>
            <w:r w:rsidR="005E46F9">
              <w:rPr>
                <w:webHidden/>
              </w:rPr>
              <w:t>18</w:t>
            </w:r>
            <w:r w:rsidR="00605D85">
              <w:rPr>
                <w:webHidden/>
              </w:rPr>
              <w:fldChar w:fldCharType="end"/>
            </w:r>
          </w:hyperlink>
        </w:p>
        <w:p w14:paraId="5BB15E7F" w14:textId="77777777" w:rsidR="00605D85" w:rsidRDefault="0094130D">
          <w:pPr>
            <w:pStyle w:val="TOC1"/>
            <w:rPr>
              <w:rFonts w:asciiTheme="minorHAnsi" w:eastAsiaTheme="minorEastAsia" w:hAnsiTheme="minorHAnsi" w:cstheme="minorBidi"/>
              <w:bCs w:val="0"/>
              <w:color w:val="auto"/>
              <w:szCs w:val="22"/>
            </w:rPr>
          </w:pPr>
          <w:hyperlink w:anchor="_Toc59022819" w:history="1">
            <w:r w:rsidR="00605D85" w:rsidRPr="00A2184C">
              <w:rPr>
                <w:rStyle w:val="Hyperlink"/>
              </w:rPr>
              <w:t>Attachment 1: Schedule</w:t>
            </w:r>
            <w:r w:rsidR="00605D85">
              <w:rPr>
                <w:webHidden/>
              </w:rPr>
              <w:tab/>
              <w:t>…</w:t>
            </w:r>
            <w:r w:rsidR="00605D85">
              <w:rPr>
                <w:webHidden/>
              </w:rPr>
              <w:fldChar w:fldCharType="begin"/>
            </w:r>
            <w:r w:rsidR="00605D85">
              <w:rPr>
                <w:webHidden/>
              </w:rPr>
              <w:instrText xml:space="preserve"> PAGEREF _Toc59022819 \h </w:instrText>
            </w:r>
            <w:r w:rsidR="00605D85">
              <w:rPr>
                <w:webHidden/>
              </w:rPr>
            </w:r>
            <w:r w:rsidR="00605D85">
              <w:rPr>
                <w:webHidden/>
              </w:rPr>
              <w:fldChar w:fldCharType="separate"/>
            </w:r>
            <w:r w:rsidR="005E46F9">
              <w:rPr>
                <w:webHidden/>
              </w:rPr>
              <w:t>20</w:t>
            </w:r>
            <w:r w:rsidR="00605D85">
              <w:rPr>
                <w:webHidden/>
              </w:rPr>
              <w:fldChar w:fldCharType="end"/>
            </w:r>
          </w:hyperlink>
        </w:p>
        <w:p w14:paraId="3E830D5F" w14:textId="77777777" w:rsidR="00583C1B" w:rsidRDefault="009F7A60" w:rsidP="009F7A60">
          <w:r w:rsidRPr="00D56FAA">
            <w:rPr>
              <w:rFonts w:cs="Arial"/>
              <w:b/>
              <w:sz w:val="22"/>
              <w:szCs w:val="22"/>
            </w:rPr>
            <w:fldChar w:fldCharType="end"/>
          </w:r>
        </w:p>
        <w:p w14:paraId="44A4CA2E" w14:textId="77777777" w:rsidR="00583C1B" w:rsidRDefault="00583C1B" w:rsidP="00583C1B"/>
        <w:p w14:paraId="00ED2A4B" w14:textId="77777777" w:rsidR="00583C1B" w:rsidRDefault="00583C1B" w:rsidP="00583C1B"/>
        <w:p w14:paraId="257C4216" w14:textId="77777777" w:rsidR="00583C1B" w:rsidRDefault="00583C1B" w:rsidP="00583C1B"/>
        <w:p w14:paraId="2AFFFA5F" w14:textId="77777777" w:rsidR="00583C1B" w:rsidRDefault="00583C1B" w:rsidP="00583C1B"/>
        <w:p w14:paraId="3934CC37" w14:textId="77777777" w:rsidR="00583C1B" w:rsidRDefault="00583C1B" w:rsidP="00583C1B"/>
        <w:p w14:paraId="398B36EE" w14:textId="77777777" w:rsidR="00583C1B" w:rsidRDefault="00583C1B" w:rsidP="00583C1B"/>
        <w:p w14:paraId="2CC71BA2" w14:textId="77777777" w:rsidR="00583C1B" w:rsidRDefault="00583C1B" w:rsidP="00583C1B"/>
        <w:p w14:paraId="6D7BE127" w14:textId="77777777" w:rsidR="00583C1B" w:rsidRDefault="00583C1B" w:rsidP="00583C1B"/>
        <w:p w14:paraId="44798410" w14:textId="77777777" w:rsidR="00583C1B" w:rsidRDefault="00583C1B" w:rsidP="00583C1B"/>
        <w:p w14:paraId="04CC2D10" w14:textId="77777777" w:rsidR="00583C1B" w:rsidRPr="00583C1B" w:rsidRDefault="00583C1B" w:rsidP="00583C1B"/>
        <w:p w14:paraId="27E96AB9" w14:textId="77777777" w:rsidR="00934386" w:rsidRDefault="0094130D" w:rsidP="00583C1B">
          <w:pPr>
            <w:pStyle w:val="Heading1"/>
            <w:ind w:left="1440"/>
            <w:rPr>
              <w:rFonts w:cs="Arial"/>
              <w:b/>
              <w:sz w:val="24"/>
              <w:szCs w:val="24"/>
            </w:rPr>
          </w:pPr>
        </w:p>
      </w:sdtContent>
    </w:sdt>
    <w:p w14:paraId="40AFFF9E" w14:textId="77777777" w:rsidR="00583C1B" w:rsidRDefault="00583C1B">
      <w:pPr>
        <w:rPr>
          <w:rFonts w:cs="Arial"/>
          <w:b/>
          <w:sz w:val="24"/>
          <w:szCs w:val="24"/>
        </w:rPr>
      </w:pPr>
      <w:r>
        <w:rPr>
          <w:rFonts w:cs="Arial"/>
          <w:b/>
          <w:sz w:val="24"/>
          <w:szCs w:val="24"/>
        </w:rPr>
        <w:br w:type="page"/>
      </w:r>
    </w:p>
    <w:p w14:paraId="3AEE2405" w14:textId="77777777" w:rsidR="00583C1B" w:rsidRPr="00C705CC" w:rsidRDefault="00583C1B" w:rsidP="00ED51AD">
      <w:pPr>
        <w:pStyle w:val="TOC2"/>
      </w:pPr>
    </w:p>
    <w:p w14:paraId="5CE8A291" w14:textId="77777777" w:rsidR="002B773B" w:rsidRDefault="00CA06E9" w:rsidP="00D56FAA">
      <w:pPr>
        <w:pStyle w:val="Heading1"/>
      </w:pPr>
      <w:bookmarkStart w:id="10" w:name="_Toc59022785"/>
      <w:r>
        <w:t>Purpose</w:t>
      </w:r>
      <w:bookmarkEnd w:id="10"/>
    </w:p>
    <w:p w14:paraId="63B16AD7" w14:textId="77777777" w:rsidR="00784E0E" w:rsidRPr="00784E0E" w:rsidRDefault="00784E0E" w:rsidP="00784E0E"/>
    <w:p w14:paraId="285CB5F7" w14:textId="77777777" w:rsidR="00CF2C34" w:rsidRPr="00A67DBB" w:rsidRDefault="00CF2C34" w:rsidP="00CF2C34">
      <w:pPr>
        <w:rPr>
          <w:rFonts w:cs="Arial"/>
          <w:sz w:val="24"/>
          <w:szCs w:val="22"/>
        </w:rPr>
      </w:pPr>
      <w:r w:rsidRPr="00A67DBB">
        <w:rPr>
          <w:rFonts w:cs="Arial"/>
          <w:sz w:val="24"/>
          <w:szCs w:val="22"/>
        </w:rPr>
        <w:t xml:space="preserve">This policy aims to assist employees and other people to understand their obligations in reporting fraudulent or corrupt behaviour, or maladministration, and outlines the legislative provisions and procedures in place to protect people who make public interest disclosures under the </w:t>
      </w:r>
      <w:r w:rsidRPr="00A67DBB">
        <w:rPr>
          <w:rFonts w:cs="Arial"/>
          <w:i/>
          <w:sz w:val="24"/>
          <w:szCs w:val="22"/>
        </w:rPr>
        <w:t>Public Interest Disclosure Act 2010</w:t>
      </w:r>
      <w:r w:rsidRPr="00A67DBB">
        <w:rPr>
          <w:rFonts w:cs="Arial"/>
          <w:sz w:val="24"/>
          <w:szCs w:val="22"/>
        </w:rPr>
        <w:t xml:space="preserve"> (PID Act).</w:t>
      </w:r>
    </w:p>
    <w:p w14:paraId="07BD81E0" w14:textId="77777777" w:rsidR="00FC0A58" w:rsidRDefault="00FC0A58" w:rsidP="002B773B">
      <w:pPr>
        <w:rPr>
          <w:sz w:val="22"/>
          <w:szCs w:val="22"/>
          <w:lang w:val="en-US"/>
        </w:rPr>
      </w:pPr>
    </w:p>
    <w:p w14:paraId="0C2C2A3F" w14:textId="77777777" w:rsidR="00CF2C34" w:rsidRDefault="00CF2C34" w:rsidP="00CF2C34">
      <w:pPr>
        <w:pStyle w:val="Heading1"/>
        <w:rPr>
          <w:lang w:val="en-US"/>
        </w:rPr>
      </w:pPr>
      <w:bookmarkStart w:id="11" w:name="_Toc59022786"/>
      <w:r>
        <w:rPr>
          <w:lang w:val="en-US"/>
        </w:rPr>
        <w:t>Principles</w:t>
      </w:r>
      <w:bookmarkEnd w:id="11"/>
    </w:p>
    <w:p w14:paraId="155D6B63" w14:textId="77777777" w:rsidR="00784E0E" w:rsidRPr="00784E0E" w:rsidRDefault="00784E0E" w:rsidP="00784E0E">
      <w:pPr>
        <w:rPr>
          <w:lang w:val="en-US"/>
        </w:rPr>
      </w:pPr>
    </w:p>
    <w:p w14:paraId="3BED66CB" w14:textId="77777777" w:rsidR="00CF2C34" w:rsidRPr="00A67DBB" w:rsidRDefault="00CF2C34" w:rsidP="00CF2C34">
      <w:pPr>
        <w:spacing w:after="120"/>
        <w:rPr>
          <w:rFonts w:cs="Arial"/>
          <w:sz w:val="24"/>
          <w:szCs w:val="22"/>
        </w:rPr>
      </w:pPr>
      <w:r w:rsidRPr="00A67DBB">
        <w:rPr>
          <w:rFonts w:cs="Arial"/>
          <w:sz w:val="24"/>
          <w:szCs w:val="22"/>
        </w:rPr>
        <w:t xml:space="preserve">The </w:t>
      </w:r>
      <w:r w:rsidRPr="00A67DBB">
        <w:rPr>
          <w:rFonts w:cs="Arial"/>
          <w:i/>
          <w:sz w:val="24"/>
          <w:szCs w:val="22"/>
        </w:rPr>
        <w:t>Public Interest Disclosure Act 2010</w:t>
      </w:r>
      <w:r w:rsidRPr="00A67DBB">
        <w:rPr>
          <w:rFonts w:cs="Arial"/>
          <w:sz w:val="24"/>
          <w:szCs w:val="22"/>
        </w:rPr>
        <w:t xml:space="preserve"> came into effect on 1 January 2011, replacing the </w:t>
      </w:r>
      <w:r w:rsidRPr="00A67DBB">
        <w:rPr>
          <w:rFonts w:cs="Arial"/>
          <w:i/>
          <w:sz w:val="24"/>
          <w:szCs w:val="22"/>
        </w:rPr>
        <w:t>Whistleblowers Protection Act 1994</w:t>
      </w:r>
      <w:r w:rsidRPr="00A67DBB">
        <w:rPr>
          <w:rFonts w:cs="Arial"/>
          <w:sz w:val="24"/>
          <w:szCs w:val="22"/>
        </w:rPr>
        <w:t>.</w:t>
      </w:r>
    </w:p>
    <w:p w14:paraId="1D8D4B92" w14:textId="77777777" w:rsidR="00CF2C34" w:rsidRPr="00A67DBB" w:rsidRDefault="00CF2C34" w:rsidP="00CF2C34">
      <w:pPr>
        <w:spacing w:after="120"/>
        <w:rPr>
          <w:rFonts w:cs="Arial"/>
          <w:sz w:val="24"/>
          <w:szCs w:val="22"/>
        </w:rPr>
      </w:pPr>
      <w:r w:rsidRPr="00A67DBB">
        <w:rPr>
          <w:rFonts w:cs="Arial"/>
          <w:sz w:val="24"/>
          <w:szCs w:val="22"/>
        </w:rPr>
        <w:t xml:space="preserve">The main objects of the </w:t>
      </w:r>
      <w:r w:rsidRPr="00A67DBB">
        <w:rPr>
          <w:rFonts w:cs="Arial"/>
          <w:i/>
          <w:sz w:val="24"/>
          <w:szCs w:val="22"/>
        </w:rPr>
        <w:t xml:space="preserve">Public Interest Disclosure Act 2010 </w:t>
      </w:r>
      <w:r w:rsidRPr="00A67DBB">
        <w:rPr>
          <w:rFonts w:cs="Arial"/>
          <w:sz w:val="24"/>
          <w:szCs w:val="22"/>
        </w:rPr>
        <w:t>are to:</w:t>
      </w:r>
    </w:p>
    <w:p w14:paraId="5098E100" w14:textId="77777777" w:rsidR="00CF2C34" w:rsidRPr="00A67DBB" w:rsidRDefault="00CF2C34" w:rsidP="00CF2C34">
      <w:pPr>
        <w:numPr>
          <w:ilvl w:val="0"/>
          <w:numId w:val="14"/>
        </w:numPr>
        <w:spacing w:after="120"/>
        <w:ind w:left="714" w:hanging="357"/>
        <w:rPr>
          <w:rFonts w:cs="Arial"/>
          <w:sz w:val="24"/>
          <w:szCs w:val="22"/>
        </w:rPr>
      </w:pPr>
      <w:r w:rsidRPr="00A67DBB">
        <w:rPr>
          <w:rFonts w:cs="Arial"/>
          <w:sz w:val="24"/>
          <w:szCs w:val="22"/>
        </w:rPr>
        <w:t>promote the public interest by facilitating public interest disclosures of wrongdoing in the public sector;</w:t>
      </w:r>
    </w:p>
    <w:p w14:paraId="13FCA959" w14:textId="77777777" w:rsidR="00CF2C34" w:rsidRPr="00A67DBB" w:rsidRDefault="00CF2C34" w:rsidP="00CF2C34">
      <w:pPr>
        <w:numPr>
          <w:ilvl w:val="0"/>
          <w:numId w:val="14"/>
        </w:numPr>
        <w:spacing w:after="120"/>
        <w:ind w:left="714" w:hanging="357"/>
        <w:rPr>
          <w:rFonts w:cs="Arial"/>
          <w:sz w:val="24"/>
          <w:szCs w:val="22"/>
        </w:rPr>
      </w:pPr>
      <w:r w:rsidRPr="00A67DBB">
        <w:rPr>
          <w:rFonts w:cs="Arial"/>
          <w:sz w:val="24"/>
          <w:szCs w:val="22"/>
        </w:rPr>
        <w:t>ensure that public interest disclosures are properly assessed and, when appropriate, properly investigated and dealt with;</w:t>
      </w:r>
    </w:p>
    <w:p w14:paraId="5EF987D5" w14:textId="77777777" w:rsidR="00CF2C34" w:rsidRPr="00A67DBB" w:rsidRDefault="00CF2C34" w:rsidP="00CF2C34">
      <w:pPr>
        <w:numPr>
          <w:ilvl w:val="0"/>
          <w:numId w:val="14"/>
        </w:numPr>
        <w:spacing w:after="120"/>
        <w:ind w:left="714" w:hanging="357"/>
        <w:rPr>
          <w:rFonts w:cs="Arial"/>
          <w:sz w:val="24"/>
          <w:szCs w:val="22"/>
        </w:rPr>
      </w:pPr>
      <w:r w:rsidRPr="00A67DBB">
        <w:rPr>
          <w:rFonts w:cs="Arial"/>
          <w:sz w:val="24"/>
          <w:szCs w:val="22"/>
        </w:rPr>
        <w:t>ensure that appropriate consideration is given to the interests of persons who are the subject of a public interest disclosure; and</w:t>
      </w:r>
    </w:p>
    <w:p w14:paraId="25DCE1AE" w14:textId="77777777" w:rsidR="00CF2C34" w:rsidRPr="00A67DBB" w:rsidRDefault="00CF2C34" w:rsidP="00CF2C34">
      <w:pPr>
        <w:numPr>
          <w:ilvl w:val="0"/>
          <w:numId w:val="14"/>
        </w:numPr>
        <w:spacing w:after="120"/>
        <w:ind w:left="714" w:hanging="357"/>
        <w:rPr>
          <w:rFonts w:cs="Arial"/>
          <w:sz w:val="24"/>
          <w:szCs w:val="22"/>
        </w:rPr>
      </w:pPr>
      <w:r w:rsidRPr="00A67DBB">
        <w:rPr>
          <w:rFonts w:cs="Arial"/>
          <w:sz w:val="24"/>
          <w:szCs w:val="22"/>
        </w:rPr>
        <w:t>afford protection from reprisals to persons making public interest disclosures.</w:t>
      </w:r>
    </w:p>
    <w:p w14:paraId="25CA87E2" w14:textId="77777777" w:rsidR="00CF2C34" w:rsidRDefault="00CF2C34" w:rsidP="00CF2C34">
      <w:pPr>
        <w:rPr>
          <w:lang w:val="en-US"/>
        </w:rPr>
      </w:pPr>
    </w:p>
    <w:p w14:paraId="65CBC15D" w14:textId="77777777" w:rsidR="00CF2C34" w:rsidRDefault="00CF2C34" w:rsidP="00CF2C34">
      <w:pPr>
        <w:pStyle w:val="Heading1"/>
        <w:rPr>
          <w:lang w:val="en-US"/>
        </w:rPr>
      </w:pPr>
      <w:bookmarkStart w:id="12" w:name="_Toc59022787"/>
      <w:r>
        <w:rPr>
          <w:lang w:val="en-US"/>
        </w:rPr>
        <w:t>Authority</w:t>
      </w:r>
      <w:bookmarkEnd w:id="12"/>
    </w:p>
    <w:p w14:paraId="54C60BF0" w14:textId="77777777" w:rsidR="00784E0E" w:rsidRPr="00784E0E" w:rsidRDefault="00784E0E" w:rsidP="00784E0E">
      <w:pPr>
        <w:rPr>
          <w:lang w:val="en-US"/>
        </w:rPr>
      </w:pPr>
    </w:p>
    <w:p w14:paraId="4CC4D964" w14:textId="77777777" w:rsidR="00CF2C34" w:rsidRPr="00A67DBB" w:rsidRDefault="00CF2C34" w:rsidP="00CF2C34">
      <w:pPr>
        <w:spacing w:after="120"/>
        <w:rPr>
          <w:rFonts w:cs="Arial"/>
          <w:sz w:val="24"/>
          <w:szCs w:val="22"/>
        </w:rPr>
      </w:pPr>
      <w:r w:rsidRPr="00A67DBB">
        <w:rPr>
          <w:rFonts w:cs="Arial"/>
          <w:sz w:val="24"/>
          <w:szCs w:val="22"/>
        </w:rPr>
        <w:t>This policy is based on the following legislation:</w:t>
      </w:r>
    </w:p>
    <w:p w14:paraId="36D4BE0D" w14:textId="77777777" w:rsidR="00CF2C34" w:rsidRPr="00A67DBB" w:rsidRDefault="00CF2C34" w:rsidP="00CF2C34">
      <w:pPr>
        <w:numPr>
          <w:ilvl w:val="0"/>
          <w:numId w:val="15"/>
        </w:numPr>
        <w:spacing w:after="120"/>
        <w:rPr>
          <w:rFonts w:cs="Arial"/>
          <w:sz w:val="24"/>
          <w:szCs w:val="22"/>
        </w:rPr>
      </w:pPr>
      <w:r w:rsidRPr="00A67DBB">
        <w:rPr>
          <w:rFonts w:cs="Arial"/>
          <w:i/>
          <w:sz w:val="24"/>
          <w:szCs w:val="22"/>
        </w:rPr>
        <w:t>Public Interest Disclosure Act 2010</w:t>
      </w:r>
      <w:r w:rsidRPr="00A67DBB">
        <w:rPr>
          <w:rFonts w:cs="Arial"/>
          <w:sz w:val="24"/>
          <w:szCs w:val="22"/>
        </w:rPr>
        <w:t xml:space="preserve"> – facilitates the disclosure of public interest information about wrongdoing and provides protection against reprisals for disclosures</w:t>
      </w:r>
    </w:p>
    <w:p w14:paraId="1A8BC1B5" w14:textId="77777777" w:rsidR="00CF2C34" w:rsidRPr="00A67DBB" w:rsidRDefault="00CF2C34" w:rsidP="00CF2C34">
      <w:pPr>
        <w:numPr>
          <w:ilvl w:val="0"/>
          <w:numId w:val="15"/>
        </w:numPr>
        <w:spacing w:after="120"/>
        <w:rPr>
          <w:rFonts w:cs="Arial"/>
          <w:sz w:val="24"/>
          <w:szCs w:val="22"/>
        </w:rPr>
      </w:pPr>
      <w:r w:rsidRPr="00A67DBB">
        <w:rPr>
          <w:rFonts w:cs="Arial"/>
          <w:i/>
          <w:sz w:val="24"/>
          <w:szCs w:val="22"/>
        </w:rPr>
        <w:t>Public Sector Ethics Act 1994</w:t>
      </w:r>
      <w:r w:rsidRPr="00A67DBB">
        <w:rPr>
          <w:rFonts w:cs="Arial"/>
          <w:sz w:val="24"/>
          <w:szCs w:val="22"/>
        </w:rPr>
        <w:t xml:space="preserve"> – provides the ethical framework for the public sector</w:t>
      </w:r>
    </w:p>
    <w:p w14:paraId="7E92ED14" w14:textId="77777777" w:rsidR="00CF2C34" w:rsidRPr="00A67DBB" w:rsidRDefault="00CF2C34" w:rsidP="00CF2C34">
      <w:pPr>
        <w:numPr>
          <w:ilvl w:val="0"/>
          <w:numId w:val="15"/>
        </w:numPr>
        <w:spacing w:after="120"/>
        <w:rPr>
          <w:rFonts w:cs="Arial"/>
          <w:sz w:val="24"/>
          <w:szCs w:val="22"/>
        </w:rPr>
      </w:pPr>
      <w:r w:rsidRPr="00A67DBB">
        <w:rPr>
          <w:rFonts w:cs="Arial"/>
          <w:i/>
          <w:sz w:val="24"/>
          <w:szCs w:val="22"/>
        </w:rPr>
        <w:t>Crime and Corruption Act 2001</w:t>
      </w:r>
      <w:r w:rsidRPr="00A67DBB">
        <w:rPr>
          <w:rFonts w:cs="Arial"/>
          <w:sz w:val="24"/>
          <w:szCs w:val="22"/>
        </w:rPr>
        <w:t xml:space="preserve"> – provides an external reporting mechanism and an independent investigative and enforcement body</w:t>
      </w:r>
    </w:p>
    <w:p w14:paraId="659E1E89" w14:textId="77777777" w:rsidR="00CF2C34" w:rsidRPr="00A67DBB" w:rsidRDefault="00CF2C34" w:rsidP="00CF2C34">
      <w:pPr>
        <w:numPr>
          <w:ilvl w:val="0"/>
          <w:numId w:val="15"/>
        </w:numPr>
        <w:spacing w:after="120"/>
        <w:rPr>
          <w:rFonts w:cs="Arial"/>
          <w:sz w:val="24"/>
          <w:szCs w:val="22"/>
        </w:rPr>
      </w:pPr>
      <w:r w:rsidRPr="00A67DBB">
        <w:rPr>
          <w:rFonts w:cs="Arial"/>
          <w:i/>
          <w:sz w:val="24"/>
          <w:szCs w:val="22"/>
        </w:rPr>
        <w:t>Public Records Act 2002</w:t>
      </w:r>
      <w:r w:rsidRPr="00A67DBB">
        <w:rPr>
          <w:rFonts w:cs="Arial"/>
          <w:sz w:val="24"/>
          <w:szCs w:val="22"/>
        </w:rPr>
        <w:t xml:space="preserve"> -  provides the framework for the keeping and management of public records</w:t>
      </w:r>
    </w:p>
    <w:p w14:paraId="7E065AC9" w14:textId="77777777" w:rsidR="00CF2C34" w:rsidRPr="00A67DBB" w:rsidRDefault="00CF2C34" w:rsidP="00CF2C34">
      <w:pPr>
        <w:spacing w:after="120"/>
        <w:rPr>
          <w:rFonts w:cs="Arial"/>
          <w:sz w:val="24"/>
          <w:szCs w:val="22"/>
        </w:rPr>
      </w:pPr>
      <w:r w:rsidRPr="00A67DBB">
        <w:rPr>
          <w:rFonts w:cs="Arial"/>
          <w:sz w:val="24"/>
          <w:szCs w:val="22"/>
        </w:rPr>
        <w:t>This policy is to be read in conjunction with:</w:t>
      </w:r>
    </w:p>
    <w:p w14:paraId="54D5DC3C" w14:textId="77777777" w:rsidR="00CF2C34" w:rsidRPr="00A67DBB" w:rsidRDefault="00CF2C34" w:rsidP="00CF2C34">
      <w:pPr>
        <w:numPr>
          <w:ilvl w:val="0"/>
          <w:numId w:val="16"/>
        </w:numPr>
        <w:spacing w:after="120"/>
        <w:rPr>
          <w:rFonts w:cs="Arial"/>
          <w:sz w:val="24"/>
          <w:szCs w:val="22"/>
        </w:rPr>
      </w:pPr>
      <w:r w:rsidRPr="00A67DBB">
        <w:rPr>
          <w:rFonts w:cs="Arial"/>
          <w:i/>
          <w:sz w:val="24"/>
          <w:szCs w:val="22"/>
        </w:rPr>
        <w:t>Public Interest Disclosure Standard No. 1/2019</w:t>
      </w:r>
    </w:p>
    <w:p w14:paraId="2B6ED685" w14:textId="77777777" w:rsidR="00CF2C34" w:rsidRPr="00A67DBB" w:rsidRDefault="00CF2C34" w:rsidP="00CF2C34">
      <w:pPr>
        <w:numPr>
          <w:ilvl w:val="0"/>
          <w:numId w:val="16"/>
        </w:numPr>
        <w:spacing w:after="120"/>
        <w:rPr>
          <w:rFonts w:cs="Arial"/>
          <w:sz w:val="24"/>
          <w:szCs w:val="22"/>
        </w:rPr>
      </w:pPr>
      <w:r w:rsidRPr="00A67DBB">
        <w:rPr>
          <w:rFonts w:cs="Arial"/>
          <w:i/>
          <w:sz w:val="24"/>
          <w:szCs w:val="22"/>
        </w:rPr>
        <w:t>Public Interest Disclosure Standard No. 2/2019</w:t>
      </w:r>
    </w:p>
    <w:p w14:paraId="5628754C" w14:textId="77777777" w:rsidR="00CF2C34" w:rsidRPr="00A67DBB" w:rsidRDefault="00CF2C34" w:rsidP="00CF2C34">
      <w:pPr>
        <w:numPr>
          <w:ilvl w:val="0"/>
          <w:numId w:val="16"/>
        </w:numPr>
        <w:spacing w:after="120"/>
        <w:rPr>
          <w:rFonts w:cs="Arial"/>
          <w:sz w:val="24"/>
          <w:szCs w:val="22"/>
        </w:rPr>
      </w:pPr>
      <w:r w:rsidRPr="00A67DBB">
        <w:rPr>
          <w:rFonts w:cs="Arial"/>
          <w:i/>
          <w:sz w:val="24"/>
          <w:szCs w:val="22"/>
        </w:rPr>
        <w:t>Public Interest Disclosure Standard No. 3/209</w:t>
      </w:r>
    </w:p>
    <w:p w14:paraId="6928BB4D" w14:textId="77777777" w:rsidR="00CF2C34" w:rsidRPr="00A67DBB" w:rsidRDefault="00CF2C34" w:rsidP="00CF2C34">
      <w:pPr>
        <w:numPr>
          <w:ilvl w:val="0"/>
          <w:numId w:val="16"/>
        </w:numPr>
        <w:spacing w:after="120"/>
        <w:rPr>
          <w:rFonts w:cs="Arial"/>
          <w:sz w:val="24"/>
          <w:szCs w:val="22"/>
        </w:rPr>
      </w:pPr>
      <w:r w:rsidRPr="00A67DBB">
        <w:rPr>
          <w:rFonts w:cs="Arial"/>
          <w:i/>
          <w:sz w:val="24"/>
          <w:szCs w:val="22"/>
        </w:rPr>
        <w:t>Code of Conduct for the Queensland Public Service</w:t>
      </w:r>
    </w:p>
    <w:p w14:paraId="5AA658E1" w14:textId="77777777" w:rsidR="00CF2C34" w:rsidRDefault="00CF2C34" w:rsidP="00CF2C34">
      <w:pPr>
        <w:rPr>
          <w:lang w:val="en-US"/>
        </w:rPr>
      </w:pPr>
    </w:p>
    <w:p w14:paraId="3AAC9CC2" w14:textId="77777777" w:rsidR="00EE6CAC" w:rsidRDefault="00EE6CAC">
      <w:pPr>
        <w:rPr>
          <w:color w:val="347B9F"/>
          <w:sz w:val="36"/>
          <w:lang w:val="en-US"/>
        </w:rPr>
      </w:pPr>
      <w:r>
        <w:rPr>
          <w:lang w:val="en-US"/>
        </w:rPr>
        <w:br w:type="page"/>
      </w:r>
    </w:p>
    <w:p w14:paraId="0B06A355" w14:textId="77777777" w:rsidR="00CF2C34" w:rsidRDefault="00CF2C34" w:rsidP="00CF2C34">
      <w:pPr>
        <w:pStyle w:val="Heading1"/>
        <w:rPr>
          <w:lang w:val="en-US"/>
        </w:rPr>
      </w:pPr>
      <w:bookmarkStart w:id="13" w:name="_Toc59022788"/>
      <w:r>
        <w:rPr>
          <w:lang w:val="en-US"/>
        </w:rPr>
        <w:lastRenderedPageBreak/>
        <w:t>Commitment</w:t>
      </w:r>
      <w:bookmarkEnd w:id="13"/>
    </w:p>
    <w:p w14:paraId="18B4BA17" w14:textId="77777777" w:rsidR="00784E0E" w:rsidRPr="00784E0E" w:rsidRDefault="00784E0E" w:rsidP="00784E0E">
      <w:pPr>
        <w:rPr>
          <w:lang w:val="en-US"/>
        </w:rPr>
      </w:pPr>
    </w:p>
    <w:p w14:paraId="6853BF66" w14:textId="77777777" w:rsidR="00CF2C34" w:rsidRPr="00A67DBB" w:rsidRDefault="00CF2C34" w:rsidP="00CF2C34">
      <w:pPr>
        <w:spacing w:after="120"/>
        <w:rPr>
          <w:rFonts w:cs="Arial"/>
          <w:sz w:val="24"/>
          <w:szCs w:val="22"/>
        </w:rPr>
      </w:pPr>
      <w:r w:rsidRPr="00A67DBB">
        <w:rPr>
          <w:rFonts w:cs="Arial"/>
          <w:sz w:val="24"/>
          <w:szCs w:val="22"/>
        </w:rPr>
        <w:t>The Queensland Human Rights Commission is committed to creating and sustaining an ethical work environment.  The Queensland Human Rights Commission commits to:</w:t>
      </w:r>
    </w:p>
    <w:p w14:paraId="6FE28AFC" w14:textId="77777777" w:rsidR="00CF2C34" w:rsidRPr="00A67DBB" w:rsidRDefault="00CF2C34" w:rsidP="00CF2C34">
      <w:pPr>
        <w:numPr>
          <w:ilvl w:val="0"/>
          <w:numId w:val="15"/>
        </w:numPr>
        <w:spacing w:after="120"/>
        <w:rPr>
          <w:rFonts w:cs="Arial"/>
          <w:sz w:val="24"/>
          <w:szCs w:val="22"/>
        </w:rPr>
      </w:pPr>
      <w:r w:rsidRPr="00A67DBB">
        <w:rPr>
          <w:rFonts w:cs="Arial"/>
          <w:sz w:val="24"/>
          <w:szCs w:val="22"/>
        </w:rPr>
        <w:t>eliminating unlawful, negligent or improper conduct from the workplace;</w:t>
      </w:r>
    </w:p>
    <w:p w14:paraId="60FAEB11" w14:textId="77777777" w:rsidR="00CF2C34" w:rsidRPr="00A67DBB" w:rsidRDefault="00CF2C34" w:rsidP="00CF2C34">
      <w:pPr>
        <w:numPr>
          <w:ilvl w:val="0"/>
          <w:numId w:val="15"/>
        </w:numPr>
        <w:spacing w:after="120"/>
        <w:rPr>
          <w:rFonts w:cs="Arial"/>
          <w:sz w:val="24"/>
          <w:szCs w:val="22"/>
        </w:rPr>
      </w:pPr>
      <w:r w:rsidRPr="00A67DBB">
        <w:rPr>
          <w:rFonts w:cs="Arial"/>
          <w:sz w:val="24"/>
          <w:szCs w:val="22"/>
        </w:rPr>
        <w:t>promoting the public interest by facilitating complaints and public interest disclosures (PIDs) that relate to the Queensland Human Rights Commission;</w:t>
      </w:r>
    </w:p>
    <w:p w14:paraId="1518DF64" w14:textId="77777777" w:rsidR="00CF2C34" w:rsidRPr="00A67DBB" w:rsidRDefault="00CF2C34" w:rsidP="00CF2C34">
      <w:pPr>
        <w:numPr>
          <w:ilvl w:val="0"/>
          <w:numId w:val="15"/>
        </w:numPr>
        <w:spacing w:after="120"/>
        <w:rPr>
          <w:rFonts w:cs="Arial"/>
          <w:sz w:val="24"/>
          <w:szCs w:val="24"/>
        </w:rPr>
      </w:pPr>
      <w:r w:rsidRPr="00A67DBB">
        <w:rPr>
          <w:rFonts w:cs="Arial"/>
          <w:sz w:val="24"/>
          <w:szCs w:val="22"/>
        </w:rPr>
        <w:t xml:space="preserve">encouraging employees and others to disclose information about suspected wrongdoing through employee awareness and training initiatives and appropriate </w:t>
      </w:r>
      <w:r w:rsidRPr="00A67DBB">
        <w:rPr>
          <w:rFonts w:cs="Arial"/>
          <w:sz w:val="24"/>
          <w:szCs w:val="24"/>
        </w:rPr>
        <w:t>governance measures including risk management;</w:t>
      </w:r>
    </w:p>
    <w:p w14:paraId="763ECE99" w14:textId="77777777" w:rsidR="00CF2C34" w:rsidRPr="00A67DBB" w:rsidRDefault="00CF2C34" w:rsidP="00CF2C34">
      <w:pPr>
        <w:numPr>
          <w:ilvl w:val="0"/>
          <w:numId w:val="15"/>
        </w:numPr>
        <w:spacing w:after="120"/>
        <w:rPr>
          <w:rFonts w:cs="Arial"/>
          <w:sz w:val="24"/>
          <w:szCs w:val="24"/>
        </w:rPr>
      </w:pPr>
      <w:r w:rsidRPr="00A67DBB">
        <w:rPr>
          <w:rFonts w:cs="Arial"/>
          <w:sz w:val="24"/>
          <w:szCs w:val="24"/>
        </w:rPr>
        <w:t xml:space="preserve">ensuring that complaints and PIDs made to the Queensland Human Rights Commission, including those made anonymously, are properly assessed and dealt with appropriately; </w:t>
      </w:r>
    </w:p>
    <w:p w14:paraId="6288CA87" w14:textId="77777777" w:rsidR="00CF2C34" w:rsidRPr="00A67DBB" w:rsidRDefault="00CF2C34" w:rsidP="00CF2C34">
      <w:pPr>
        <w:numPr>
          <w:ilvl w:val="0"/>
          <w:numId w:val="15"/>
        </w:numPr>
        <w:spacing w:after="120"/>
        <w:rPr>
          <w:rFonts w:cs="Arial"/>
          <w:sz w:val="24"/>
          <w:szCs w:val="24"/>
        </w:rPr>
      </w:pPr>
      <w:r w:rsidRPr="00A67DBB">
        <w:rPr>
          <w:rFonts w:cs="Arial"/>
          <w:sz w:val="24"/>
          <w:szCs w:val="24"/>
        </w:rPr>
        <w:t>affording support and protection from any adverse action taken as a result of making the disclosure (reprisal);</w:t>
      </w:r>
    </w:p>
    <w:p w14:paraId="34CE7C21" w14:textId="77777777" w:rsidR="00CF2C34" w:rsidRPr="00A67DBB" w:rsidRDefault="00CF2C34" w:rsidP="00CF2C34">
      <w:pPr>
        <w:numPr>
          <w:ilvl w:val="0"/>
          <w:numId w:val="15"/>
        </w:numPr>
        <w:spacing w:after="120"/>
        <w:rPr>
          <w:rFonts w:cs="Arial"/>
          <w:sz w:val="24"/>
          <w:szCs w:val="24"/>
        </w:rPr>
      </w:pPr>
      <w:r w:rsidRPr="00A67DBB">
        <w:rPr>
          <w:rFonts w:cs="Arial"/>
          <w:sz w:val="24"/>
          <w:szCs w:val="24"/>
        </w:rPr>
        <w:t>treating any bullying, harassment, unfair treatment, victimisation or discrimination that results from a disclosure as a breach of discipline;</w:t>
      </w:r>
    </w:p>
    <w:p w14:paraId="707CC4B8" w14:textId="77777777" w:rsidR="00CF2C34" w:rsidRPr="00A67DBB" w:rsidRDefault="00CF2C34" w:rsidP="00CF2C34">
      <w:pPr>
        <w:numPr>
          <w:ilvl w:val="0"/>
          <w:numId w:val="15"/>
        </w:numPr>
        <w:spacing w:after="120"/>
        <w:rPr>
          <w:rFonts w:cs="Arial"/>
          <w:sz w:val="24"/>
          <w:szCs w:val="24"/>
        </w:rPr>
      </w:pPr>
      <w:r w:rsidRPr="00A67DBB">
        <w:rPr>
          <w:rFonts w:cs="Arial"/>
          <w:sz w:val="24"/>
          <w:szCs w:val="24"/>
        </w:rPr>
        <w:t xml:space="preserve">keeping the discloser informed of the progress and outcome; </w:t>
      </w:r>
    </w:p>
    <w:p w14:paraId="7D93B2AA" w14:textId="77777777" w:rsidR="00CF2C34" w:rsidRPr="00A67DBB" w:rsidRDefault="00CF2C34" w:rsidP="00CF2C34">
      <w:pPr>
        <w:numPr>
          <w:ilvl w:val="0"/>
          <w:numId w:val="15"/>
        </w:numPr>
        <w:spacing w:after="120"/>
        <w:rPr>
          <w:rFonts w:cs="Arial"/>
          <w:sz w:val="24"/>
          <w:szCs w:val="24"/>
        </w:rPr>
      </w:pPr>
      <w:r w:rsidRPr="00A67DBB">
        <w:rPr>
          <w:rFonts w:cs="Arial"/>
          <w:sz w:val="24"/>
          <w:szCs w:val="24"/>
        </w:rPr>
        <w:t>taking appropriate action to deal with any wrongdoing found to have occurred; and</w:t>
      </w:r>
    </w:p>
    <w:p w14:paraId="263A0C49" w14:textId="77777777" w:rsidR="00CF2C34" w:rsidRPr="00A67DBB" w:rsidRDefault="00CF2C34" w:rsidP="00CF2C34">
      <w:pPr>
        <w:numPr>
          <w:ilvl w:val="0"/>
          <w:numId w:val="15"/>
        </w:numPr>
        <w:spacing w:after="120"/>
        <w:rPr>
          <w:rFonts w:cs="Arial"/>
          <w:sz w:val="24"/>
          <w:szCs w:val="24"/>
        </w:rPr>
      </w:pPr>
      <w:r w:rsidRPr="00A67DBB">
        <w:rPr>
          <w:rFonts w:cs="Arial"/>
          <w:sz w:val="24"/>
          <w:szCs w:val="24"/>
        </w:rPr>
        <w:t>giving proper consideration to human rights, and acting and making decisions that are compatible with human rights.</w:t>
      </w:r>
    </w:p>
    <w:p w14:paraId="1BF60EFC" w14:textId="77777777" w:rsidR="00CF2C34" w:rsidRDefault="00CF2C34" w:rsidP="00CF2C34">
      <w:pPr>
        <w:rPr>
          <w:lang w:val="en-US"/>
        </w:rPr>
      </w:pPr>
    </w:p>
    <w:p w14:paraId="49A99171" w14:textId="77777777" w:rsidR="00CF2C34" w:rsidRDefault="00CF2C34" w:rsidP="00CF2C34">
      <w:pPr>
        <w:pStyle w:val="Heading1"/>
        <w:rPr>
          <w:lang w:val="en-US"/>
        </w:rPr>
      </w:pPr>
      <w:bookmarkStart w:id="14" w:name="_Toc59022789"/>
      <w:r>
        <w:rPr>
          <w:lang w:val="en-US"/>
        </w:rPr>
        <w:t>Scope of policy</w:t>
      </w:r>
      <w:bookmarkEnd w:id="14"/>
    </w:p>
    <w:p w14:paraId="093D893A" w14:textId="77777777" w:rsidR="00784E0E" w:rsidRPr="00784E0E" w:rsidRDefault="00784E0E" w:rsidP="00784E0E">
      <w:pPr>
        <w:rPr>
          <w:lang w:val="en-US"/>
        </w:rPr>
      </w:pPr>
    </w:p>
    <w:p w14:paraId="18C61C23" w14:textId="77777777" w:rsidR="00CF2C34" w:rsidRPr="00A67DBB" w:rsidRDefault="00CF2C34" w:rsidP="00CF2C34">
      <w:pPr>
        <w:spacing w:after="120"/>
        <w:rPr>
          <w:rFonts w:cs="Arial"/>
          <w:sz w:val="24"/>
          <w:szCs w:val="22"/>
        </w:rPr>
      </w:pPr>
      <w:r w:rsidRPr="00A67DBB">
        <w:rPr>
          <w:rFonts w:cs="Arial"/>
          <w:sz w:val="24"/>
          <w:szCs w:val="22"/>
        </w:rPr>
        <w:t>This policy applies to:</w:t>
      </w:r>
    </w:p>
    <w:p w14:paraId="033228AF" w14:textId="77777777" w:rsidR="00CF2C34" w:rsidRPr="00A67DBB" w:rsidRDefault="00CF2C34" w:rsidP="00CF2C34">
      <w:pPr>
        <w:numPr>
          <w:ilvl w:val="0"/>
          <w:numId w:val="15"/>
        </w:numPr>
        <w:spacing w:after="120"/>
        <w:rPr>
          <w:rFonts w:cs="Arial"/>
          <w:sz w:val="24"/>
          <w:szCs w:val="22"/>
        </w:rPr>
      </w:pPr>
      <w:r w:rsidRPr="00A67DBB">
        <w:rPr>
          <w:rFonts w:cs="Arial"/>
          <w:sz w:val="24"/>
          <w:szCs w:val="22"/>
        </w:rPr>
        <w:t xml:space="preserve">all employees of the Queensland Human Rights Commission, whether full-time, part-time, temporary or casual; and </w:t>
      </w:r>
    </w:p>
    <w:p w14:paraId="364F7D5E" w14:textId="77777777" w:rsidR="00CF2C34" w:rsidRPr="00A67DBB" w:rsidRDefault="00CF2C34" w:rsidP="00CF2C34">
      <w:pPr>
        <w:numPr>
          <w:ilvl w:val="0"/>
          <w:numId w:val="15"/>
        </w:numPr>
        <w:spacing w:after="120"/>
        <w:rPr>
          <w:rFonts w:cs="Arial"/>
          <w:sz w:val="24"/>
          <w:szCs w:val="22"/>
        </w:rPr>
      </w:pPr>
      <w:r w:rsidRPr="00A67DBB">
        <w:rPr>
          <w:rFonts w:cs="Arial"/>
          <w:sz w:val="24"/>
          <w:szCs w:val="22"/>
        </w:rPr>
        <w:t>any external person who is making a public interest disclosure to the Queensland Human Rights Commission, in accordance with the PID Act.</w:t>
      </w:r>
    </w:p>
    <w:p w14:paraId="2289570B" w14:textId="77777777" w:rsidR="00CF2C34" w:rsidRPr="00A67DBB" w:rsidRDefault="00CF2C34" w:rsidP="00CF2C34">
      <w:pPr>
        <w:spacing w:after="120"/>
        <w:rPr>
          <w:rFonts w:cs="Arial"/>
          <w:sz w:val="24"/>
          <w:szCs w:val="22"/>
        </w:rPr>
      </w:pPr>
      <w:r w:rsidRPr="00A67DBB">
        <w:rPr>
          <w:rFonts w:cs="Arial"/>
          <w:sz w:val="24"/>
          <w:szCs w:val="22"/>
        </w:rPr>
        <w:t>If you are aware of any activity or incident that you consider is wrongdoing or would impact adversely on the operation of the Queensland Human Rights Commission, we encourage you to speak up and let someone know.</w:t>
      </w:r>
    </w:p>
    <w:p w14:paraId="09DD0DF3" w14:textId="77777777" w:rsidR="00CF2C34" w:rsidRPr="00A67DBB" w:rsidRDefault="00CF2C34" w:rsidP="00CF2C34">
      <w:pPr>
        <w:spacing w:after="120"/>
        <w:rPr>
          <w:rFonts w:cs="Arial"/>
          <w:sz w:val="24"/>
          <w:szCs w:val="22"/>
        </w:rPr>
      </w:pPr>
      <w:r w:rsidRPr="00A67DBB">
        <w:rPr>
          <w:rFonts w:cs="Arial"/>
          <w:sz w:val="24"/>
          <w:szCs w:val="22"/>
        </w:rPr>
        <w:t>If the issue an employee is considering disclosing involves activity that is primarily aimed at the employee, such as harassment or bullying, these types of issues are employee complaints.  This does not mean that you should not report them, as they are contrary to the policies of the Queensland Human Rights Commission.  These types of issues should be reported to the manager or supervisor or a member of the Executive Leadership Team in the first instance.</w:t>
      </w:r>
    </w:p>
    <w:p w14:paraId="006CEBAA" w14:textId="77777777" w:rsidR="00CF2C34" w:rsidRDefault="00CF2C34" w:rsidP="00CF2C34">
      <w:pPr>
        <w:rPr>
          <w:lang w:val="en-US"/>
        </w:rPr>
      </w:pPr>
    </w:p>
    <w:p w14:paraId="6D9977B3" w14:textId="77777777" w:rsidR="00EE6CAC" w:rsidRDefault="00EE6CAC">
      <w:pPr>
        <w:rPr>
          <w:color w:val="347B9F"/>
          <w:sz w:val="36"/>
          <w:lang w:val="en-US"/>
        </w:rPr>
      </w:pPr>
      <w:r>
        <w:rPr>
          <w:lang w:val="en-US"/>
        </w:rPr>
        <w:br w:type="page"/>
      </w:r>
    </w:p>
    <w:p w14:paraId="33920EE8" w14:textId="77777777" w:rsidR="00CF2C34" w:rsidRDefault="00CF2C34" w:rsidP="00CF2C34">
      <w:pPr>
        <w:pStyle w:val="Heading1"/>
        <w:rPr>
          <w:lang w:val="en-US"/>
        </w:rPr>
      </w:pPr>
      <w:bookmarkStart w:id="15" w:name="_Toc59022790"/>
      <w:r>
        <w:rPr>
          <w:lang w:val="en-US"/>
        </w:rPr>
        <w:lastRenderedPageBreak/>
        <w:t>Definitions</w:t>
      </w:r>
      <w:bookmarkEnd w:id="15"/>
    </w:p>
    <w:p w14:paraId="0552A97C" w14:textId="77777777" w:rsidR="00784E0E" w:rsidRDefault="00784E0E" w:rsidP="00784E0E">
      <w:pPr>
        <w:rPr>
          <w:lang w:val="en-US"/>
        </w:rPr>
      </w:pPr>
    </w:p>
    <w:p w14:paraId="4F3CAD4C" w14:textId="77777777" w:rsidR="00784E0E" w:rsidRPr="00784E0E" w:rsidRDefault="00784E0E" w:rsidP="00784E0E">
      <w:pPr>
        <w:rPr>
          <w:lang w:val="en-US"/>
        </w:rPr>
      </w:pPr>
    </w:p>
    <w:tbl>
      <w:tblPr>
        <w:tblStyle w:val="ListTable3-Accent5"/>
        <w:tblW w:w="0" w:type="auto"/>
        <w:tblLook w:val="01E0" w:firstRow="1" w:lastRow="1" w:firstColumn="1" w:lastColumn="1" w:noHBand="0" w:noVBand="0"/>
      </w:tblPr>
      <w:tblGrid>
        <w:gridCol w:w="2689"/>
        <w:gridCol w:w="6597"/>
      </w:tblGrid>
      <w:tr w:rsidR="00784E0E" w:rsidRPr="008D43B4" w14:paraId="0D7A5E9D" w14:textId="77777777" w:rsidTr="00784E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Borders>
              <w:top w:val="single" w:sz="4" w:space="0" w:color="4BACC6" w:themeColor="accent5"/>
            </w:tcBorders>
            <w:shd w:val="clear" w:color="auto" w:fill="auto"/>
          </w:tcPr>
          <w:p w14:paraId="65D11FBD" w14:textId="77777777" w:rsidR="00784E0E" w:rsidRPr="00784E0E" w:rsidRDefault="00784E0E" w:rsidP="00FA1813">
            <w:pPr>
              <w:spacing w:after="120"/>
              <w:rPr>
                <w:b w:val="0"/>
                <w:color w:val="auto"/>
                <w:sz w:val="22"/>
                <w:szCs w:val="22"/>
              </w:rPr>
            </w:pPr>
            <w:r w:rsidRPr="00784E0E">
              <w:rPr>
                <w:b w:val="0"/>
                <w:color w:val="auto"/>
                <w:sz w:val="24"/>
                <w:szCs w:val="22"/>
              </w:rPr>
              <w:t>corrupt conduct</w:t>
            </w:r>
          </w:p>
        </w:tc>
        <w:tc>
          <w:tcPr>
            <w:cnfStyle w:val="000100001000" w:firstRow="0" w:lastRow="0" w:firstColumn="0" w:lastColumn="1" w:oddVBand="0" w:evenVBand="0" w:oddHBand="0" w:evenHBand="0" w:firstRowFirstColumn="0" w:firstRowLastColumn="1" w:lastRowFirstColumn="0" w:lastRowLastColumn="0"/>
            <w:tcW w:w="6597" w:type="dxa"/>
            <w:tcBorders>
              <w:top w:val="single" w:sz="4" w:space="0" w:color="4BACC6" w:themeColor="accent5"/>
            </w:tcBorders>
            <w:shd w:val="clear" w:color="auto" w:fill="auto"/>
          </w:tcPr>
          <w:p w14:paraId="22BB7B6A" w14:textId="77777777" w:rsidR="00784E0E" w:rsidRPr="00784E0E" w:rsidRDefault="00784E0E" w:rsidP="00FA1813">
            <w:pPr>
              <w:spacing w:after="120"/>
              <w:jc w:val="both"/>
              <w:rPr>
                <w:b w:val="0"/>
                <w:color w:val="auto"/>
                <w:sz w:val="22"/>
                <w:szCs w:val="22"/>
              </w:rPr>
            </w:pPr>
            <w:r w:rsidRPr="00784E0E">
              <w:rPr>
                <w:rFonts w:cs="Arial"/>
                <w:b w:val="0"/>
                <w:color w:val="auto"/>
                <w:sz w:val="24"/>
                <w:szCs w:val="22"/>
              </w:rPr>
              <w:t xml:space="preserve">This is defined in section 15 of the </w:t>
            </w:r>
            <w:r w:rsidRPr="00784E0E">
              <w:rPr>
                <w:rFonts w:cs="Arial"/>
                <w:b w:val="0"/>
                <w:i/>
                <w:color w:val="auto"/>
                <w:sz w:val="24"/>
                <w:szCs w:val="22"/>
              </w:rPr>
              <w:t xml:space="preserve">Crime and Corruption Act 2001.  </w:t>
            </w:r>
            <w:r w:rsidRPr="00784E0E">
              <w:rPr>
                <w:rFonts w:cs="Arial"/>
                <w:b w:val="0"/>
                <w:color w:val="auto"/>
                <w:sz w:val="24"/>
                <w:szCs w:val="22"/>
              </w:rPr>
              <w:t>See the Schedule to this policy.</w:t>
            </w:r>
          </w:p>
        </w:tc>
      </w:tr>
      <w:tr w:rsidR="00784E0E" w:rsidRPr="008D43B4" w14:paraId="331C99DF" w14:textId="77777777" w:rsidTr="0078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2A8C5CFE" w14:textId="77777777" w:rsidR="00784E0E" w:rsidRPr="00784E0E" w:rsidRDefault="00784E0E" w:rsidP="00FA1813">
            <w:pPr>
              <w:spacing w:after="120"/>
              <w:rPr>
                <w:b w:val="0"/>
                <w:sz w:val="24"/>
                <w:szCs w:val="22"/>
              </w:rPr>
            </w:pPr>
            <w:r w:rsidRPr="00784E0E">
              <w:rPr>
                <w:b w:val="0"/>
                <w:sz w:val="24"/>
                <w:szCs w:val="22"/>
              </w:rPr>
              <w:t>detriment</w:t>
            </w:r>
          </w:p>
        </w:tc>
        <w:tc>
          <w:tcPr>
            <w:cnfStyle w:val="000100000000" w:firstRow="0" w:lastRow="0" w:firstColumn="0" w:lastColumn="1" w:oddVBand="0" w:evenVBand="0" w:oddHBand="0" w:evenHBand="0" w:firstRowFirstColumn="0" w:firstRowLastColumn="0" w:lastRowFirstColumn="0" w:lastRowLastColumn="0"/>
            <w:tcW w:w="6597" w:type="dxa"/>
            <w:shd w:val="clear" w:color="auto" w:fill="auto"/>
          </w:tcPr>
          <w:p w14:paraId="65D83957" w14:textId="77777777" w:rsidR="00784E0E" w:rsidRPr="00784E0E" w:rsidRDefault="00784E0E" w:rsidP="00FA1813">
            <w:pPr>
              <w:spacing w:after="120"/>
              <w:jc w:val="both"/>
              <w:rPr>
                <w:b w:val="0"/>
                <w:sz w:val="22"/>
                <w:szCs w:val="22"/>
              </w:rPr>
            </w:pPr>
            <w:r w:rsidRPr="00784E0E">
              <w:rPr>
                <w:rFonts w:cs="Arial"/>
                <w:b w:val="0"/>
                <w:sz w:val="24"/>
                <w:szCs w:val="22"/>
              </w:rPr>
              <w:t>includes – personal injury or prejudice to safety; property damage or loss; intimidation or harassment; adverse discrimination, disadvantage or adverse treatment about career, profession, employment, trade or business; financial loss; damage to reputation, including for example personal, professional or business reputation.</w:t>
            </w:r>
          </w:p>
        </w:tc>
      </w:tr>
      <w:tr w:rsidR="005F11BA" w:rsidRPr="008D43B4" w14:paraId="5AAF54A9" w14:textId="77777777" w:rsidTr="00784E0E">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BACC6" w:themeColor="accent5"/>
            </w:tcBorders>
            <w:shd w:val="clear" w:color="auto" w:fill="auto"/>
          </w:tcPr>
          <w:p w14:paraId="6B47BCA0" w14:textId="77777777" w:rsidR="005F11BA" w:rsidRPr="00784E0E" w:rsidRDefault="005F11BA" w:rsidP="005F11BA">
            <w:pPr>
              <w:spacing w:after="120"/>
              <w:rPr>
                <w:b w:val="0"/>
                <w:sz w:val="24"/>
                <w:szCs w:val="22"/>
              </w:rPr>
            </w:pPr>
            <w:r w:rsidRPr="00784E0E">
              <w:rPr>
                <w:b w:val="0"/>
                <w:sz w:val="24"/>
                <w:szCs w:val="22"/>
              </w:rPr>
              <w:t>disability</w:t>
            </w:r>
          </w:p>
        </w:tc>
        <w:tc>
          <w:tcPr>
            <w:cnfStyle w:val="000100000000" w:firstRow="0" w:lastRow="0" w:firstColumn="0" w:lastColumn="1" w:oddVBand="0" w:evenVBand="0" w:oddHBand="0" w:evenHBand="0" w:firstRowFirstColumn="0" w:firstRowLastColumn="0" w:lastRowFirstColumn="0" w:lastRowLastColumn="0"/>
            <w:tcW w:w="6597" w:type="dxa"/>
            <w:tcBorders>
              <w:top w:val="single" w:sz="4" w:space="0" w:color="4BACC6" w:themeColor="accent5"/>
            </w:tcBorders>
            <w:shd w:val="clear" w:color="auto" w:fill="auto"/>
          </w:tcPr>
          <w:p w14:paraId="3A1C444E" w14:textId="77777777" w:rsidR="005F11BA" w:rsidRPr="005F11BA" w:rsidRDefault="005F11BA" w:rsidP="005F11BA">
            <w:pPr>
              <w:spacing w:after="120"/>
              <w:rPr>
                <w:rFonts w:cs="Arial"/>
                <w:b w:val="0"/>
                <w:sz w:val="24"/>
                <w:szCs w:val="22"/>
              </w:rPr>
            </w:pPr>
            <w:r w:rsidRPr="005F11BA">
              <w:rPr>
                <w:rFonts w:cs="Arial"/>
                <w:b w:val="0"/>
                <w:sz w:val="24"/>
                <w:szCs w:val="22"/>
              </w:rPr>
              <w:t xml:space="preserve">For the purposes of this policy and the </w:t>
            </w:r>
            <w:r w:rsidRPr="005F11BA">
              <w:rPr>
                <w:rFonts w:cs="Arial"/>
                <w:b w:val="0"/>
                <w:i/>
                <w:sz w:val="24"/>
                <w:szCs w:val="22"/>
              </w:rPr>
              <w:t>Public Interest Disclosure Act 2010,</w:t>
            </w:r>
            <w:r w:rsidRPr="005F11BA">
              <w:rPr>
                <w:rFonts w:cs="Arial"/>
                <w:b w:val="0"/>
                <w:sz w:val="24"/>
                <w:szCs w:val="22"/>
              </w:rPr>
              <w:t xml:space="preserve"> this means the definition in section 11 of the </w:t>
            </w:r>
            <w:r w:rsidRPr="005F11BA">
              <w:rPr>
                <w:rFonts w:cs="Arial"/>
                <w:b w:val="0"/>
                <w:i/>
                <w:sz w:val="24"/>
                <w:szCs w:val="22"/>
              </w:rPr>
              <w:t>Disability Services Act 2006</w:t>
            </w:r>
            <w:r w:rsidRPr="005F11BA">
              <w:rPr>
                <w:rFonts w:cs="Arial"/>
                <w:b w:val="0"/>
                <w:sz w:val="24"/>
                <w:szCs w:val="22"/>
              </w:rPr>
              <w:t>:</w:t>
            </w:r>
          </w:p>
          <w:p w14:paraId="697539AD" w14:textId="77777777" w:rsidR="005F11BA" w:rsidRPr="005F11BA" w:rsidRDefault="005F11BA" w:rsidP="005F11BA">
            <w:pPr>
              <w:pStyle w:val="ListParagraph"/>
              <w:numPr>
                <w:ilvl w:val="0"/>
                <w:numId w:val="17"/>
              </w:numPr>
              <w:spacing w:after="120"/>
              <w:ind w:left="435" w:hanging="425"/>
              <w:rPr>
                <w:rFonts w:cs="Arial"/>
                <w:b w:val="0"/>
                <w:sz w:val="24"/>
                <w:szCs w:val="22"/>
              </w:rPr>
            </w:pPr>
            <w:r w:rsidRPr="005F11BA">
              <w:rPr>
                <w:rFonts w:cs="Arial"/>
                <w:b w:val="0"/>
                <w:sz w:val="24"/>
                <w:szCs w:val="22"/>
              </w:rPr>
              <w:t>A disability is a person’s condition that:</w:t>
            </w:r>
          </w:p>
          <w:p w14:paraId="51329DC7" w14:textId="77777777" w:rsidR="005F11BA" w:rsidRPr="005F11BA" w:rsidRDefault="005F11BA" w:rsidP="005F11BA">
            <w:pPr>
              <w:pStyle w:val="ListParagraph"/>
              <w:numPr>
                <w:ilvl w:val="1"/>
                <w:numId w:val="17"/>
              </w:numPr>
              <w:spacing w:after="120"/>
              <w:ind w:left="860" w:hanging="425"/>
              <w:rPr>
                <w:rFonts w:cs="Arial"/>
                <w:b w:val="0"/>
                <w:sz w:val="24"/>
                <w:szCs w:val="22"/>
              </w:rPr>
            </w:pPr>
            <w:r w:rsidRPr="005F11BA">
              <w:rPr>
                <w:rFonts w:cs="Arial"/>
                <w:b w:val="0"/>
                <w:sz w:val="24"/>
                <w:szCs w:val="22"/>
              </w:rPr>
              <w:t>is attributable to:</w:t>
            </w:r>
          </w:p>
          <w:p w14:paraId="1DDBC5C5" w14:textId="77777777" w:rsidR="005F11BA" w:rsidRPr="005F11BA" w:rsidRDefault="005F11BA" w:rsidP="005F11BA">
            <w:pPr>
              <w:pStyle w:val="ListParagraph"/>
              <w:numPr>
                <w:ilvl w:val="2"/>
                <w:numId w:val="17"/>
              </w:numPr>
              <w:spacing w:after="120"/>
              <w:ind w:left="1144" w:hanging="142"/>
              <w:rPr>
                <w:rFonts w:cs="Arial"/>
                <w:b w:val="0"/>
                <w:sz w:val="24"/>
                <w:szCs w:val="22"/>
              </w:rPr>
            </w:pPr>
            <w:r w:rsidRPr="005F11BA">
              <w:rPr>
                <w:rFonts w:cs="Arial"/>
                <w:b w:val="0"/>
                <w:sz w:val="24"/>
                <w:szCs w:val="22"/>
              </w:rPr>
              <w:t>an intellectual, psychiatric, cognitive, neurological, sensory or physical impairment: or</w:t>
            </w:r>
          </w:p>
          <w:p w14:paraId="133ECE51" w14:textId="77777777" w:rsidR="005F11BA" w:rsidRPr="005F11BA" w:rsidRDefault="005F11BA" w:rsidP="005F11BA">
            <w:pPr>
              <w:pStyle w:val="ListParagraph"/>
              <w:numPr>
                <w:ilvl w:val="2"/>
                <w:numId w:val="17"/>
              </w:numPr>
              <w:spacing w:after="120"/>
              <w:ind w:left="1144" w:hanging="142"/>
              <w:rPr>
                <w:rFonts w:cs="Arial"/>
                <w:b w:val="0"/>
                <w:sz w:val="24"/>
                <w:szCs w:val="22"/>
              </w:rPr>
            </w:pPr>
            <w:r w:rsidRPr="005F11BA">
              <w:rPr>
                <w:rFonts w:cs="Arial"/>
                <w:b w:val="0"/>
                <w:sz w:val="24"/>
                <w:szCs w:val="22"/>
              </w:rPr>
              <w:t>a combination of impairments mentioned in subparagraph (</w:t>
            </w:r>
            <w:proofErr w:type="spellStart"/>
            <w:r w:rsidRPr="005F11BA">
              <w:rPr>
                <w:rFonts w:cs="Arial"/>
                <w:b w:val="0"/>
                <w:sz w:val="24"/>
                <w:szCs w:val="22"/>
              </w:rPr>
              <w:t>i</w:t>
            </w:r>
            <w:proofErr w:type="spellEnd"/>
            <w:r w:rsidRPr="005F11BA">
              <w:rPr>
                <w:rFonts w:cs="Arial"/>
                <w:b w:val="0"/>
                <w:sz w:val="24"/>
                <w:szCs w:val="22"/>
              </w:rPr>
              <w:t>); and</w:t>
            </w:r>
          </w:p>
          <w:p w14:paraId="6B7DB24B" w14:textId="77777777" w:rsidR="005F11BA" w:rsidRPr="005F11BA" w:rsidRDefault="005F11BA" w:rsidP="005F11BA">
            <w:pPr>
              <w:pStyle w:val="ListParagraph"/>
              <w:numPr>
                <w:ilvl w:val="1"/>
                <w:numId w:val="17"/>
              </w:numPr>
              <w:spacing w:after="120"/>
              <w:ind w:left="860" w:hanging="425"/>
              <w:rPr>
                <w:rFonts w:cs="Arial"/>
                <w:b w:val="0"/>
                <w:sz w:val="24"/>
                <w:szCs w:val="22"/>
              </w:rPr>
            </w:pPr>
            <w:r w:rsidRPr="005F11BA">
              <w:rPr>
                <w:rFonts w:cs="Arial"/>
                <w:b w:val="0"/>
                <w:sz w:val="24"/>
                <w:szCs w:val="22"/>
              </w:rPr>
              <w:t>results in:</w:t>
            </w:r>
          </w:p>
          <w:p w14:paraId="502DE247" w14:textId="77777777" w:rsidR="005F11BA" w:rsidRPr="005F11BA" w:rsidRDefault="005F11BA" w:rsidP="005F11BA">
            <w:pPr>
              <w:pStyle w:val="ListParagraph"/>
              <w:numPr>
                <w:ilvl w:val="2"/>
                <w:numId w:val="17"/>
              </w:numPr>
              <w:spacing w:after="120"/>
              <w:ind w:left="1144" w:hanging="142"/>
              <w:rPr>
                <w:rFonts w:cs="Arial"/>
                <w:b w:val="0"/>
                <w:sz w:val="24"/>
                <w:szCs w:val="22"/>
              </w:rPr>
            </w:pPr>
            <w:r w:rsidRPr="005F11BA">
              <w:rPr>
                <w:rFonts w:cs="Arial"/>
                <w:b w:val="0"/>
                <w:sz w:val="24"/>
                <w:szCs w:val="22"/>
              </w:rPr>
              <w:t>a substantial reduction of the person’s capacity for communication, social interaction, learning, mobility or self- care or management; and</w:t>
            </w:r>
          </w:p>
          <w:p w14:paraId="0B4EA187" w14:textId="77777777" w:rsidR="005F11BA" w:rsidRPr="005F11BA" w:rsidRDefault="005F11BA" w:rsidP="005F11BA">
            <w:pPr>
              <w:pStyle w:val="ListParagraph"/>
              <w:numPr>
                <w:ilvl w:val="2"/>
                <w:numId w:val="17"/>
              </w:numPr>
              <w:spacing w:after="120"/>
              <w:ind w:left="1144" w:hanging="142"/>
              <w:rPr>
                <w:rFonts w:cs="Arial"/>
                <w:b w:val="0"/>
                <w:sz w:val="24"/>
                <w:szCs w:val="22"/>
              </w:rPr>
            </w:pPr>
            <w:r w:rsidRPr="005F11BA">
              <w:rPr>
                <w:rFonts w:cs="Arial"/>
                <w:b w:val="0"/>
                <w:sz w:val="24"/>
                <w:szCs w:val="22"/>
              </w:rPr>
              <w:t>the person needing support.</w:t>
            </w:r>
          </w:p>
          <w:p w14:paraId="62976273" w14:textId="77777777" w:rsidR="005F11BA" w:rsidRPr="005F11BA" w:rsidRDefault="005F11BA" w:rsidP="005F11BA">
            <w:pPr>
              <w:pStyle w:val="ListParagraph"/>
              <w:numPr>
                <w:ilvl w:val="0"/>
                <w:numId w:val="17"/>
              </w:numPr>
              <w:spacing w:after="120"/>
              <w:ind w:left="435" w:hanging="425"/>
              <w:rPr>
                <w:rFonts w:cs="Arial"/>
                <w:b w:val="0"/>
                <w:sz w:val="24"/>
                <w:szCs w:val="22"/>
              </w:rPr>
            </w:pPr>
            <w:r w:rsidRPr="005F11BA">
              <w:rPr>
                <w:rFonts w:cs="Arial"/>
                <w:b w:val="0"/>
                <w:sz w:val="24"/>
                <w:szCs w:val="22"/>
              </w:rPr>
              <w:t>For subsection (1), the impairment may result from an acquired brain injury.</w:t>
            </w:r>
          </w:p>
          <w:p w14:paraId="64A8CEA2" w14:textId="77777777" w:rsidR="005F11BA" w:rsidRPr="005F11BA" w:rsidRDefault="005F11BA" w:rsidP="005F11BA">
            <w:pPr>
              <w:pStyle w:val="ListParagraph"/>
              <w:numPr>
                <w:ilvl w:val="0"/>
                <w:numId w:val="17"/>
              </w:numPr>
              <w:spacing w:after="120"/>
              <w:ind w:left="435" w:hanging="425"/>
              <w:rPr>
                <w:rFonts w:cs="Arial"/>
                <w:b w:val="0"/>
                <w:sz w:val="24"/>
                <w:szCs w:val="22"/>
              </w:rPr>
            </w:pPr>
            <w:r w:rsidRPr="005F11BA">
              <w:rPr>
                <w:rFonts w:cs="Arial"/>
                <w:b w:val="0"/>
                <w:sz w:val="24"/>
                <w:szCs w:val="22"/>
              </w:rPr>
              <w:t>The disability must be permanent or likely to be permanent.</w:t>
            </w:r>
          </w:p>
          <w:p w14:paraId="3B0C1C88" w14:textId="77777777" w:rsidR="005F11BA" w:rsidRPr="005F11BA" w:rsidRDefault="005F11BA" w:rsidP="005F11BA">
            <w:pPr>
              <w:pStyle w:val="ListParagraph"/>
              <w:numPr>
                <w:ilvl w:val="0"/>
                <w:numId w:val="17"/>
              </w:numPr>
              <w:spacing w:after="120"/>
              <w:ind w:left="435" w:hanging="425"/>
              <w:rPr>
                <w:rFonts w:cs="Arial"/>
                <w:b w:val="0"/>
                <w:sz w:val="24"/>
                <w:szCs w:val="22"/>
              </w:rPr>
            </w:pPr>
            <w:r w:rsidRPr="005F11BA">
              <w:rPr>
                <w:rFonts w:cs="Arial"/>
                <w:b w:val="0"/>
                <w:sz w:val="24"/>
                <w:szCs w:val="22"/>
              </w:rPr>
              <w:t>The disability may be, but need not be, of a chronic episodic nature.</w:t>
            </w:r>
          </w:p>
        </w:tc>
      </w:tr>
      <w:tr w:rsidR="005F11BA" w:rsidRPr="008D43B4" w14:paraId="7F42C58A" w14:textId="77777777" w:rsidTr="0078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34FCDA2" w14:textId="77777777" w:rsidR="005F11BA" w:rsidRPr="00784E0E" w:rsidRDefault="005F11BA" w:rsidP="005F11BA">
            <w:pPr>
              <w:spacing w:after="120"/>
              <w:rPr>
                <w:b w:val="0"/>
                <w:sz w:val="24"/>
                <w:szCs w:val="22"/>
              </w:rPr>
            </w:pPr>
            <w:r>
              <w:rPr>
                <w:b w:val="0"/>
                <w:sz w:val="24"/>
                <w:szCs w:val="22"/>
              </w:rPr>
              <w:t>d</w:t>
            </w:r>
            <w:r w:rsidRPr="00784E0E">
              <w:rPr>
                <w:b w:val="0"/>
                <w:sz w:val="24"/>
                <w:szCs w:val="22"/>
              </w:rPr>
              <w:t>isclosure</w:t>
            </w:r>
          </w:p>
        </w:tc>
        <w:tc>
          <w:tcPr>
            <w:cnfStyle w:val="000100000000" w:firstRow="0" w:lastRow="0" w:firstColumn="0" w:lastColumn="1" w:oddVBand="0" w:evenVBand="0" w:oddHBand="0" w:evenHBand="0" w:firstRowFirstColumn="0" w:firstRowLastColumn="0" w:lastRowFirstColumn="0" w:lastRowLastColumn="0"/>
            <w:tcW w:w="6597" w:type="dxa"/>
            <w:shd w:val="clear" w:color="auto" w:fill="auto"/>
          </w:tcPr>
          <w:p w14:paraId="77908B73" w14:textId="77777777" w:rsidR="005F11BA" w:rsidRPr="005F11BA" w:rsidRDefault="005F11BA" w:rsidP="005F11BA">
            <w:pPr>
              <w:spacing w:after="120"/>
              <w:rPr>
                <w:b w:val="0"/>
                <w:sz w:val="24"/>
                <w:szCs w:val="22"/>
              </w:rPr>
            </w:pPr>
            <w:r w:rsidRPr="005F11BA">
              <w:rPr>
                <w:b w:val="0"/>
                <w:sz w:val="24"/>
                <w:szCs w:val="22"/>
              </w:rPr>
              <w:t xml:space="preserve">a person who makes a public interest disclosure. </w:t>
            </w:r>
          </w:p>
        </w:tc>
      </w:tr>
      <w:tr w:rsidR="005F11BA" w:rsidRPr="008D43B4" w14:paraId="267B06F7" w14:textId="77777777" w:rsidTr="00784E0E">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BACC6" w:themeColor="accent5"/>
            </w:tcBorders>
            <w:shd w:val="clear" w:color="auto" w:fill="auto"/>
          </w:tcPr>
          <w:p w14:paraId="3FA14E9F" w14:textId="77777777" w:rsidR="005F11BA" w:rsidRPr="005F11BA" w:rsidRDefault="005F11BA" w:rsidP="005F11BA">
            <w:pPr>
              <w:spacing w:after="120"/>
              <w:rPr>
                <w:b w:val="0"/>
                <w:sz w:val="24"/>
                <w:szCs w:val="24"/>
              </w:rPr>
            </w:pPr>
            <w:r w:rsidRPr="005F11BA">
              <w:rPr>
                <w:b w:val="0"/>
                <w:sz w:val="24"/>
                <w:szCs w:val="24"/>
              </w:rPr>
              <w:t>journalist</w:t>
            </w:r>
          </w:p>
        </w:tc>
        <w:tc>
          <w:tcPr>
            <w:cnfStyle w:val="000100000000" w:firstRow="0" w:lastRow="0" w:firstColumn="0" w:lastColumn="1" w:oddVBand="0" w:evenVBand="0" w:oddHBand="0" w:evenHBand="0" w:firstRowFirstColumn="0" w:firstRowLastColumn="0" w:lastRowFirstColumn="0" w:lastRowLastColumn="0"/>
            <w:tcW w:w="6597" w:type="dxa"/>
            <w:tcBorders>
              <w:top w:val="single" w:sz="4" w:space="0" w:color="4BACC6" w:themeColor="accent5"/>
            </w:tcBorders>
            <w:shd w:val="clear" w:color="auto" w:fill="auto"/>
          </w:tcPr>
          <w:p w14:paraId="2A51FD9C" w14:textId="77777777" w:rsidR="005F11BA" w:rsidRPr="005F11BA" w:rsidRDefault="005F11BA" w:rsidP="005F11BA">
            <w:pPr>
              <w:spacing w:after="120"/>
              <w:rPr>
                <w:b w:val="0"/>
                <w:sz w:val="24"/>
                <w:szCs w:val="22"/>
              </w:rPr>
            </w:pPr>
            <w:r w:rsidRPr="005F11BA">
              <w:rPr>
                <w:b w:val="0"/>
                <w:sz w:val="24"/>
                <w:szCs w:val="22"/>
              </w:rPr>
              <w:t xml:space="preserve">a person engaged in the occupation of writing or editing material intended for publication in the print or electronic news media. </w:t>
            </w:r>
          </w:p>
        </w:tc>
      </w:tr>
      <w:tr w:rsidR="005F11BA" w:rsidRPr="008D43B4" w14:paraId="4AB8E7E8" w14:textId="77777777" w:rsidTr="0078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8C6FB89" w14:textId="77777777" w:rsidR="005F11BA" w:rsidRPr="005F11BA" w:rsidRDefault="005F11BA" w:rsidP="005F11BA">
            <w:pPr>
              <w:spacing w:after="120"/>
              <w:rPr>
                <w:b w:val="0"/>
                <w:sz w:val="24"/>
                <w:szCs w:val="24"/>
              </w:rPr>
            </w:pPr>
            <w:r w:rsidRPr="005F11BA">
              <w:rPr>
                <w:b w:val="0"/>
                <w:sz w:val="24"/>
                <w:szCs w:val="24"/>
              </w:rPr>
              <w:t>maladministration</w:t>
            </w:r>
          </w:p>
        </w:tc>
        <w:tc>
          <w:tcPr>
            <w:cnfStyle w:val="000100000000" w:firstRow="0" w:lastRow="0" w:firstColumn="0" w:lastColumn="1" w:oddVBand="0" w:evenVBand="0" w:oddHBand="0" w:evenHBand="0" w:firstRowFirstColumn="0" w:firstRowLastColumn="0" w:lastRowFirstColumn="0" w:lastRowLastColumn="0"/>
            <w:tcW w:w="6597" w:type="dxa"/>
            <w:shd w:val="clear" w:color="auto" w:fill="auto"/>
          </w:tcPr>
          <w:p w14:paraId="64AC8D62" w14:textId="77777777" w:rsidR="005F11BA" w:rsidRPr="005F11BA" w:rsidRDefault="005F11BA" w:rsidP="005F11BA">
            <w:pPr>
              <w:spacing w:after="120"/>
              <w:jc w:val="both"/>
              <w:rPr>
                <w:b w:val="0"/>
                <w:sz w:val="24"/>
                <w:szCs w:val="22"/>
              </w:rPr>
            </w:pPr>
            <w:r w:rsidRPr="005F11BA">
              <w:rPr>
                <w:b w:val="0"/>
                <w:sz w:val="24"/>
                <w:szCs w:val="22"/>
              </w:rPr>
              <w:t xml:space="preserve">This is defined in schedule 4 to the </w:t>
            </w:r>
            <w:r w:rsidRPr="005F11BA">
              <w:rPr>
                <w:b w:val="0"/>
                <w:i/>
                <w:sz w:val="24"/>
                <w:szCs w:val="22"/>
              </w:rPr>
              <w:t>Public Interest Disclosure Act 2010</w:t>
            </w:r>
            <w:r w:rsidRPr="005F11BA">
              <w:rPr>
                <w:b w:val="0"/>
                <w:sz w:val="24"/>
                <w:szCs w:val="22"/>
              </w:rPr>
              <w:t xml:space="preserve">. See the Schedule to this policy. </w:t>
            </w:r>
          </w:p>
        </w:tc>
      </w:tr>
      <w:tr w:rsidR="005F11BA" w:rsidRPr="008D43B4" w14:paraId="23E0F531" w14:textId="77777777" w:rsidTr="00784E0E">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BACC6" w:themeColor="accent5"/>
            </w:tcBorders>
            <w:shd w:val="clear" w:color="auto" w:fill="auto"/>
          </w:tcPr>
          <w:p w14:paraId="32A57A10" w14:textId="77777777" w:rsidR="005F11BA" w:rsidRPr="005F11BA" w:rsidRDefault="005F11BA" w:rsidP="005F11BA">
            <w:pPr>
              <w:spacing w:after="120"/>
              <w:rPr>
                <w:b w:val="0"/>
                <w:sz w:val="24"/>
                <w:szCs w:val="24"/>
              </w:rPr>
            </w:pPr>
            <w:r w:rsidRPr="005F11BA">
              <w:rPr>
                <w:b w:val="0"/>
                <w:sz w:val="24"/>
                <w:szCs w:val="24"/>
              </w:rPr>
              <w:t>PID Coordinator</w:t>
            </w:r>
          </w:p>
        </w:tc>
        <w:tc>
          <w:tcPr>
            <w:cnfStyle w:val="000100000000" w:firstRow="0" w:lastRow="0" w:firstColumn="0" w:lastColumn="1" w:oddVBand="0" w:evenVBand="0" w:oddHBand="0" w:evenHBand="0" w:firstRowFirstColumn="0" w:firstRowLastColumn="0" w:lastRowFirstColumn="0" w:lastRowLastColumn="0"/>
            <w:tcW w:w="6597" w:type="dxa"/>
            <w:tcBorders>
              <w:top w:val="single" w:sz="4" w:space="0" w:color="4BACC6" w:themeColor="accent5"/>
            </w:tcBorders>
            <w:shd w:val="clear" w:color="auto" w:fill="auto"/>
          </w:tcPr>
          <w:p w14:paraId="114875EE" w14:textId="77777777" w:rsidR="005F11BA" w:rsidRPr="005F11BA" w:rsidRDefault="005F11BA" w:rsidP="005F11BA">
            <w:pPr>
              <w:spacing w:after="120"/>
              <w:jc w:val="both"/>
              <w:rPr>
                <w:b w:val="0"/>
                <w:sz w:val="22"/>
                <w:szCs w:val="22"/>
              </w:rPr>
            </w:pPr>
            <w:r w:rsidRPr="005F11BA">
              <w:rPr>
                <w:rFonts w:cs="Arial"/>
                <w:b w:val="0"/>
                <w:sz w:val="24"/>
                <w:szCs w:val="22"/>
              </w:rPr>
              <w:t>the person responsible for receiving and dealing with PIDs made to the Queensland Human Rights Commission, is the nominated Principal Lawyer</w:t>
            </w:r>
            <w:r>
              <w:rPr>
                <w:rFonts w:cs="Arial"/>
                <w:b w:val="0"/>
                <w:sz w:val="24"/>
                <w:szCs w:val="22"/>
              </w:rPr>
              <w:t>.</w:t>
            </w:r>
          </w:p>
        </w:tc>
      </w:tr>
      <w:tr w:rsidR="005F11BA" w14:paraId="0B162283" w14:textId="77777777" w:rsidTr="0078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82B2874" w14:textId="77777777" w:rsidR="005F11BA" w:rsidRPr="005F11BA" w:rsidRDefault="005F11BA" w:rsidP="005F11BA">
            <w:pPr>
              <w:spacing w:after="120"/>
              <w:rPr>
                <w:b w:val="0"/>
                <w:sz w:val="24"/>
                <w:szCs w:val="24"/>
              </w:rPr>
            </w:pPr>
            <w:r w:rsidRPr="005F11BA">
              <w:rPr>
                <w:b w:val="0"/>
                <w:sz w:val="24"/>
                <w:szCs w:val="24"/>
              </w:rPr>
              <w:t>proper authority</w:t>
            </w:r>
          </w:p>
        </w:tc>
        <w:tc>
          <w:tcPr>
            <w:cnfStyle w:val="000100000000" w:firstRow="0" w:lastRow="0" w:firstColumn="0" w:lastColumn="1" w:oddVBand="0" w:evenVBand="0" w:oddHBand="0" w:evenHBand="0" w:firstRowFirstColumn="0" w:firstRowLastColumn="0" w:lastRowFirstColumn="0" w:lastRowLastColumn="0"/>
            <w:tcW w:w="6597" w:type="dxa"/>
            <w:shd w:val="clear" w:color="auto" w:fill="auto"/>
          </w:tcPr>
          <w:p w14:paraId="7ABBA0D6" w14:textId="77777777" w:rsidR="005F11BA" w:rsidRPr="005F11BA" w:rsidRDefault="005F11BA" w:rsidP="005F11BA">
            <w:pPr>
              <w:spacing w:after="120"/>
              <w:rPr>
                <w:b w:val="0"/>
                <w:sz w:val="24"/>
                <w:szCs w:val="22"/>
              </w:rPr>
            </w:pPr>
            <w:r w:rsidRPr="005F11BA">
              <w:rPr>
                <w:b w:val="0"/>
                <w:sz w:val="24"/>
                <w:szCs w:val="22"/>
              </w:rPr>
              <w:t>a public sector entity or a member of the Legislative Assembly.</w:t>
            </w:r>
          </w:p>
        </w:tc>
      </w:tr>
      <w:tr w:rsidR="005F11BA" w:rsidRPr="009F7A60" w14:paraId="2DF52573" w14:textId="77777777" w:rsidTr="00784E0E">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6B36BD4D" w14:textId="77777777" w:rsidR="005F11BA" w:rsidRPr="005F11BA" w:rsidRDefault="005F11BA" w:rsidP="005F11BA">
            <w:pPr>
              <w:spacing w:after="120"/>
              <w:rPr>
                <w:b w:val="0"/>
                <w:sz w:val="24"/>
                <w:szCs w:val="24"/>
              </w:rPr>
            </w:pPr>
            <w:r w:rsidRPr="005F11BA">
              <w:rPr>
                <w:b w:val="0"/>
                <w:sz w:val="24"/>
                <w:szCs w:val="24"/>
              </w:rPr>
              <w:t>public officer</w:t>
            </w:r>
          </w:p>
        </w:tc>
        <w:tc>
          <w:tcPr>
            <w:cnfStyle w:val="000100000000" w:firstRow="0" w:lastRow="0" w:firstColumn="0" w:lastColumn="1" w:oddVBand="0" w:evenVBand="0" w:oddHBand="0" w:evenHBand="0" w:firstRowFirstColumn="0" w:firstRowLastColumn="0" w:lastRowFirstColumn="0" w:lastRowLastColumn="0"/>
            <w:tcW w:w="6597" w:type="dxa"/>
            <w:shd w:val="clear" w:color="auto" w:fill="auto"/>
          </w:tcPr>
          <w:p w14:paraId="2E091847" w14:textId="77777777" w:rsidR="005F11BA" w:rsidRPr="005F11BA" w:rsidRDefault="005F11BA" w:rsidP="005F11BA">
            <w:pPr>
              <w:spacing w:after="120"/>
              <w:rPr>
                <w:b w:val="0"/>
                <w:sz w:val="24"/>
                <w:szCs w:val="22"/>
              </w:rPr>
            </w:pPr>
            <w:r w:rsidRPr="005F11BA">
              <w:rPr>
                <w:b w:val="0"/>
                <w:sz w:val="24"/>
                <w:szCs w:val="22"/>
              </w:rPr>
              <w:t>an employee or officer of a public sector entity</w:t>
            </w:r>
          </w:p>
        </w:tc>
      </w:tr>
      <w:tr w:rsidR="005F11BA" w:rsidRPr="009F7A60" w14:paraId="52002BF7" w14:textId="77777777" w:rsidTr="0078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0AA7576" w14:textId="77777777" w:rsidR="005F11BA" w:rsidRPr="005F11BA" w:rsidRDefault="005F11BA" w:rsidP="005F11BA">
            <w:pPr>
              <w:spacing w:after="120"/>
              <w:rPr>
                <w:b w:val="0"/>
                <w:sz w:val="24"/>
                <w:szCs w:val="24"/>
              </w:rPr>
            </w:pPr>
            <w:r w:rsidRPr="005F11BA">
              <w:rPr>
                <w:b w:val="0"/>
                <w:sz w:val="24"/>
                <w:szCs w:val="24"/>
              </w:rPr>
              <w:t>public sector entity</w:t>
            </w:r>
          </w:p>
        </w:tc>
        <w:tc>
          <w:tcPr>
            <w:cnfStyle w:val="000100000000" w:firstRow="0" w:lastRow="0" w:firstColumn="0" w:lastColumn="1" w:oddVBand="0" w:evenVBand="0" w:oddHBand="0" w:evenHBand="0" w:firstRowFirstColumn="0" w:firstRowLastColumn="0" w:lastRowFirstColumn="0" w:lastRowLastColumn="0"/>
            <w:tcW w:w="6597" w:type="dxa"/>
            <w:shd w:val="clear" w:color="auto" w:fill="auto"/>
          </w:tcPr>
          <w:p w14:paraId="1668EAB0" w14:textId="77777777" w:rsidR="005F11BA" w:rsidRDefault="005F11BA" w:rsidP="005F11BA">
            <w:pPr>
              <w:spacing w:after="120"/>
              <w:rPr>
                <w:b w:val="0"/>
                <w:sz w:val="22"/>
                <w:szCs w:val="22"/>
              </w:rPr>
            </w:pPr>
            <w:r w:rsidRPr="005F11BA">
              <w:rPr>
                <w:rFonts w:cs="Arial"/>
                <w:b w:val="0"/>
                <w:sz w:val="24"/>
                <w:szCs w:val="22"/>
              </w:rPr>
              <w:t>includes - Queensland government departments and agencies; a local government; a university, college or TAFE; a court or tribunal; a committee of the Legislative Assembly; and the Executive Council (for the full definition see section 6 of the PID Act).</w:t>
            </w:r>
          </w:p>
        </w:tc>
      </w:tr>
      <w:tr w:rsidR="005F11BA" w:rsidRPr="009F7A60" w14:paraId="2F3F9579" w14:textId="77777777" w:rsidTr="00784E0E">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6BA38E40" w14:textId="77777777" w:rsidR="005F11BA" w:rsidRDefault="005F11BA" w:rsidP="005F11BA">
            <w:pPr>
              <w:spacing w:after="120"/>
              <w:rPr>
                <w:b w:val="0"/>
                <w:sz w:val="22"/>
                <w:szCs w:val="22"/>
              </w:rPr>
            </w:pPr>
            <w:r>
              <w:rPr>
                <w:b w:val="0"/>
                <w:sz w:val="22"/>
                <w:szCs w:val="22"/>
              </w:rPr>
              <w:lastRenderedPageBreak/>
              <w:t>reasonable management action</w:t>
            </w:r>
          </w:p>
        </w:tc>
        <w:tc>
          <w:tcPr>
            <w:cnfStyle w:val="000100000000" w:firstRow="0" w:lastRow="0" w:firstColumn="0" w:lastColumn="1" w:oddVBand="0" w:evenVBand="0" w:oddHBand="0" w:evenHBand="0" w:firstRowFirstColumn="0" w:firstRowLastColumn="0" w:lastRowFirstColumn="0" w:lastRowLastColumn="0"/>
            <w:tcW w:w="6597" w:type="dxa"/>
            <w:shd w:val="clear" w:color="auto" w:fill="auto"/>
          </w:tcPr>
          <w:p w14:paraId="7C952030" w14:textId="77777777" w:rsidR="005F11BA" w:rsidRPr="005F11BA" w:rsidRDefault="005F11BA" w:rsidP="005F11BA">
            <w:pPr>
              <w:spacing w:after="120"/>
              <w:rPr>
                <w:rFonts w:cs="Arial"/>
                <w:b w:val="0"/>
                <w:sz w:val="24"/>
                <w:szCs w:val="22"/>
              </w:rPr>
            </w:pPr>
            <w:r w:rsidRPr="005F11BA">
              <w:rPr>
                <w:rFonts w:cs="Arial"/>
                <w:b w:val="0"/>
                <w:sz w:val="24"/>
                <w:szCs w:val="22"/>
              </w:rPr>
              <w:t>An action taken by a manager in relation to an employee, includes any of the following:</w:t>
            </w:r>
          </w:p>
          <w:p w14:paraId="0000C3DB" w14:textId="77777777" w:rsidR="005F11BA" w:rsidRPr="005F11BA" w:rsidRDefault="005F11BA" w:rsidP="005F11BA">
            <w:pPr>
              <w:pStyle w:val="ListParagraph"/>
              <w:numPr>
                <w:ilvl w:val="0"/>
                <w:numId w:val="18"/>
              </w:numPr>
              <w:spacing w:after="120"/>
              <w:ind w:left="435" w:hanging="425"/>
              <w:rPr>
                <w:rFonts w:cs="Arial"/>
                <w:b w:val="0"/>
                <w:sz w:val="24"/>
                <w:szCs w:val="22"/>
              </w:rPr>
            </w:pPr>
            <w:r w:rsidRPr="005F11BA">
              <w:rPr>
                <w:rFonts w:cs="Arial"/>
                <w:b w:val="0"/>
                <w:sz w:val="24"/>
                <w:szCs w:val="22"/>
              </w:rPr>
              <w:t>a reasonable appraisal of the employee’s work performance;</w:t>
            </w:r>
          </w:p>
          <w:p w14:paraId="38666A1F" w14:textId="77777777" w:rsidR="005F11BA" w:rsidRPr="005F11BA" w:rsidRDefault="005F11BA" w:rsidP="005F11BA">
            <w:pPr>
              <w:pStyle w:val="ListParagraph"/>
              <w:numPr>
                <w:ilvl w:val="0"/>
                <w:numId w:val="18"/>
              </w:numPr>
              <w:spacing w:after="120"/>
              <w:ind w:left="435" w:hanging="425"/>
              <w:rPr>
                <w:rFonts w:cs="Arial"/>
                <w:b w:val="0"/>
                <w:sz w:val="24"/>
                <w:szCs w:val="22"/>
              </w:rPr>
            </w:pPr>
            <w:r w:rsidRPr="005F11BA">
              <w:rPr>
                <w:rFonts w:cs="Arial"/>
                <w:b w:val="0"/>
                <w:sz w:val="24"/>
                <w:szCs w:val="22"/>
              </w:rPr>
              <w:t>a reasonable requirement that the employee undertake counselling;</w:t>
            </w:r>
          </w:p>
          <w:p w14:paraId="4C01FEA1" w14:textId="77777777" w:rsidR="005F11BA" w:rsidRPr="005F11BA" w:rsidRDefault="005F11BA" w:rsidP="005F11BA">
            <w:pPr>
              <w:pStyle w:val="ListParagraph"/>
              <w:numPr>
                <w:ilvl w:val="0"/>
                <w:numId w:val="18"/>
              </w:numPr>
              <w:spacing w:after="120"/>
              <w:ind w:left="435" w:hanging="425"/>
              <w:rPr>
                <w:rFonts w:cs="Arial"/>
                <w:b w:val="0"/>
                <w:sz w:val="24"/>
                <w:szCs w:val="22"/>
              </w:rPr>
            </w:pPr>
            <w:r w:rsidRPr="005F11BA">
              <w:rPr>
                <w:rFonts w:cs="Arial"/>
                <w:b w:val="0"/>
                <w:sz w:val="24"/>
                <w:szCs w:val="22"/>
              </w:rPr>
              <w:t>a reasonable suspension of the employee from the employment workplace;</w:t>
            </w:r>
          </w:p>
          <w:p w14:paraId="0392462D" w14:textId="77777777" w:rsidR="005F11BA" w:rsidRPr="005F11BA" w:rsidRDefault="005F11BA" w:rsidP="005F11BA">
            <w:pPr>
              <w:pStyle w:val="ListParagraph"/>
              <w:numPr>
                <w:ilvl w:val="0"/>
                <w:numId w:val="18"/>
              </w:numPr>
              <w:spacing w:after="120"/>
              <w:ind w:left="435" w:hanging="425"/>
              <w:rPr>
                <w:rFonts w:cs="Arial"/>
                <w:b w:val="0"/>
                <w:sz w:val="24"/>
                <w:szCs w:val="22"/>
              </w:rPr>
            </w:pPr>
            <w:r w:rsidRPr="005F11BA">
              <w:rPr>
                <w:rFonts w:cs="Arial"/>
                <w:b w:val="0"/>
                <w:sz w:val="24"/>
                <w:szCs w:val="22"/>
              </w:rPr>
              <w:t>a reasonable disciplinary action;</w:t>
            </w:r>
          </w:p>
          <w:p w14:paraId="1D9ADE1A" w14:textId="77777777" w:rsidR="005F11BA" w:rsidRPr="005F11BA" w:rsidRDefault="005F11BA" w:rsidP="005F11BA">
            <w:pPr>
              <w:pStyle w:val="ListParagraph"/>
              <w:numPr>
                <w:ilvl w:val="0"/>
                <w:numId w:val="18"/>
              </w:numPr>
              <w:spacing w:after="120"/>
              <w:ind w:left="435" w:hanging="425"/>
              <w:rPr>
                <w:rFonts w:cs="Arial"/>
                <w:b w:val="0"/>
                <w:sz w:val="24"/>
                <w:szCs w:val="22"/>
              </w:rPr>
            </w:pPr>
            <w:r w:rsidRPr="005F11BA">
              <w:rPr>
                <w:rFonts w:cs="Arial"/>
                <w:b w:val="0"/>
                <w:sz w:val="24"/>
                <w:szCs w:val="22"/>
              </w:rPr>
              <w:t>a reasonable action to transfer or deploy the employee;</w:t>
            </w:r>
          </w:p>
          <w:p w14:paraId="5947564C" w14:textId="77777777" w:rsidR="005F11BA" w:rsidRPr="005F11BA" w:rsidRDefault="005F11BA" w:rsidP="005F11BA">
            <w:pPr>
              <w:pStyle w:val="ListParagraph"/>
              <w:numPr>
                <w:ilvl w:val="0"/>
                <w:numId w:val="18"/>
              </w:numPr>
              <w:spacing w:after="120"/>
              <w:ind w:left="435" w:hanging="425"/>
              <w:rPr>
                <w:rFonts w:cs="Arial"/>
                <w:b w:val="0"/>
                <w:sz w:val="24"/>
                <w:szCs w:val="22"/>
              </w:rPr>
            </w:pPr>
            <w:r w:rsidRPr="005F11BA">
              <w:rPr>
                <w:rFonts w:cs="Arial"/>
                <w:b w:val="0"/>
                <w:sz w:val="24"/>
                <w:szCs w:val="22"/>
              </w:rPr>
              <w:t>a reasonable action to end the employee’s employment by way of redundancy or retrenchment;</w:t>
            </w:r>
          </w:p>
          <w:p w14:paraId="20C68D0F" w14:textId="77777777" w:rsidR="005F11BA" w:rsidRPr="005F11BA" w:rsidRDefault="005F11BA" w:rsidP="005F11BA">
            <w:pPr>
              <w:pStyle w:val="ListParagraph"/>
              <w:numPr>
                <w:ilvl w:val="0"/>
                <w:numId w:val="18"/>
              </w:numPr>
              <w:spacing w:after="120"/>
              <w:ind w:left="435" w:hanging="425"/>
              <w:rPr>
                <w:rFonts w:cs="Arial"/>
                <w:b w:val="0"/>
                <w:sz w:val="24"/>
                <w:szCs w:val="22"/>
              </w:rPr>
            </w:pPr>
            <w:r w:rsidRPr="005F11BA">
              <w:rPr>
                <w:rFonts w:cs="Arial"/>
                <w:b w:val="0"/>
                <w:sz w:val="24"/>
                <w:szCs w:val="22"/>
              </w:rPr>
              <w:t>a reasonable action in relation to an action mentioned in paragraphs(a) to (f);</w:t>
            </w:r>
          </w:p>
          <w:p w14:paraId="7C1E3E0E" w14:textId="77777777" w:rsidR="005F11BA" w:rsidRPr="005F11BA" w:rsidRDefault="005F11BA" w:rsidP="005F11BA">
            <w:pPr>
              <w:spacing w:after="120"/>
              <w:jc w:val="both"/>
              <w:rPr>
                <w:b w:val="0"/>
                <w:sz w:val="22"/>
                <w:szCs w:val="22"/>
              </w:rPr>
            </w:pPr>
            <w:r w:rsidRPr="005F11BA">
              <w:rPr>
                <w:rFonts w:cs="Arial"/>
                <w:b w:val="0"/>
                <w:sz w:val="24"/>
                <w:szCs w:val="22"/>
              </w:rPr>
              <w:t>a reasonable action in relation to the employee’s failure to obtain a promotion, reclassification, transfer or benefit, or to retain a benefit, in relation to the employee’s employment.</w:t>
            </w:r>
          </w:p>
        </w:tc>
      </w:tr>
      <w:tr w:rsidR="005F11BA" w:rsidRPr="009F7A60" w14:paraId="3849623D" w14:textId="77777777" w:rsidTr="0078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5561C7F" w14:textId="77777777" w:rsidR="005F11BA" w:rsidRDefault="005F11BA" w:rsidP="005F11BA">
            <w:pPr>
              <w:spacing w:after="120"/>
              <w:rPr>
                <w:b w:val="0"/>
                <w:sz w:val="22"/>
                <w:szCs w:val="22"/>
              </w:rPr>
            </w:pPr>
            <w:r>
              <w:rPr>
                <w:b w:val="0"/>
                <w:sz w:val="22"/>
                <w:szCs w:val="22"/>
              </w:rPr>
              <w:t>reprisal</w:t>
            </w:r>
          </w:p>
        </w:tc>
        <w:tc>
          <w:tcPr>
            <w:cnfStyle w:val="000100000000" w:firstRow="0" w:lastRow="0" w:firstColumn="0" w:lastColumn="1" w:oddVBand="0" w:evenVBand="0" w:oddHBand="0" w:evenHBand="0" w:firstRowFirstColumn="0" w:firstRowLastColumn="0" w:lastRowFirstColumn="0" w:lastRowLastColumn="0"/>
            <w:tcW w:w="6597" w:type="dxa"/>
            <w:shd w:val="clear" w:color="auto" w:fill="auto"/>
          </w:tcPr>
          <w:p w14:paraId="4390104C" w14:textId="77777777" w:rsidR="005F11BA" w:rsidRPr="005F11BA" w:rsidRDefault="005F11BA" w:rsidP="005F11BA">
            <w:pPr>
              <w:spacing w:after="120"/>
              <w:rPr>
                <w:rFonts w:cs="Arial"/>
                <w:b w:val="0"/>
                <w:sz w:val="24"/>
                <w:szCs w:val="22"/>
              </w:rPr>
            </w:pPr>
            <w:r w:rsidRPr="005F11BA">
              <w:rPr>
                <w:rFonts w:cs="Arial"/>
                <w:b w:val="0"/>
                <w:sz w:val="24"/>
                <w:szCs w:val="22"/>
              </w:rPr>
              <w:t xml:space="preserve">This is defined in section 40 of the </w:t>
            </w:r>
            <w:r w:rsidRPr="005F11BA">
              <w:rPr>
                <w:rFonts w:cs="Arial"/>
                <w:b w:val="0"/>
                <w:i/>
                <w:sz w:val="24"/>
                <w:szCs w:val="22"/>
              </w:rPr>
              <w:t>Public Interest Disclosure Act 2010</w:t>
            </w:r>
            <w:r w:rsidRPr="005F11BA">
              <w:rPr>
                <w:rFonts w:cs="Arial"/>
                <w:b w:val="0"/>
                <w:sz w:val="24"/>
                <w:szCs w:val="22"/>
              </w:rPr>
              <w:t xml:space="preserve"> as causing, or attempting or conspiring to cause, detriment to a person in the belief that they or someone else:</w:t>
            </w:r>
          </w:p>
          <w:p w14:paraId="08CE1D7D" w14:textId="77777777" w:rsidR="005F11BA" w:rsidRPr="005F11BA" w:rsidRDefault="005F11BA" w:rsidP="005F11BA">
            <w:pPr>
              <w:pStyle w:val="ListParagraph"/>
              <w:numPr>
                <w:ilvl w:val="0"/>
                <w:numId w:val="19"/>
              </w:numPr>
              <w:spacing w:after="120"/>
              <w:ind w:left="435" w:hanging="283"/>
              <w:rPr>
                <w:rFonts w:cs="Arial"/>
                <w:b w:val="0"/>
                <w:sz w:val="24"/>
                <w:szCs w:val="22"/>
              </w:rPr>
            </w:pPr>
            <w:r w:rsidRPr="005F11BA">
              <w:rPr>
                <w:rFonts w:cs="Arial"/>
                <w:b w:val="0"/>
                <w:sz w:val="24"/>
                <w:szCs w:val="22"/>
              </w:rPr>
              <w:t>has made or intends to make a disclosure: or</w:t>
            </w:r>
          </w:p>
          <w:p w14:paraId="664DEAC5" w14:textId="77777777" w:rsidR="005F11BA" w:rsidRPr="005F11BA" w:rsidRDefault="005F11BA" w:rsidP="005F11BA">
            <w:pPr>
              <w:pStyle w:val="ListParagraph"/>
              <w:numPr>
                <w:ilvl w:val="0"/>
                <w:numId w:val="19"/>
              </w:numPr>
              <w:spacing w:after="120"/>
              <w:ind w:left="435" w:hanging="283"/>
              <w:rPr>
                <w:rFonts w:cs="Arial"/>
                <w:b w:val="0"/>
                <w:sz w:val="24"/>
                <w:szCs w:val="22"/>
              </w:rPr>
            </w:pPr>
            <w:r w:rsidRPr="005F11BA">
              <w:rPr>
                <w:rFonts w:cs="Arial"/>
                <w:b w:val="0"/>
                <w:sz w:val="24"/>
                <w:szCs w:val="22"/>
              </w:rPr>
              <w:t>has been or intends to be involved in a proceeding under the PID Act against any person.</w:t>
            </w:r>
          </w:p>
          <w:p w14:paraId="563487C5" w14:textId="77777777" w:rsidR="005F11BA" w:rsidRPr="005F11BA" w:rsidRDefault="005F11BA" w:rsidP="005F11BA">
            <w:pPr>
              <w:spacing w:after="120"/>
              <w:jc w:val="both"/>
              <w:rPr>
                <w:b w:val="0"/>
                <w:sz w:val="22"/>
                <w:szCs w:val="22"/>
              </w:rPr>
            </w:pPr>
            <w:r w:rsidRPr="005F11BA">
              <w:rPr>
                <w:rFonts w:cs="Arial"/>
                <w:b w:val="0"/>
                <w:sz w:val="24"/>
                <w:szCs w:val="22"/>
              </w:rPr>
              <w:t xml:space="preserve">Reprisal under the </w:t>
            </w:r>
            <w:r w:rsidRPr="005F11BA">
              <w:rPr>
                <w:rFonts w:cs="Arial"/>
                <w:b w:val="0"/>
                <w:i/>
                <w:sz w:val="24"/>
                <w:szCs w:val="22"/>
              </w:rPr>
              <w:t>Public Interest Disclosure Act 2010</w:t>
            </w:r>
            <w:r w:rsidRPr="005F11BA">
              <w:rPr>
                <w:rFonts w:cs="Arial"/>
                <w:b w:val="0"/>
                <w:sz w:val="24"/>
                <w:szCs w:val="22"/>
              </w:rPr>
              <w:t xml:space="preserve"> is a criminal offence, and investigations may be undertaken by the Queensland Police Service.</w:t>
            </w:r>
          </w:p>
        </w:tc>
      </w:tr>
      <w:tr w:rsidR="005F11BA" w:rsidRPr="009F7A60" w14:paraId="76F76987" w14:textId="77777777" w:rsidTr="00784E0E">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24A978C" w14:textId="77777777" w:rsidR="005F11BA" w:rsidRDefault="005F11BA" w:rsidP="005F11BA">
            <w:pPr>
              <w:spacing w:after="120"/>
              <w:rPr>
                <w:b w:val="0"/>
                <w:sz w:val="22"/>
                <w:szCs w:val="22"/>
              </w:rPr>
            </w:pPr>
            <w:r>
              <w:rPr>
                <w:b w:val="0"/>
                <w:sz w:val="22"/>
                <w:szCs w:val="22"/>
              </w:rPr>
              <w:t>subject officer</w:t>
            </w:r>
          </w:p>
        </w:tc>
        <w:tc>
          <w:tcPr>
            <w:cnfStyle w:val="000100000000" w:firstRow="0" w:lastRow="0" w:firstColumn="0" w:lastColumn="1" w:oddVBand="0" w:evenVBand="0" w:oddHBand="0" w:evenHBand="0" w:firstRowFirstColumn="0" w:firstRowLastColumn="0" w:lastRowFirstColumn="0" w:lastRowLastColumn="0"/>
            <w:tcW w:w="6597" w:type="dxa"/>
            <w:shd w:val="clear" w:color="auto" w:fill="auto"/>
          </w:tcPr>
          <w:p w14:paraId="32A4CA73" w14:textId="77777777" w:rsidR="005F11BA" w:rsidRPr="005F11BA" w:rsidRDefault="005F11BA" w:rsidP="005F11BA">
            <w:pPr>
              <w:spacing w:after="120"/>
              <w:jc w:val="both"/>
              <w:rPr>
                <w:b w:val="0"/>
                <w:sz w:val="22"/>
                <w:szCs w:val="22"/>
              </w:rPr>
            </w:pPr>
            <w:r w:rsidRPr="005F11BA">
              <w:rPr>
                <w:rFonts w:cs="Arial"/>
                <w:b w:val="0"/>
                <w:sz w:val="24"/>
                <w:szCs w:val="22"/>
              </w:rPr>
              <w:t>an officer about whom allegations of wrongdoing is made in a disclosure.</w:t>
            </w:r>
          </w:p>
        </w:tc>
      </w:tr>
      <w:tr w:rsidR="005F11BA" w:rsidRPr="009F7A60" w14:paraId="62AC3319" w14:textId="77777777" w:rsidTr="00784E0E">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89" w:type="dxa"/>
            <w:tcBorders>
              <w:bottom w:val="single" w:sz="4" w:space="0" w:color="4BACC6" w:themeColor="accent5"/>
            </w:tcBorders>
            <w:shd w:val="clear" w:color="auto" w:fill="auto"/>
          </w:tcPr>
          <w:p w14:paraId="0C985263" w14:textId="77777777" w:rsidR="005F11BA" w:rsidRPr="00784E0E" w:rsidRDefault="005F11BA" w:rsidP="005F11BA">
            <w:pPr>
              <w:spacing w:after="120"/>
              <w:rPr>
                <w:b w:val="0"/>
                <w:sz w:val="22"/>
                <w:szCs w:val="22"/>
              </w:rPr>
            </w:pPr>
            <w:r>
              <w:rPr>
                <w:b w:val="0"/>
                <w:sz w:val="22"/>
                <w:szCs w:val="22"/>
              </w:rPr>
              <w:t>substantial and specific</w:t>
            </w:r>
          </w:p>
        </w:tc>
        <w:tc>
          <w:tcPr>
            <w:cnfStyle w:val="000100000010" w:firstRow="0" w:lastRow="0" w:firstColumn="0" w:lastColumn="1" w:oddVBand="0" w:evenVBand="0" w:oddHBand="0" w:evenHBand="0" w:firstRowFirstColumn="0" w:firstRowLastColumn="0" w:lastRowFirstColumn="0" w:lastRowLastColumn="1"/>
            <w:tcW w:w="6597" w:type="dxa"/>
            <w:tcBorders>
              <w:bottom w:val="single" w:sz="4" w:space="0" w:color="4BACC6" w:themeColor="accent5"/>
            </w:tcBorders>
            <w:shd w:val="clear" w:color="auto" w:fill="auto"/>
          </w:tcPr>
          <w:p w14:paraId="4A9D5AA2" w14:textId="77777777" w:rsidR="005F11BA" w:rsidRPr="005F11BA" w:rsidRDefault="005F11BA" w:rsidP="005F11BA">
            <w:pPr>
              <w:spacing w:after="120"/>
              <w:rPr>
                <w:rFonts w:cs="Arial"/>
                <w:b w:val="0"/>
                <w:sz w:val="24"/>
                <w:szCs w:val="22"/>
              </w:rPr>
            </w:pPr>
            <w:r w:rsidRPr="005F11BA">
              <w:rPr>
                <w:rFonts w:cs="Arial"/>
                <w:b w:val="0"/>
                <w:sz w:val="24"/>
                <w:szCs w:val="22"/>
              </w:rPr>
              <w:t>Substantial means ‘of a sign</w:t>
            </w:r>
            <w:r w:rsidR="00561396">
              <w:rPr>
                <w:rFonts w:cs="Arial"/>
                <w:b w:val="0"/>
                <w:sz w:val="24"/>
                <w:szCs w:val="22"/>
              </w:rPr>
              <w:t xml:space="preserve">ificant or considerable degree’. </w:t>
            </w:r>
            <w:r w:rsidRPr="005F11BA">
              <w:rPr>
                <w:rFonts w:cs="Arial"/>
                <w:b w:val="0"/>
                <w:sz w:val="24"/>
                <w:szCs w:val="22"/>
              </w:rPr>
              <w:t>It must be more than trivial or minimal and have some weight or importance.</w:t>
            </w:r>
          </w:p>
          <w:p w14:paraId="11AADB4F" w14:textId="77777777" w:rsidR="005F11BA" w:rsidRPr="005F11BA" w:rsidRDefault="005F11BA" w:rsidP="005F11BA">
            <w:pPr>
              <w:spacing w:after="120"/>
              <w:rPr>
                <w:rFonts w:cs="Arial"/>
                <w:b w:val="0"/>
                <w:sz w:val="24"/>
                <w:szCs w:val="22"/>
              </w:rPr>
            </w:pPr>
            <w:r w:rsidRPr="005F11BA">
              <w:rPr>
                <w:rFonts w:cs="Arial"/>
                <w:b w:val="0"/>
                <w:sz w:val="24"/>
                <w:szCs w:val="22"/>
              </w:rPr>
              <w:t>Specific means ‘precise or particular’.  This refers to conduct or detriment that is able to be identified or particularised, as opposed to broad or general concerns or criticisms.</w:t>
            </w:r>
          </w:p>
        </w:tc>
      </w:tr>
    </w:tbl>
    <w:p w14:paraId="03313847" w14:textId="77777777" w:rsidR="00CF2C34" w:rsidRDefault="00CF2C34" w:rsidP="00CF2C34">
      <w:pPr>
        <w:rPr>
          <w:lang w:val="en-US"/>
        </w:rPr>
      </w:pPr>
    </w:p>
    <w:p w14:paraId="1248A861" w14:textId="77777777" w:rsidR="00784E0E" w:rsidRDefault="00784E0E" w:rsidP="00CF2C34">
      <w:pPr>
        <w:rPr>
          <w:lang w:val="en-US"/>
        </w:rPr>
      </w:pPr>
    </w:p>
    <w:p w14:paraId="087047A4" w14:textId="77777777" w:rsidR="00784E0E" w:rsidRDefault="00784E0E" w:rsidP="00CF2C34">
      <w:pPr>
        <w:rPr>
          <w:lang w:val="en-US"/>
        </w:rPr>
      </w:pPr>
    </w:p>
    <w:p w14:paraId="5679241C" w14:textId="77777777" w:rsidR="00EE6CAC" w:rsidRDefault="00EE6CAC">
      <w:pPr>
        <w:rPr>
          <w:color w:val="347B9F"/>
          <w:sz w:val="36"/>
        </w:rPr>
      </w:pPr>
      <w:bookmarkStart w:id="16" w:name="_Toc34019645"/>
      <w:bookmarkStart w:id="17" w:name="_Toc63070862"/>
      <w:bookmarkStart w:id="18" w:name="_Toc156730692"/>
      <w:r>
        <w:br w:type="page"/>
      </w:r>
    </w:p>
    <w:p w14:paraId="006B3598" w14:textId="77777777" w:rsidR="00CF2C34" w:rsidRDefault="00CF2C34" w:rsidP="00CF2C34">
      <w:pPr>
        <w:pStyle w:val="Heading1"/>
      </w:pPr>
      <w:bookmarkStart w:id="19" w:name="_Toc59022791"/>
      <w:r>
        <w:lastRenderedPageBreak/>
        <w:t>What is a public interest disclosure (PID)?</w:t>
      </w:r>
      <w:bookmarkEnd w:id="19"/>
    </w:p>
    <w:p w14:paraId="2BF3BF84" w14:textId="77777777" w:rsidR="00561396" w:rsidRPr="00561396" w:rsidRDefault="00561396" w:rsidP="00561396"/>
    <w:p w14:paraId="410706BE" w14:textId="77777777" w:rsidR="00CF2C34" w:rsidRPr="00A67DBB" w:rsidRDefault="00CF2C34" w:rsidP="00CF2C34">
      <w:pPr>
        <w:spacing w:before="120" w:after="240"/>
        <w:rPr>
          <w:rFonts w:cs="Arial"/>
          <w:sz w:val="24"/>
          <w:szCs w:val="22"/>
        </w:rPr>
      </w:pPr>
      <w:r w:rsidRPr="00A67DBB">
        <w:rPr>
          <w:rFonts w:cs="Arial"/>
          <w:sz w:val="24"/>
          <w:szCs w:val="22"/>
        </w:rPr>
        <w:t>What constitutes a PID depends on who is making the disclosure.  The PID Act distinguishes between disclosures made by a public officer and those made by any person.</w:t>
      </w:r>
    </w:p>
    <w:p w14:paraId="459A798F" w14:textId="77777777" w:rsidR="00A66F49" w:rsidRDefault="00CF2C34" w:rsidP="009F7A60">
      <w:pPr>
        <w:pStyle w:val="Heading2"/>
      </w:pPr>
      <w:bookmarkStart w:id="20" w:name="_Toc59022029"/>
      <w:bookmarkStart w:id="21" w:name="_Toc59022792"/>
      <w:r>
        <w:t>PIDs made by any person</w:t>
      </w:r>
      <w:bookmarkEnd w:id="20"/>
      <w:bookmarkEnd w:id="21"/>
    </w:p>
    <w:p w14:paraId="52362C87" w14:textId="77777777" w:rsidR="00561396" w:rsidRPr="00561396" w:rsidRDefault="00561396" w:rsidP="00561396"/>
    <w:p w14:paraId="03571F1F" w14:textId="77777777" w:rsidR="00CF2C34" w:rsidRPr="00A67DBB" w:rsidRDefault="00CF2C34" w:rsidP="00CF2C34">
      <w:pPr>
        <w:spacing w:after="120"/>
        <w:rPr>
          <w:rFonts w:cs="Arial"/>
          <w:sz w:val="24"/>
          <w:szCs w:val="22"/>
        </w:rPr>
      </w:pPr>
      <w:r w:rsidRPr="00A67DBB">
        <w:rPr>
          <w:rFonts w:cs="Arial"/>
          <w:sz w:val="24"/>
          <w:szCs w:val="22"/>
        </w:rPr>
        <w:t>Any person can make a disclosure about:</w:t>
      </w:r>
    </w:p>
    <w:p w14:paraId="4051A734" w14:textId="77777777" w:rsidR="00CF2C34" w:rsidRPr="00A67DBB" w:rsidRDefault="00CF2C34" w:rsidP="00CF2C34">
      <w:pPr>
        <w:numPr>
          <w:ilvl w:val="0"/>
          <w:numId w:val="20"/>
        </w:numPr>
        <w:spacing w:after="120"/>
        <w:rPr>
          <w:rFonts w:cs="Arial"/>
          <w:sz w:val="24"/>
          <w:szCs w:val="22"/>
        </w:rPr>
      </w:pPr>
      <w:r w:rsidRPr="00A67DBB">
        <w:rPr>
          <w:rFonts w:cs="Arial"/>
          <w:sz w:val="24"/>
          <w:szCs w:val="22"/>
        </w:rPr>
        <w:t>a substantial and specific danger to the health or safety of a person with a disability;</w:t>
      </w:r>
    </w:p>
    <w:p w14:paraId="17883F8C" w14:textId="77777777" w:rsidR="00CF2C34" w:rsidRPr="00A67DBB" w:rsidRDefault="00CF2C34" w:rsidP="00CF2C34">
      <w:pPr>
        <w:numPr>
          <w:ilvl w:val="0"/>
          <w:numId w:val="20"/>
        </w:numPr>
        <w:spacing w:after="120"/>
        <w:rPr>
          <w:rFonts w:cs="Arial"/>
          <w:sz w:val="24"/>
          <w:szCs w:val="22"/>
        </w:rPr>
      </w:pPr>
      <w:r w:rsidRPr="00A67DBB">
        <w:rPr>
          <w:rFonts w:cs="Arial"/>
          <w:sz w:val="24"/>
          <w:szCs w:val="22"/>
        </w:rPr>
        <w:t>a substantial and specific danger to the environment;</w:t>
      </w:r>
    </w:p>
    <w:p w14:paraId="60FAA68A" w14:textId="77777777" w:rsidR="00CF2C34" w:rsidRPr="00A67DBB" w:rsidRDefault="00CF2C34" w:rsidP="00CF2C34">
      <w:pPr>
        <w:numPr>
          <w:ilvl w:val="0"/>
          <w:numId w:val="20"/>
        </w:numPr>
        <w:spacing w:after="120"/>
        <w:rPr>
          <w:rFonts w:cs="Arial"/>
          <w:sz w:val="24"/>
          <w:szCs w:val="22"/>
        </w:rPr>
      </w:pPr>
      <w:r w:rsidRPr="00A67DBB">
        <w:rPr>
          <w:rFonts w:cs="Arial"/>
          <w:sz w:val="24"/>
          <w:szCs w:val="22"/>
        </w:rPr>
        <w:t>the commission of an environmental offence (refer Schedule 2 of the PID Act); and</w:t>
      </w:r>
    </w:p>
    <w:p w14:paraId="0AD3DD52" w14:textId="77777777" w:rsidR="00CF2C34" w:rsidRDefault="00CF2C34" w:rsidP="00CF2C34">
      <w:pPr>
        <w:numPr>
          <w:ilvl w:val="0"/>
          <w:numId w:val="20"/>
        </w:numPr>
        <w:spacing w:after="240"/>
        <w:ind w:left="714" w:hanging="357"/>
        <w:rPr>
          <w:rFonts w:cs="Arial"/>
          <w:sz w:val="24"/>
          <w:szCs w:val="22"/>
        </w:rPr>
      </w:pPr>
      <w:r w:rsidRPr="00A67DBB">
        <w:rPr>
          <w:rFonts w:cs="Arial"/>
          <w:sz w:val="24"/>
          <w:szCs w:val="22"/>
        </w:rPr>
        <w:t>a reprisal against anybody as a result of a PID.</w:t>
      </w:r>
    </w:p>
    <w:p w14:paraId="7CDE3674" w14:textId="77777777" w:rsidR="009F7A60" w:rsidRDefault="00CF2C34" w:rsidP="00CF2C34">
      <w:pPr>
        <w:pStyle w:val="Heading2"/>
      </w:pPr>
      <w:bookmarkStart w:id="22" w:name="_Toc59022030"/>
      <w:bookmarkStart w:id="23" w:name="_Toc59022793"/>
      <w:r>
        <w:t>PIDs made by public officers</w:t>
      </w:r>
      <w:bookmarkEnd w:id="22"/>
      <w:bookmarkEnd w:id="23"/>
    </w:p>
    <w:p w14:paraId="73DBEBA9" w14:textId="77777777" w:rsidR="00561396" w:rsidRPr="00561396" w:rsidRDefault="00561396" w:rsidP="00561396"/>
    <w:p w14:paraId="56ECA569" w14:textId="77777777" w:rsidR="00CF2C34" w:rsidRPr="00A67DBB" w:rsidRDefault="00CF2C34" w:rsidP="00CF2C34">
      <w:pPr>
        <w:spacing w:after="120"/>
        <w:rPr>
          <w:rFonts w:cs="Arial"/>
          <w:sz w:val="24"/>
          <w:szCs w:val="22"/>
        </w:rPr>
      </w:pPr>
      <w:r w:rsidRPr="00A67DBB">
        <w:rPr>
          <w:rFonts w:cs="Arial"/>
          <w:sz w:val="24"/>
          <w:szCs w:val="22"/>
        </w:rPr>
        <w:t>In addition to the above, public officers can make a disclosure about:</w:t>
      </w:r>
    </w:p>
    <w:p w14:paraId="4F928017" w14:textId="77777777" w:rsidR="00CF2C34" w:rsidRPr="00A67DBB" w:rsidRDefault="00CF2C34" w:rsidP="00CF2C34">
      <w:pPr>
        <w:numPr>
          <w:ilvl w:val="0"/>
          <w:numId w:val="21"/>
        </w:numPr>
        <w:spacing w:after="120"/>
        <w:rPr>
          <w:rFonts w:cs="Arial"/>
          <w:sz w:val="24"/>
          <w:szCs w:val="22"/>
        </w:rPr>
      </w:pPr>
      <w:r w:rsidRPr="00A67DBB">
        <w:rPr>
          <w:rFonts w:cs="Arial"/>
          <w:sz w:val="24"/>
          <w:szCs w:val="22"/>
        </w:rPr>
        <w:t xml:space="preserve">corrupt conduct, as defined in the </w:t>
      </w:r>
      <w:r w:rsidRPr="00A67DBB">
        <w:rPr>
          <w:rFonts w:cs="Arial"/>
          <w:i/>
          <w:sz w:val="24"/>
          <w:szCs w:val="22"/>
        </w:rPr>
        <w:t>Crime and Corruption Act 2011</w:t>
      </w:r>
      <w:r w:rsidRPr="00A67DBB">
        <w:rPr>
          <w:rFonts w:cs="Arial"/>
          <w:sz w:val="24"/>
          <w:szCs w:val="22"/>
        </w:rPr>
        <w:t xml:space="preserve"> (for definition, see the Schedule to this policy)</w:t>
      </w:r>
      <w:r w:rsidRPr="00A67DBB">
        <w:rPr>
          <w:rFonts w:cs="Arial"/>
          <w:i/>
          <w:sz w:val="24"/>
          <w:szCs w:val="22"/>
        </w:rPr>
        <w:t>;</w:t>
      </w:r>
    </w:p>
    <w:p w14:paraId="4248CF1E" w14:textId="77777777" w:rsidR="00CF2C34" w:rsidRPr="00A67DBB" w:rsidRDefault="00CF2C34" w:rsidP="00CF2C34">
      <w:pPr>
        <w:numPr>
          <w:ilvl w:val="0"/>
          <w:numId w:val="21"/>
        </w:numPr>
        <w:spacing w:after="120"/>
        <w:rPr>
          <w:rFonts w:cs="Arial"/>
          <w:sz w:val="24"/>
          <w:szCs w:val="22"/>
        </w:rPr>
      </w:pPr>
      <w:r w:rsidRPr="00A67DBB">
        <w:rPr>
          <w:rFonts w:cs="Arial"/>
          <w:sz w:val="24"/>
          <w:szCs w:val="22"/>
        </w:rPr>
        <w:t>maladministration that adversely affects a person’s interests in a substantial and specific way (for definition of maladministration, see the Schedule to this policy);</w:t>
      </w:r>
    </w:p>
    <w:p w14:paraId="7E3E86CA" w14:textId="77777777" w:rsidR="00CF2C34" w:rsidRPr="00A67DBB" w:rsidRDefault="00CF2C34" w:rsidP="00CF2C34">
      <w:pPr>
        <w:numPr>
          <w:ilvl w:val="0"/>
          <w:numId w:val="21"/>
        </w:numPr>
        <w:spacing w:after="120"/>
        <w:rPr>
          <w:rFonts w:cs="Arial"/>
          <w:sz w:val="24"/>
          <w:szCs w:val="22"/>
        </w:rPr>
      </w:pPr>
      <w:r w:rsidRPr="00A67DBB">
        <w:rPr>
          <w:rFonts w:cs="Arial"/>
          <w:sz w:val="24"/>
          <w:szCs w:val="22"/>
        </w:rPr>
        <w:t>a substantial misuse of public resources;</w:t>
      </w:r>
    </w:p>
    <w:p w14:paraId="3FC5EBDE" w14:textId="77777777" w:rsidR="00CF2C34" w:rsidRPr="00A67DBB" w:rsidRDefault="00CF2C34" w:rsidP="00CF2C34">
      <w:pPr>
        <w:numPr>
          <w:ilvl w:val="0"/>
          <w:numId w:val="21"/>
        </w:numPr>
        <w:spacing w:after="120"/>
        <w:rPr>
          <w:rFonts w:cs="Arial"/>
          <w:sz w:val="24"/>
          <w:szCs w:val="22"/>
        </w:rPr>
      </w:pPr>
      <w:r w:rsidRPr="00A67DBB">
        <w:rPr>
          <w:rFonts w:cs="Arial"/>
          <w:sz w:val="24"/>
          <w:szCs w:val="22"/>
        </w:rPr>
        <w:t>a substantial and specific danger to public health or safety;</w:t>
      </w:r>
    </w:p>
    <w:p w14:paraId="26F6807D" w14:textId="77777777" w:rsidR="00CF2C34" w:rsidRPr="00A67DBB" w:rsidRDefault="00CF2C34" w:rsidP="00CF2C34">
      <w:pPr>
        <w:numPr>
          <w:ilvl w:val="0"/>
          <w:numId w:val="21"/>
        </w:numPr>
        <w:spacing w:after="120"/>
        <w:rPr>
          <w:rFonts w:cs="Arial"/>
          <w:sz w:val="24"/>
          <w:szCs w:val="22"/>
        </w:rPr>
      </w:pPr>
      <w:r w:rsidRPr="00A67DBB">
        <w:rPr>
          <w:rFonts w:cs="Arial"/>
          <w:sz w:val="24"/>
          <w:szCs w:val="22"/>
        </w:rPr>
        <w:t>a substantial and specific danger to the environment.</w:t>
      </w:r>
    </w:p>
    <w:p w14:paraId="59ABF0E8" w14:textId="77777777" w:rsidR="00CF2C34" w:rsidRPr="00A67DBB" w:rsidRDefault="00CF2C34" w:rsidP="00CF2C34">
      <w:pPr>
        <w:spacing w:after="120"/>
        <w:rPr>
          <w:rFonts w:cs="Arial"/>
          <w:sz w:val="24"/>
          <w:szCs w:val="22"/>
        </w:rPr>
      </w:pPr>
      <w:r w:rsidRPr="00A67DBB">
        <w:rPr>
          <w:rFonts w:cs="Arial"/>
          <w:sz w:val="24"/>
          <w:szCs w:val="22"/>
        </w:rPr>
        <w:t>A person has information about the conduct of another person or another matter if:</w:t>
      </w:r>
    </w:p>
    <w:p w14:paraId="3445E8A5" w14:textId="77777777" w:rsidR="00CF2C34" w:rsidRPr="00A67DBB" w:rsidRDefault="00CF2C34" w:rsidP="00CF2C34">
      <w:pPr>
        <w:numPr>
          <w:ilvl w:val="0"/>
          <w:numId w:val="21"/>
        </w:numPr>
        <w:spacing w:after="120"/>
        <w:rPr>
          <w:rFonts w:cs="Arial"/>
          <w:sz w:val="24"/>
          <w:szCs w:val="22"/>
        </w:rPr>
      </w:pPr>
      <w:r w:rsidRPr="00A67DBB">
        <w:rPr>
          <w:rFonts w:cs="Arial"/>
          <w:sz w:val="24"/>
          <w:szCs w:val="22"/>
        </w:rPr>
        <w:t xml:space="preserve">the person honestly believes on reasonable grounds that the information tends to show the conduct or other matter (subjective test); or </w:t>
      </w:r>
    </w:p>
    <w:p w14:paraId="78FADF26" w14:textId="77777777" w:rsidR="00CF2C34" w:rsidRPr="00A67DBB" w:rsidRDefault="00CF2C34" w:rsidP="00CF2C34">
      <w:pPr>
        <w:numPr>
          <w:ilvl w:val="0"/>
          <w:numId w:val="21"/>
        </w:numPr>
        <w:spacing w:after="120"/>
        <w:rPr>
          <w:rFonts w:cs="Arial"/>
          <w:sz w:val="24"/>
          <w:szCs w:val="22"/>
        </w:rPr>
      </w:pPr>
      <w:r w:rsidRPr="00A67DBB">
        <w:rPr>
          <w:rFonts w:cs="Arial"/>
          <w:sz w:val="24"/>
          <w:szCs w:val="22"/>
        </w:rPr>
        <w:t xml:space="preserve">the information tends to show the conduct or other matter regardless of whether the person honestly believes the information tends to show the conduct or other matter (objective test).  </w:t>
      </w:r>
    </w:p>
    <w:p w14:paraId="4B4FB382" w14:textId="77777777" w:rsidR="00CF2C34" w:rsidRPr="00A67DBB" w:rsidRDefault="00CF2C34" w:rsidP="00CF2C34">
      <w:pPr>
        <w:spacing w:after="120"/>
        <w:rPr>
          <w:rFonts w:cs="Arial"/>
          <w:sz w:val="24"/>
          <w:szCs w:val="22"/>
        </w:rPr>
      </w:pPr>
      <w:r w:rsidRPr="00A67DBB">
        <w:rPr>
          <w:rFonts w:cs="Arial"/>
          <w:sz w:val="24"/>
          <w:szCs w:val="22"/>
        </w:rPr>
        <w:t>A disclosure is a PID and covered by the PID Act, even if:</w:t>
      </w:r>
    </w:p>
    <w:p w14:paraId="4BA6620F" w14:textId="77777777" w:rsidR="00CF2C34" w:rsidRPr="00A67DBB" w:rsidRDefault="00CF2C34" w:rsidP="00CF2C34">
      <w:pPr>
        <w:pStyle w:val="ListParagraph"/>
        <w:numPr>
          <w:ilvl w:val="0"/>
          <w:numId w:val="22"/>
        </w:numPr>
        <w:spacing w:after="120"/>
        <w:ind w:left="714" w:hanging="357"/>
        <w:contextualSpacing w:val="0"/>
        <w:rPr>
          <w:rFonts w:cs="Arial"/>
          <w:sz w:val="24"/>
          <w:szCs w:val="22"/>
        </w:rPr>
      </w:pPr>
      <w:r w:rsidRPr="00A67DBB">
        <w:rPr>
          <w:rFonts w:cs="Arial"/>
          <w:sz w:val="24"/>
          <w:szCs w:val="22"/>
        </w:rPr>
        <w:t>the disclosure reports the information as part of their duties – for example, an occupational health and safety officer reporting a safety breach, an auditor reporting a fraud, or an employee reporting code of conduct concerns to their manager</w:t>
      </w:r>
    </w:p>
    <w:p w14:paraId="490CBF80" w14:textId="77777777" w:rsidR="00CF2C34" w:rsidRPr="00A67DBB" w:rsidRDefault="00CF2C34" w:rsidP="00CF2C34">
      <w:pPr>
        <w:pStyle w:val="ListParagraph"/>
        <w:numPr>
          <w:ilvl w:val="0"/>
          <w:numId w:val="22"/>
        </w:numPr>
        <w:spacing w:after="120"/>
        <w:ind w:left="714" w:hanging="357"/>
        <w:contextualSpacing w:val="0"/>
        <w:rPr>
          <w:rFonts w:cs="Arial"/>
          <w:sz w:val="24"/>
          <w:szCs w:val="22"/>
        </w:rPr>
      </w:pPr>
      <w:r w:rsidRPr="00A67DBB">
        <w:rPr>
          <w:rFonts w:cs="Arial"/>
          <w:sz w:val="24"/>
          <w:szCs w:val="22"/>
        </w:rPr>
        <w:t>the disclosure is made anonymously</w:t>
      </w:r>
    </w:p>
    <w:p w14:paraId="091B7A7A" w14:textId="77777777" w:rsidR="00CF2C34" w:rsidRPr="00A67DBB" w:rsidRDefault="00CF2C34" w:rsidP="00CF2C34">
      <w:pPr>
        <w:pStyle w:val="ListParagraph"/>
        <w:numPr>
          <w:ilvl w:val="0"/>
          <w:numId w:val="22"/>
        </w:numPr>
        <w:spacing w:after="120"/>
        <w:ind w:left="714" w:hanging="357"/>
        <w:contextualSpacing w:val="0"/>
        <w:rPr>
          <w:rFonts w:cs="Arial"/>
          <w:sz w:val="24"/>
          <w:szCs w:val="22"/>
        </w:rPr>
      </w:pPr>
      <w:r w:rsidRPr="00A67DBB">
        <w:rPr>
          <w:rFonts w:cs="Arial"/>
          <w:sz w:val="24"/>
          <w:szCs w:val="22"/>
        </w:rPr>
        <w:t xml:space="preserve">the discloser has not identified the information as a PID – managers and all employees should refer information that might be a PID to the PID </w:t>
      </w:r>
      <w:r w:rsidR="00561396">
        <w:rPr>
          <w:rFonts w:cs="Arial"/>
          <w:sz w:val="24"/>
          <w:szCs w:val="22"/>
        </w:rPr>
        <w:t>Coordinator</w:t>
      </w:r>
      <w:r w:rsidRPr="00A67DBB">
        <w:rPr>
          <w:rFonts w:cs="Arial"/>
          <w:sz w:val="24"/>
          <w:szCs w:val="22"/>
        </w:rPr>
        <w:t xml:space="preserve"> who will assess the information and decide whether it is a PID</w:t>
      </w:r>
    </w:p>
    <w:p w14:paraId="7E366026" w14:textId="77777777" w:rsidR="00CF2C34" w:rsidRPr="00A67DBB" w:rsidRDefault="00CF2C34" w:rsidP="00CF2C34">
      <w:pPr>
        <w:pStyle w:val="ListParagraph"/>
        <w:numPr>
          <w:ilvl w:val="0"/>
          <w:numId w:val="22"/>
        </w:numPr>
        <w:spacing w:after="120"/>
        <w:ind w:left="714" w:hanging="357"/>
        <w:contextualSpacing w:val="0"/>
        <w:rPr>
          <w:rFonts w:cs="Arial"/>
          <w:sz w:val="24"/>
          <w:szCs w:val="22"/>
        </w:rPr>
      </w:pPr>
      <w:r w:rsidRPr="00A67DBB">
        <w:rPr>
          <w:rFonts w:cs="Arial"/>
          <w:sz w:val="24"/>
          <w:szCs w:val="22"/>
        </w:rPr>
        <w:t>the disclosure is unsubstantiated following investigation – the discloser is protected when the information they provide is assessed as a PID, regardless of whether or not it is investigated or found to be substantiated.</w:t>
      </w:r>
    </w:p>
    <w:p w14:paraId="07139D1A" w14:textId="77777777" w:rsidR="00CF2C34" w:rsidRPr="00A67DBB" w:rsidRDefault="00CF2C34" w:rsidP="00CF2C34">
      <w:pPr>
        <w:spacing w:after="120"/>
        <w:rPr>
          <w:rFonts w:cs="Arial"/>
          <w:sz w:val="24"/>
          <w:szCs w:val="22"/>
        </w:rPr>
      </w:pPr>
      <w:r w:rsidRPr="00A67DBB">
        <w:rPr>
          <w:rFonts w:cs="Arial"/>
          <w:sz w:val="24"/>
          <w:szCs w:val="22"/>
        </w:rPr>
        <w:t>Some disclosures are not protected by the PID Act, including disclosures:</w:t>
      </w:r>
    </w:p>
    <w:p w14:paraId="167E9556" w14:textId="77777777" w:rsidR="00CF2C34" w:rsidRPr="00A67DBB" w:rsidRDefault="00CF2C34" w:rsidP="00CF2C34">
      <w:pPr>
        <w:numPr>
          <w:ilvl w:val="0"/>
          <w:numId w:val="21"/>
        </w:numPr>
        <w:spacing w:after="120"/>
        <w:ind w:left="714" w:hanging="357"/>
        <w:rPr>
          <w:rFonts w:cs="Arial"/>
          <w:sz w:val="24"/>
          <w:szCs w:val="22"/>
        </w:rPr>
      </w:pPr>
      <w:r w:rsidRPr="00A67DBB">
        <w:rPr>
          <w:rFonts w:cs="Arial"/>
          <w:sz w:val="24"/>
          <w:szCs w:val="22"/>
        </w:rPr>
        <w:t>made to the media (except in special circumstances outlined in section 20 of the PID Act – see below); or</w:t>
      </w:r>
    </w:p>
    <w:p w14:paraId="1133C223" w14:textId="77777777" w:rsidR="00CF2C34" w:rsidRPr="00A67DBB" w:rsidRDefault="00CF2C34" w:rsidP="00CF2C34">
      <w:pPr>
        <w:numPr>
          <w:ilvl w:val="0"/>
          <w:numId w:val="21"/>
        </w:numPr>
        <w:spacing w:after="120"/>
        <w:rPr>
          <w:rFonts w:cs="Arial"/>
          <w:sz w:val="24"/>
          <w:szCs w:val="22"/>
        </w:rPr>
      </w:pPr>
      <w:r w:rsidRPr="00A67DBB">
        <w:rPr>
          <w:rFonts w:cs="Arial"/>
          <w:sz w:val="24"/>
          <w:szCs w:val="22"/>
        </w:rPr>
        <w:lastRenderedPageBreak/>
        <w:t>made frivolously or vexatiously; or</w:t>
      </w:r>
    </w:p>
    <w:p w14:paraId="09AB6D8B" w14:textId="77777777" w:rsidR="00CF2C34" w:rsidRPr="00A67DBB" w:rsidRDefault="00CF2C34" w:rsidP="00CF2C34">
      <w:pPr>
        <w:numPr>
          <w:ilvl w:val="0"/>
          <w:numId w:val="21"/>
        </w:numPr>
        <w:spacing w:after="120"/>
        <w:rPr>
          <w:rFonts w:cs="Arial"/>
          <w:sz w:val="24"/>
          <w:szCs w:val="22"/>
        </w:rPr>
      </w:pPr>
      <w:r w:rsidRPr="00A67DBB">
        <w:rPr>
          <w:rFonts w:cs="Arial"/>
          <w:sz w:val="24"/>
          <w:szCs w:val="22"/>
        </w:rPr>
        <w:t>which primarily question the relative merits of government or agency policy; or</w:t>
      </w:r>
    </w:p>
    <w:p w14:paraId="10962326" w14:textId="77777777" w:rsidR="00CF2C34" w:rsidRPr="00A67DBB" w:rsidRDefault="00CF2C34" w:rsidP="00CF2C34">
      <w:pPr>
        <w:numPr>
          <w:ilvl w:val="0"/>
          <w:numId w:val="21"/>
        </w:numPr>
        <w:spacing w:after="120"/>
        <w:rPr>
          <w:rFonts w:cs="Arial"/>
          <w:sz w:val="24"/>
          <w:szCs w:val="22"/>
        </w:rPr>
      </w:pPr>
      <w:r w:rsidRPr="00A67DBB">
        <w:rPr>
          <w:rFonts w:cs="Arial"/>
          <w:sz w:val="24"/>
          <w:szCs w:val="22"/>
        </w:rPr>
        <w:t>made substantially to avoid disciplinary action.</w:t>
      </w:r>
    </w:p>
    <w:p w14:paraId="6ACF1E60" w14:textId="77777777" w:rsidR="00CF2C34" w:rsidRDefault="00CF2C34" w:rsidP="00EE6CAC">
      <w:pPr>
        <w:spacing w:after="120"/>
      </w:pPr>
      <w:r w:rsidRPr="00A67DBB">
        <w:rPr>
          <w:rFonts w:cs="Arial"/>
          <w:sz w:val="24"/>
          <w:szCs w:val="22"/>
        </w:rPr>
        <w:t>If you are dissatisfied with how a PID has been managed you may request a review, either internally or externally.</w:t>
      </w:r>
    </w:p>
    <w:p w14:paraId="26CD4435" w14:textId="77777777" w:rsidR="00CF2C34" w:rsidRDefault="00CF2C34" w:rsidP="00CF2C34">
      <w:pPr>
        <w:pStyle w:val="Heading2"/>
      </w:pPr>
      <w:bookmarkStart w:id="24" w:name="_Toc59022031"/>
      <w:bookmarkStart w:id="25" w:name="_Toc59022794"/>
      <w:r>
        <w:t>When a disclosure can be made to a journalist</w:t>
      </w:r>
      <w:bookmarkEnd w:id="24"/>
      <w:bookmarkEnd w:id="25"/>
    </w:p>
    <w:p w14:paraId="2BBE7E7F" w14:textId="77777777" w:rsidR="00784E0E" w:rsidRPr="00784E0E" w:rsidRDefault="00784E0E" w:rsidP="00784E0E"/>
    <w:p w14:paraId="46078E6D" w14:textId="77777777" w:rsidR="00CF2C34" w:rsidRPr="0005706E" w:rsidRDefault="00CF2C34" w:rsidP="00CF2C34">
      <w:pPr>
        <w:spacing w:after="120"/>
        <w:rPr>
          <w:rFonts w:cs="Arial"/>
          <w:sz w:val="24"/>
          <w:szCs w:val="22"/>
        </w:rPr>
      </w:pPr>
      <w:r w:rsidRPr="0005706E">
        <w:rPr>
          <w:rFonts w:cs="Arial"/>
          <w:sz w:val="24"/>
          <w:szCs w:val="22"/>
        </w:rPr>
        <w:t>You can make a disclosure to a journalist if you have made the disclosure to an appropriate entity under the PID Act, and the entity (if it was referred to another entity, that entity):</w:t>
      </w:r>
    </w:p>
    <w:p w14:paraId="2AEFBF98" w14:textId="77777777" w:rsidR="00CF2C34" w:rsidRPr="0005706E" w:rsidRDefault="00CF2C34" w:rsidP="00CF2C34">
      <w:pPr>
        <w:numPr>
          <w:ilvl w:val="0"/>
          <w:numId w:val="21"/>
        </w:numPr>
        <w:spacing w:after="120"/>
        <w:rPr>
          <w:rFonts w:cs="Arial"/>
          <w:sz w:val="24"/>
          <w:szCs w:val="22"/>
        </w:rPr>
      </w:pPr>
      <w:r w:rsidRPr="0005706E">
        <w:rPr>
          <w:rFonts w:cs="Arial"/>
          <w:sz w:val="24"/>
          <w:szCs w:val="22"/>
        </w:rPr>
        <w:t>decided not to investigate or deal with the disclosure; or</w:t>
      </w:r>
    </w:p>
    <w:p w14:paraId="4A95F572" w14:textId="77777777" w:rsidR="00CF2C34" w:rsidRPr="0005706E" w:rsidRDefault="00CF2C34" w:rsidP="00CF2C34">
      <w:pPr>
        <w:numPr>
          <w:ilvl w:val="0"/>
          <w:numId w:val="21"/>
        </w:numPr>
        <w:spacing w:after="120"/>
        <w:ind w:left="714" w:hanging="357"/>
        <w:rPr>
          <w:rFonts w:cs="Arial"/>
          <w:sz w:val="24"/>
          <w:szCs w:val="22"/>
        </w:rPr>
      </w:pPr>
      <w:r w:rsidRPr="0005706E">
        <w:rPr>
          <w:rFonts w:cs="Arial"/>
          <w:sz w:val="24"/>
          <w:szCs w:val="22"/>
        </w:rPr>
        <w:t>investigated the disclosure but did not recommend any action in relation to the disclosure; or</w:t>
      </w:r>
    </w:p>
    <w:p w14:paraId="75F5FE56" w14:textId="77777777" w:rsidR="00CF2C34" w:rsidRPr="0005706E" w:rsidRDefault="00CF2C34" w:rsidP="00CF2C34">
      <w:pPr>
        <w:numPr>
          <w:ilvl w:val="0"/>
          <w:numId w:val="21"/>
        </w:numPr>
        <w:spacing w:after="120"/>
        <w:ind w:left="714" w:hanging="357"/>
        <w:rPr>
          <w:rFonts w:cs="Arial"/>
          <w:sz w:val="24"/>
          <w:szCs w:val="22"/>
        </w:rPr>
      </w:pPr>
      <w:r w:rsidRPr="0005706E">
        <w:rPr>
          <w:rFonts w:cs="Arial"/>
          <w:sz w:val="24"/>
          <w:szCs w:val="22"/>
        </w:rPr>
        <w:t>did not notify you, within 6 months of making the disclosure, whether or not the disclosure was to be investigated or dealt with.</w:t>
      </w:r>
    </w:p>
    <w:p w14:paraId="792B26F8" w14:textId="77777777" w:rsidR="00CF2C34" w:rsidRDefault="00CF2C34" w:rsidP="00CF2C34"/>
    <w:p w14:paraId="0782F082" w14:textId="0BEA6C00" w:rsidR="00CF2C34" w:rsidRDefault="00CF2C34" w:rsidP="00CF2C34">
      <w:pPr>
        <w:pStyle w:val="Heading1"/>
      </w:pPr>
      <w:bookmarkStart w:id="26" w:name="_Toc59022795"/>
      <w:r>
        <w:t>P</w:t>
      </w:r>
      <w:r w:rsidR="00FE5597">
        <w:t>I</w:t>
      </w:r>
      <w:r>
        <w:t>D management program</w:t>
      </w:r>
      <w:bookmarkEnd w:id="26"/>
    </w:p>
    <w:p w14:paraId="45515ACE" w14:textId="77777777" w:rsidR="00784E0E" w:rsidRPr="00784E0E" w:rsidRDefault="00784E0E" w:rsidP="00784E0E"/>
    <w:p w14:paraId="5D1577C9" w14:textId="77777777" w:rsidR="00CF2C34" w:rsidRPr="0005706E" w:rsidRDefault="00CF2C34" w:rsidP="00CF2C34">
      <w:pPr>
        <w:spacing w:after="120"/>
        <w:rPr>
          <w:rFonts w:cs="Arial"/>
          <w:sz w:val="24"/>
          <w:szCs w:val="22"/>
        </w:rPr>
      </w:pPr>
      <w:r w:rsidRPr="0005706E">
        <w:rPr>
          <w:rFonts w:cs="Arial"/>
          <w:sz w:val="24"/>
          <w:szCs w:val="22"/>
        </w:rPr>
        <w:t>The Human Rights Commissioner has overall responsibility for ensuring that the Queensland Human Rights Commission develops, implements, and maintains a PID management program.  The Queensland Human Rights Commission’s PID management program encompasses:</w:t>
      </w:r>
    </w:p>
    <w:p w14:paraId="1BA149E4" w14:textId="77777777" w:rsidR="00CF2C34" w:rsidRPr="0005706E" w:rsidRDefault="00CF2C34" w:rsidP="00CF2C34">
      <w:pPr>
        <w:numPr>
          <w:ilvl w:val="0"/>
          <w:numId w:val="21"/>
        </w:numPr>
        <w:spacing w:after="120"/>
        <w:rPr>
          <w:rFonts w:cs="Arial"/>
          <w:sz w:val="24"/>
          <w:szCs w:val="22"/>
        </w:rPr>
      </w:pPr>
      <w:r w:rsidRPr="0005706E">
        <w:rPr>
          <w:rFonts w:cs="Arial"/>
          <w:sz w:val="24"/>
          <w:szCs w:val="22"/>
        </w:rPr>
        <w:t>commitment to encouraging the internal reporting of wrongdoing</w:t>
      </w:r>
    </w:p>
    <w:p w14:paraId="159C6A93" w14:textId="77777777" w:rsidR="00CF2C34" w:rsidRPr="0005706E" w:rsidRDefault="00CF2C34" w:rsidP="00CF2C34">
      <w:pPr>
        <w:numPr>
          <w:ilvl w:val="0"/>
          <w:numId w:val="21"/>
        </w:numPr>
        <w:spacing w:after="120"/>
        <w:rPr>
          <w:rFonts w:cs="Arial"/>
          <w:sz w:val="24"/>
          <w:szCs w:val="22"/>
        </w:rPr>
      </w:pPr>
      <w:r w:rsidRPr="0005706E">
        <w:rPr>
          <w:rFonts w:cs="Arial"/>
          <w:sz w:val="24"/>
          <w:szCs w:val="22"/>
        </w:rPr>
        <w:t>senior management endorsement of the value to the Queensland Human Rights Commission of PIDs and the proper management of PIDs</w:t>
      </w:r>
    </w:p>
    <w:p w14:paraId="2CB14C77" w14:textId="77777777" w:rsidR="00CF2C34" w:rsidRPr="0005706E" w:rsidRDefault="00CF2C34" w:rsidP="00CF2C34">
      <w:pPr>
        <w:numPr>
          <w:ilvl w:val="0"/>
          <w:numId w:val="21"/>
        </w:numPr>
        <w:spacing w:after="120"/>
        <w:rPr>
          <w:rFonts w:cs="Arial"/>
          <w:sz w:val="24"/>
          <w:szCs w:val="22"/>
        </w:rPr>
      </w:pPr>
      <w:r w:rsidRPr="0005706E">
        <w:rPr>
          <w:rFonts w:cs="Arial"/>
          <w:sz w:val="24"/>
          <w:szCs w:val="22"/>
        </w:rPr>
        <w:t>raising awareness among employees about PIDs and this policy</w:t>
      </w:r>
    </w:p>
    <w:p w14:paraId="28CF3A83" w14:textId="77777777" w:rsidR="00CF2C34" w:rsidRPr="0005706E" w:rsidRDefault="00CF2C34" w:rsidP="00CF2C34">
      <w:pPr>
        <w:numPr>
          <w:ilvl w:val="0"/>
          <w:numId w:val="21"/>
        </w:numPr>
        <w:spacing w:after="120"/>
        <w:rPr>
          <w:rFonts w:cs="Arial"/>
          <w:sz w:val="24"/>
          <w:szCs w:val="22"/>
        </w:rPr>
      </w:pPr>
      <w:r w:rsidRPr="0005706E">
        <w:rPr>
          <w:rFonts w:cs="Arial"/>
          <w:sz w:val="24"/>
          <w:szCs w:val="22"/>
        </w:rPr>
        <w:t>specialist training and awareness about PIDs for senior management and other staff who may receive or manage PIDs, disclosers or workplace issues relating to PIDs</w:t>
      </w:r>
    </w:p>
    <w:p w14:paraId="31047FCB" w14:textId="77777777" w:rsidR="00CF2C34" w:rsidRPr="0005706E" w:rsidRDefault="00CF2C34" w:rsidP="00CF2C34">
      <w:pPr>
        <w:numPr>
          <w:ilvl w:val="0"/>
          <w:numId w:val="21"/>
        </w:numPr>
        <w:spacing w:after="120"/>
        <w:rPr>
          <w:rFonts w:cs="Arial"/>
          <w:sz w:val="24"/>
          <w:szCs w:val="22"/>
        </w:rPr>
      </w:pPr>
      <w:r w:rsidRPr="0005706E">
        <w:rPr>
          <w:rFonts w:cs="Arial"/>
          <w:sz w:val="24"/>
          <w:szCs w:val="22"/>
        </w:rPr>
        <w:t>ensuring that issues and outcomes from PIDs inform improvements to service deliver, business processes and internal controls</w:t>
      </w:r>
    </w:p>
    <w:p w14:paraId="14A75E2C" w14:textId="77777777" w:rsidR="00CF2C34" w:rsidRPr="0005706E" w:rsidRDefault="00CF2C34" w:rsidP="00CF2C34">
      <w:pPr>
        <w:numPr>
          <w:ilvl w:val="0"/>
          <w:numId w:val="21"/>
        </w:numPr>
        <w:spacing w:after="120"/>
        <w:rPr>
          <w:rFonts w:cs="Arial"/>
          <w:sz w:val="24"/>
          <w:szCs w:val="22"/>
        </w:rPr>
      </w:pPr>
      <w:r w:rsidRPr="0005706E">
        <w:rPr>
          <w:rFonts w:cs="Arial"/>
          <w:sz w:val="24"/>
          <w:szCs w:val="22"/>
        </w:rPr>
        <w:t>regular review of this policy and evaluation of the effectiveness of the PID management program.</w:t>
      </w:r>
    </w:p>
    <w:p w14:paraId="73D48623" w14:textId="77777777" w:rsidR="00CF2C34" w:rsidRDefault="00CF2C34" w:rsidP="00CF2C34"/>
    <w:p w14:paraId="3B2AE9D9" w14:textId="77777777" w:rsidR="00EE6CAC" w:rsidRDefault="00EE6CAC">
      <w:pPr>
        <w:rPr>
          <w:rFonts w:cs="Arial"/>
          <w:sz w:val="24"/>
          <w:szCs w:val="22"/>
        </w:rPr>
      </w:pPr>
      <w:r>
        <w:rPr>
          <w:rFonts w:cs="Arial"/>
          <w:sz w:val="24"/>
          <w:szCs w:val="22"/>
        </w:rPr>
        <w:br w:type="page"/>
      </w:r>
    </w:p>
    <w:p w14:paraId="7859EA7E" w14:textId="77777777" w:rsidR="00CF2C34" w:rsidRPr="0005706E" w:rsidRDefault="00CF2C34" w:rsidP="00CF2C34">
      <w:pPr>
        <w:spacing w:after="120"/>
        <w:rPr>
          <w:rFonts w:cs="Arial"/>
          <w:sz w:val="24"/>
          <w:szCs w:val="22"/>
        </w:rPr>
      </w:pPr>
      <w:r w:rsidRPr="0005706E">
        <w:rPr>
          <w:rFonts w:cs="Arial"/>
          <w:sz w:val="24"/>
          <w:szCs w:val="22"/>
        </w:rPr>
        <w:lastRenderedPageBreak/>
        <w:t>The Human Rights Commissioner has designated the following roles and responsibilities for managing PIDs within the Queensland Human Rights Commission:</w:t>
      </w:r>
    </w:p>
    <w:tbl>
      <w:tblPr>
        <w:tblStyle w:val="TableGrid"/>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1775"/>
        <w:gridCol w:w="4232"/>
        <w:gridCol w:w="3622"/>
      </w:tblGrid>
      <w:tr w:rsidR="00CF2C34" w:rsidRPr="0005706E" w14:paraId="2E3DA9EB" w14:textId="77777777" w:rsidTr="00561396">
        <w:tc>
          <w:tcPr>
            <w:tcW w:w="1838" w:type="dxa"/>
            <w:shd w:val="clear" w:color="auto" w:fill="4BACC6"/>
          </w:tcPr>
          <w:p w14:paraId="2C85DA9C" w14:textId="77777777" w:rsidR="00CF2C34" w:rsidRPr="00CF2C34" w:rsidRDefault="00CF2C34" w:rsidP="00FA1813">
            <w:pPr>
              <w:spacing w:before="60" w:after="60"/>
              <w:rPr>
                <w:rFonts w:cs="Arial"/>
                <w:b/>
                <w:color w:val="FFFFFF" w:themeColor="background1"/>
                <w:sz w:val="24"/>
                <w:szCs w:val="24"/>
              </w:rPr>
            </w:pPr>
            <w:r w:rsidRPr="00CF2C34">
              <w:rPr>
                <w:rFonts w:cs="Arial"/>
                <w:b/>
                <w:color w:val="FFFFFF" w:themeColor="background1"/>
                <w:sz w:val="24"/>
                <w:szCs w:val="24"/>
              </w:rPr>
              <w:t>Role</w:t>
            </w:r>
          </w:p>
        </w:tc>
        <w:tc>
          <w:tcPr>
            <w:tcW w:w="4961" w:type="dxa"/>
            <w:shd w:val="clear" w:color="auto" w:fill="4BACC6"/>
          </w:tcPr>
          <w:p w14:paraId="26206FCF" w14:textId="77777777" w:rsidR="00CF2C34" w:rsidRPr="00CF2C34" w:rsidRDefault="00CF2C34" w:rsidP="00FA1813">
            <w:pPr>
              <w:spacing w:before="60" w:after="60"/>
              <w:rPr>
                <w:rFonts w:cs="Arial"/>
                <w:b/>
                <w:color w:val="FFFFFF" w:themeColor="background1"/>
                <w:sz w:val="24"/>
                <w:szCs w:val="24"/>
              </w:rPr>
            </w:pPr>
            <w:r w:rsidRPr="00CF2C34">
              <w:rPr>
                <w:rFonts w:cs="Arial"/>
                <w:b/>
                <w:color w:val="FFFFFF" w:themeColor="background1"/>
                <w:sz w:val="24"/>
                <w:szCs w:val="24"/>
              </w:rPr>
              <w:t xml:space="preserve">Responsibilities </w:t>
            </w:r>
          </w:p>
        </w:tc>
        <w:tc>
          <w:tcPr>
            <w:tcW w:w="2830" w:type="dxa"/>
            <w:shd w:val="clear" w:color="auto" w:fill="4BACC6"/>
          </w:tcPr>
          <w:p w14:paraId="456E2992" w14:textId="77777777" w:rsidR="00CF2C34" w:rsidRPr="00CF2C34" w:rsidRDefault="00CF2C34" w:rsidP="00FA1813">
            <w:pPr>
              <w:spacing w:before="60" w:after="60"/>
              <w:rPr>
                <w:rFonts w:cs="Arial"/>
                <w:b/>
                <w:color w:val="FFFFFF" w:themeColor="background1"/>
                <w:sz w:val="24"/>
                <w:szCs w:val="24"/>
              </w:rPr>
            </w:pPr>
            <w:r w:rsidRPr="00CF2C34">
              <w:rPr>
                <w:rFonts w:cs="Arial"/>
                <w:b/>
                <w:color w:val="FFFFFF" w:themeColor="background1"/>
                <w:sz w:val="24"/>
                <w:szCs w:val="24"/>
              </w:rPr>
              <w:t>Officer</w:t>
            </w:r>
          </w:p>
        </w:tc>
      </w:tr>
      <w:tr w:rsidR="00CF2C34" w:rsidRPr="0005706E" w14:paraId="3C3D91E8" w14:textId="77777777" w:rsidTr="00561396">
        <w:tc>
          <w:tcPr>
            <w:tcW w:w="1838" w:type="dxa"/>
          </w:tcPr>
          <w:p w14:paraId="0EAC7B15" w14:textId="77777777" w:rsidR="00CF2C34" w:rsidRPr="0005706E" w:rsidRDefault="00CF2C34" w:rsidP="00FA1813">
            <w:pPr>
              <w:spacing w:before="60" w:after="60"/>
              <w:rPr>
                <w:rFonts w:cs="Arial"/>
                <w:b/>
                <w:sz w:val="24"/>
                <w:szCs w:val="24"/>
              </w:rPr>
            </w:pPr>
            <w:r w:rsidRPr="0005706E">
              <w:rPr>
                <w:rFonts w:cs="Arial"/>
                <w:b/>
                <w:sz w:val="24"/>
                <w:szCs w:val="24"/>
              </w:rPr>
              <w:t xml:space="preserve">PID </w:t>
            </w:r>
            <w:r w:rsidR="00561396">
              <w:rPr>
                <w:rFonts w:cs="Arial"/>
                <w:b/>
                <w:sz w:val="24"/>
                <w:szCs w:val="24"/>
              </w:rPr>
              <w:t>Coordinator</w:t>
            </w:r>
          </w:p>
        </w:tc>
        <w:tc>
          <w:tcPr>
            <w:tcW w:w="4961" w:type="dxa"/>
          </w:tcPr>
          <w:p w14:paraId="09FA9EE3"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principal contact for PID issues within the Queensland Human Rights Commission</w:t>
            </w:r>
          </w:p>
          <w:p w14:paraId="6EAE1E2A"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 xml:space="preserve">keep records of PIDs received by </w:t>
            </w:r>
            <w:r w:rsidR="00561396">
              <w:rPr>
                <w:rFonts w:cs="Arial"/>
                <w:sz w:val="24"/>
                <w:szCs w:val="24"/>
              </w:rPr>
              <w:t>Coordinator</w:t>
            </w:r>
          </w:p>
          <w:p w14:paraId="28C817D6"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 xml:space="preserve">report data on PIDs to Queensland Ombudsman managed by the </w:t>
            </w:r>
            <w:r w:rsidR="00561396">
              <w:rPr>
                <w:rFonts w:cs="Arial"/>
                <w:sz w:val="24"/>
                <w:szCs w:val="24"/>
              </w:rPr>
              <w:t>Coordinator</w:t>
            </w:r>
          </w:p>
          <w:p w14:paraId="1F4739D9"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 xml:space="preserve">assess PIDs notified to the </w:t>
            </w:r>
            <w:r w:rsidR="00561396">
              <w:rPr>
                <w:rFonts w:cs="Arial"/>
                <w:sz w:val="24"/>
                <w:szCs w:val="24"/>
              </w:rPr>
              <w:t>Coordinator</w:t>
            </w:r>
          </w:p>
          <w:p w14:paraId="0A82E9CA"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acknowledge notified PIDs received to discloser</w:t>
            </w:r>
          </w:p>
          <w:p w14:paraId="5B4FA773"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undertake risk assessment and consult where necessary</w:t>
            </w:r>
          </w:p>
          <w:p w14:paraId="19D7C20B"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liaise with other agencies about referral of PIDs</w:t>
            </w:r>
          </w:p>
          <w:p w14:paraId="053BDC9E"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report to Human Rights Commissioner</w:t>
            </w:r>
          </w:p>
          <w:p w14:paraId="648B4AD9"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liaise with officers and/or investigators as required by Human Rights Commissioner</w:t>
            </w:r>
          </w:p>
        </w:tc>
        <w:tc>
          <w:tcPr>
            <w:tcW w:w="2830" w:type="dxa"/>
          </w:tcPr>
          <w:p w14:paraId="4EC3628A" w14:textId="77777777" w:rsidR="00CF2C34" w:rsidRPr="0005706E" w:rsidRDefault="00CF2C34" w:rsidP="00FA1813">
            <w:pPr>
              <w:spacing w:before="60" w:after="60"/>
              <w:rPr>
                <w:rFonts w:cs="Arial"/>
                <w:sz w:val="24"/>
                <w:szCs w:val="24"/>
              </w:rPr>
            </w:pPr>
            <w:r w:rsidRPr="0005706E">
              <w:rPr>
                <w:rFonts w:cs="Arial"/>
                <w:sz w:val="24"/>
                <w:szCs w:val="24"/>
              </w:rPr>
              <w:t xml:space="preserve">One of the Principal Lawyers will be the PID </w:t>
            </w:r>
            <w:r w:rsidR="00561396">
              <w:rPr>
                <w:rFonts w:cs="Arial"/>
                <w:sz w:val="24"/>
                <w:szCs w:val="24"/>
              </w:rPr>
              <w:t>Coordinator</w:t>
            </w:r>
            <w:r w:rsidRPr="0005706E">
              <w:rPr>
                <w:rFonts w:cs="Arial"/>
                <w:sz w:val="24"/>
                <w:szCs w:val="24"/>
              </w:rPr>
              <w:t>, as decided by the Human Rights Commissioner from time to time.</w:t>
            </w:r>
          </w:p>
          <w:p w14:paraId="38A81DB4" w14:textId="77777777" w:rsidR="00CF2C34" w:rsidRPr="0005706E" w:rsidRDefault="00CF2C34" w:rsidP="00FA1813">
            <w:pPr>
              <w:spacing w:before="60" w:after="60"/>
              <w:rPr>
                <w:rFonts w:cs="Arial"/>
                <w:sz w:val="24"/>
                <w:szCs w:val="24"/>
              </w:rPr>
            </w:pPr>
            <w:r w:rsidRPr="0005706E">
              <w:rPr>
                <w:rFonts w:cs="Arial"/>
                <w:sz w:val="24"/>
                <w:szCs w:val="24"/>
              </w:rPr>
              <w:t>Julie Ball</w:t>
            </w:r>
            <w:r w:rsidRPr="0005706E">
              <w:rPr>
                <w:rFonts w:cs="Arial"/>
                <w:sz w:val="24"/>
                <w:szCs w:val="24"/>
              </w:rPr>
              <w:br/>
            </w:r>
            <w:hyperlink r:id="rId10" w:history="1">
              <w:r w:rsidRPr="0005706E">
                <w:rPr>
                  <w:rStyle w:val="Hyperlink"/>
                  <w:rFonts w:cs="Arial"/>
                  <w:sz w:val="24"/>
                  <w:szCs w:val="24"/>
                </w:rPr>
                <w:t>julie.ball@qhrc.qld.gov.au</w:t>
              </w:r>
            </w:hyperlink>
            <w:r w:rsidRPr="0005706E">
              <w:rPr>
                <w:rFonts w:cs="Arial"/>
                <w:sz w:val="24"/>
                <w:szCs w:val="24"/>
              </w:rPr>
              <w:t xml:space="preserve"> </w:t>
            </w:r>
            <w:r w:rsidRPr="0005706E">
              <w:rPr>
                <w:rFonts w:cs="Arial"/>
                <w:sz w:val="24"/>
                <w:szCs w:val="24"/>
              </w:rPr>
              <w:br/>
              <w:t>T: 3021</w:t>
            </w:r>
            <w:r>
              <w:rPr>
                <w:rFonts w:cs="Arial"/>
                <w:sz w:val="24"/>
                <w:szCs w:val="24"/>
              </w:rPr>
              <w:t xml:space="preserve"> 91</w:t>
            </w:r>
            <w:r w:rsidRPr="0005706E">
              <w:rPr>
                <w:rFonts w:cs="Arial"/>
                <w:sz w:val="24"/>
                <w:szCs w:val="24"/>
              </w:rPr>
              <w:t>03</w:t>
            </w:r>
          </w:p>
          <w:p w14:paraId="24884681" w14:textId="77777777" w:rsidR="00CF2C34" w:rsidRPr="0005706E" w:rsidRDefault="00CF2C34" w:rsidP="00FA1813">
            <w:pPr>
              <w:spacing w:before="60" w:after="60"/>
              <w:rPr>
                <w:rFonts w:cs="Arial"/>
                <w:sz w:val="24"/>
                <w:szCs w:val="24"/>
              </w:rPr>
            </w:pPr>
            <w:r w:rsidRPr="0005706E">
              <w:rPr>
                <w:rFonts w:cs="Arial"/>
                <w:sz w:val="24"/>
                <w:szCs w:val="24"/>
              </w:rPr>
              <w:t>Rebekah Leong</w:t>
            </w:r>
            <w:r w:rsidRPr="0005706E">
              <w:rPr>
                <w:rFonts w:cs="Arial"/>
                <w:sz w:val="24"/>
                <w:szCs w:val="24"/>
              </w:rPr>
              <w:br/>
            </w:r>
            <w:hyperlink r:id="rId11" w:history="1">
              <w:r w:rsidRPr="0005706E">
                <w:rPr>
                  <w:rStyle w:val="Hyperlink"/>
                  <w:rFonts w:cs="Arial"/>
                  <w:sz w:val="24"/>
                  <w:szCs w:val="24"/>
                </w:rPr>
                <w:t>rebekah.leong@qhrc.qld.gov.au</w:t>
              </w:r>
            </w:hyperlink>
            <w:r w:rsidRPr="0005706E">
              <w:rPr>
                <w:rFonts w:cs="Arial"/>
                <w:sz w:val="24"/>
                <w:szCs w:val="24"/>
              </w:rPr>
              <w:br/>
              <w:t>T: 3021 9127</w:t>
            </w:r>
          </w:p>
          <w:p w14:paraId="1B057A9D" w14:textId="69B5C8FC" w:rsidR="00CF2C34" w:rsidRPr="0005706E" w:rsidRDefault="00CF2C34" w:rsidP="00FA1813">
            <w:pPr>
              <w:spacing w:before="60" w:after="60"/>
              <w:rPr>
                <w:rFonts w:cs="Arial"/>
                <w:sz w:val="24"/>
                <w:szCs w:val="24"/>
              </w:rPr>
            </w:pPr>
          </w:p>
        </w:tc>
      </w:tr>
      <w:tr w:rsidR="00CF2C34" w:rsidRPr="0005706E" w14:paraId="76540F9E" w14:textId="77777777" w:rsidTr="00561396">
        <w:tc>
          <w:tcPr>
            <w:tcW w:w="1838" w:type="dxa"/>
          </w:tcPr>
          <w:p w14:paraId="211345F4" w14:textId="77777777" w:rsidR="00CF2C34" w:rsidRPr="0005706E" w:rsidRDefault="00CF2C34" w:rsidP="00FA1813">
            <w:pPr>
              <w:spacing w:before="60" w:after="60"/>
              <w:rPr>
                <w:rFonts w:cs="Arial"/>
                <w:b/>
                <w:sz w:val="24"/>
                <w:szCs w:val="24"/>
              </w:rPr>
            </w:pPr>
            <w:r w:rsidRPr="0005706E">
              <w:rPr>
                <w:rFonts w:cs="Arial"/>
                <w:b/>
                <w:sz w:val="24"/>
                <w:szCs w:val="24"/>
              </w:rPr>
              <w:t>Investigator</w:t>
            </w:r>
          </w:p>
        </w:tc>
        <w:tc>
          <w:tcPr>
            <w:tcW w:w="4961" w:type="dxa"/>
          </w:tcPr>
          <w:p w14:paraId="7B6F5EDB"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conduct investigation of information in PID in accordance with terms of reference</w:t>
            </w:r>
          </w:p>
          <w:p w14:paraId="7A96E0C1"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prepare report for the Human Rights Commissioner</w:t>
            </w:r>
          </w:p>
        </w:tc>
        <w:tc>
          <w:tcPr>
            <w:tcW w:w="2830" w:type="dxa"/>
          </w:tcPr>
          <w:p w14:paraId="09394D38" w14:textId="77777777" w:rsidR="00CF2C34" w:rsidRPr="0005706E" w:rsidRDefault="00CF2C34" w:rsidP="00FA1813">
            <w:pPr>
              <w:spacing w:before="60" w:after="60"/>
              <w:rPr>
                <w:rFonts w:cs="Arial"/>
                <w:sz w:val="24"/>
                <w:szCs w:val="24"/>
              </w:rPr>
            </w:pPr>
            <w:r w:rsidRPr="0005706E">
              <w:rPr>
                <w:rFonts w:cs="Arial"/>
                <w:sz w:val="24"/>
                <w:szCs w:val="24"/>
              </w:rPr>
              <w:t>An internal or external investigator will be appointed for each PID investigated, depending on the nature of the PID and all relevant circumstances</w:t>
            </w:r>
          </w:p>
        </w:tc>
      </w:tr>
      <w:tr w:rsidR="00CF2C34" w:rsidRPr="0005706E" w14:paraId="78C2F904" w14:textId="77777777" w:rsidTr="00561396">
        <w:tc>
          <w:tcPr>
            <w:tcW w:w="1838" w:type="dxa"/>
          </w:tcPr>
          <w:p w14:paraId="11E81C09" w14:textId="77777777" w:rsidR="00CF2C34" w:rsidRPr="0005706E" w:rsidRDefault="00CF2C34" w:rsidP="00FA1813">
            <w:pPr>
              <w:spacing w:before="60" w:after="60"/>
              <w:rPr>
                <w:rFonts w:cs="Arial"/>
                <w:b/>
                <w:sz w:val="24"/>
                <w:szCs w:val="24"/>
              </w:rPr>
            </w:pPr>
            <w:r w:rsidRPr="0005706E">
              <w:rPr>
                <w:rFonts w:cs="Arial"/>
                <w:b/>
                <w:sz w:val="24"/>
                <w:szCs w:val="24"/>
              </w:rPr>
              <w:t>Delegated decision-maker</w:t>
            </w:r>
          </w:p>
        </w:tc>
        <w:tc>
          <w:tcPr>
            <w:tcW w:w="4961" w:type="dxa"/>
          </w:tcPr>
          <w:p w14:paraId="10882DA9"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review investigation report and report to Human Rights Commissioner</w:t>
            </w:r>
          </w:p>
          <w:p w14:paraId="534C5C33"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notify discloser of outcome of disclosure</w:t>
            </w:r>
          </w:p>
          <w:p w14:paraId="3379E606" w14:textId="77777777" w:rsidR="00CF2C34" w:rsidRPr="0005706E" w:rsidRDefault="00CF2C34" w:rsidP="00CF2C34">
            <w:pPr>
              <w:pStyle w:val="ListParagraph"/>
              <w:numPr>
                <w:ilvl w:val="0"/>
                <w:numId w:val="23"/>
              </w:numPr>
              <w:spacing w:before="60" w:after="60"/>
              <w:ind w:left="323" w:hanging="283"/>
              <w:rPr>
                <w:rFonts w:cs="Arial"/>
                <w:sz w:val="24"/>
                <w:szCs w:val="24"/>
              </w:rPr>
            </w:pPr>
            <w:r w:rsidRPr="0005706E">
              <w:rPr>
                <w:rFonts w:cs="Arial"/>
                <w:sz w:val="24"/>
                <w:szCs w:val="24"/>
              </w:rPr>
              <w:t>notify subject officer of the outcome of the disclosure</w:t>
            </w:r>
          </w:p>
        </w:tc>
        <w:tc>
          <w:tcPr>
            <w:tcW w:w="2830" w:type="dxa"/>
          </w:tcPr>
          <w:p w14:paraId="667A3152" w14:textId="77777777" w:rsidR="00CF2C34" w:rsidRPr="0005706E" w:rsidRDefault="00CF2C34" w:rsidP="00FA1813">
            <w:pPr>
              <w:spacing w:before="60" w:after="60"/>
              <w:rPr>
                <w:rFonts w:cs="Arial"/>
                <w:sz w:val="24"/>
                <w:szCs w:val="24"/>
              </w:rPr>
            </w:pPr>
            <w:r w:rsidRPr="0005706E">
              <w:rPr>
                <w:rFonts w:cs="Arial"/>
                <w:sz w:val="24"/>
                <w:szCs w:val="24"/>
              </w:rPr>
              <w:t>A decision-maker may be appointed by the Human Rights Commissioner in relation to various aspects of the PID</w:t>
            </w:r>
          </w:p>
        </w:tc>
      </w:tr>
    </w:tbl>
    <w:p w14:paraId="6AD813AC" w14:textId="77777777" w:rsidR="00CF2C34" w:rsidRPr="00CF2C34" w:rsidRDefault="00CF2C34" w:rsidP="00CF2C34"/>
    <w:p w14:paraId="7E77AC2F" w14:textId="77777777" w:rsidR="009F7A60" w:rsidRPr="009F7A60" w:rsidRDefault="009F7A60" w:rsidP="009F7A60">
      <w:pPr>
        <w:autoSpaceDE w:val="0"/>
        <w:autoSpaceDN w:val="0"/>
        <w:adjustRightInd w:val="0"/>
        <w:jc w:val="both"/>
      </w:pPr>
    </w:p>
    <w:p w14:paraId="50158D45" w14:textId="77777777" w:rsidR="00CF2C34" w:rsidRDefault="00CF2C34" w:rsidP="00CF2C34">
      <w:pPr>
        <w:pStyle w:val="Heading1"/>
      </w:pPr>
      <w:bookmarkStart w:id="27" w:name="_Toc59022796"/>
      <w:r>
        <w:t>How to make a disclosure</w:t>
      </w:r>
      <w:bookmarkEnd w:id="27"/>
    </w:p>
    <w:p w14:paraId="65D97631" w14:textId="77777777" w:rsidR="00CF2C34" w:rsidRDefault="00CF2C34" w:rsidP="00CF2C34">
      <w:pPr>
        <w:pStyle w:val="Heading2"/>
      </w:pPr>
      <w:bookmarkStart w:id="28" w:name="_Toc59022034"/>
      <w:bookmarkStart w:id="29" w:name="_Toc59022797"/>
      <w:r>
        <w:t>To whom</w:t>
      </w:r>
      <w:bookmarkEnd w:id="28"/>
      <w:bookmarkEnd w:id="29"/>
    </w:p>
    <w:p w14:paraId="629825BE" w14:textId="77777777" w:rsidR="00EE6CAC" w:rsidRPr="00EE6CAC" w:rsidRDefault="00EE6CAC" w:rsidP="00EE6CAC"/>
    <w:p w14:paraId="01ECD21A" w14:textId="77777777" w:rsidR="00CF2C34" w:rsidRPr="0005706E" w:rsidRDefault="00CF2C34" w:rsidP="00CF2C34">
      <w:pPr>
        <w:spacing w:after="120"/>
        <w:rPr>
          <w:rFonts w:cs="Arial"/>
          <w:sz w:val="24"/>
          <w:szCs w:val="24"/>
        </w:rPr>
      </w:pPr>
      <w:r w:rsidRPr="0005706E">
        <w:rPr>
          <w:rFonts w:cs="Arial"/>
          <w:sz w:val="24"/>
          <w:szCs w:val="24"/>
        </w:rPr>
        <w:t xml:space="preserve">The Queensland Human Rights Commission’s preferred approach is that external disclosures are made to the PID </w:t>
      </w:r>
      <w:r w:rsidR="00561396">
        <w:rPr>
          <w:rFonts w:cs="Arial"/>
          <w:sz w:val="24"/>
          <w:szCs w:val="24"/>
        </w:rPr>
        <w:t>Coordinator</w:t>
      </w:r>
      <w:r w:rsidRPr="0005706E">
        <w:rPr>
          <w:rFonts w:cs="Arial"/>
          <w:sz w:val="24"/>
          <w:szCs w:val="24"/>
        </w:rPr>
        <w:t xml:space="preserve"> (Principal Lawyer).  Alternatively, disclosures can be made to an external entity (see </w:t>
      </w:r>
      <w:r w:rsidRPr="0005706E">
        <w:rPr>
          <w:rFonts w:cs="Arial"/>
          <w:i/>
          <w:sz w:val="24"/>
          <w:szCs w:val="24"/>
        </w:rPr>
        <w:t>External reporting options</w:t>
      </w:r>
      <w:r w:rsidRPr="0005706E">
        <w:rPr>
          <w:rFonts w:cs="Arial"/>
          <w:sz w:val="24"/>
          <w:szCs w:val="24"/>
        </w:rPr>
        <w:t xml:space="preserve"> below).</w:t>
      </w:r>
    </w:p>
    <w:p w14:paraId="7544EE62" w14:textId="77777777" w:rsidR="006A6605" w:rsidRPr="0005706E" w:rsidRDefault="006A6605" w:rsidP="006A6605">
      <w:pPr>
        <w:spacing w:after="120"/>
        <w:rPr>
          <w:rFonts w:cs="Arial"/>
          <w:sz w:val="24"/>
          <w:szCs w:val="24"/>
        </w:rPr>
      </w:pPr>
      <w:r w:rsidRPr="0005706E">
        <w:rPr>
          <w:rFonts w:cs="Arial"/>
          <w:sz w:val="24"/>
          <w:szCs w:val="24"/>
        </w:rPr>
        <w:t>Staff wishing to make a disclosure are encouraged to do so internally.  Disclosures may be made to:</w:t>
      </w:r>
    </w:p>
    <w:p w14:paraId="707A159E" w14:textId="77777777" w:rsidR="006A6605" w:rsidRPr="0005706E" w:rsidRDefault="006A6605" w:rsidP="006A6605">
      <w:pPr>
        <w:numPr>
          <w:ilvl w:val="0"/>
          <w:numId w:val="21"/>
        </w:numPr>
        <w:spacing w:after="120"/>
        <w:rPr>
          <w:rFonts w:cs="Arial"/>
          <w:sz w:val="24"/>
          <w:szCs w:val="24"/>
        </w:rPr>
      </w:pPr>
      <w:r w:rsidRPr="0005706E">
        <w:rPr>
          <w:rFonts w:cs="Arial"/>
          <w:sz w:val="24"/>
          <w:szCs w:val="24"/>
        </w:rPr>
        <w:t>your manager or supervisor;</w:t>
      </w:r>
    </w:p>
    <w:p w14:paraId="169C5473" w14:textId="77777777" w:rsidR="006A6605" w:rsidRPr="0005706E" w:rsidRDefault="006A6605" w:rsidP="006A6605">
      <w:pPr>
        <w:numPr>
          <w:ilvl w:val="0"/>
          <w:numId w:val="21"/>
        </w:numPr>
        <w:spacing w:after="120"/>
        <w:rPr>
          <w:rFonts w:cs="Arial"/>
          <w:sz w:val="24"/>
          <w:szCs w:val="24"/>
        </w:rPr>
      </w:pPr>
      <w:r w:rsidRPr="0005706E">
        <w:rPr>
          <w:rFonts w:cs="Arial"/>
          <w:sz w:val="24"/>
          <w:szCs w:val="24"/>
        </w:rPr>
        <w:lastRenderedPageBreak/>
        <w:t>any other person in a management position in the Queensland Human Rights Commission</w:t>
      </w:r>
    </w:p>
    <w:p w14:paraId="0660719C" w14:textId="77777777" w:rsidR="006A6605" w:rsidRPr="0005706E" w:rsidRDefault="006A6605" w:rsidP="006A6605">
      <w:pPr>
        <w:spacing w:after="120"/>
        <w:rPr>
          <w:rFonts w:cs="Arial"/>
          <w:sz w:val="24"/>
          <w:szCs w:val="24"/>
        </w:rPr>
      </w:pPr>
      <w:r w:rsidRPr="0005706E">
        <w:rPr>
          <w:rFonts w:cs="Arial"/>
          <w:sz w:val="24"/>
          <w:szCs w:val="24"/>
        </w:rPr>
        <w:t>Staff should consider who will be the best person to receive your disclosure.  If it is a matter that can be resolved by your manager, make your disclosure to them.  However, if you think that your manager or senior people may be involved, consider disclosing to the Human Rights Commissioner or an external body.</w:t>
      </w:r>
    </w:p>
    <w:p w14:paraId="3CF31921" w14:textId="77777777" w:rsidR="00CF2C34" w:rsidRDefault="00CF2C34" w:rsidP="00CF2C34"/>
    <w:p w14:paraId="5517EE50" w14:textId="77777777" w:rsidR="006A6605" w:rsidRDefault="006A6605" w:rsidP="006A6605">
      <w:pPr>
        <w:pStyle w:val="Heading2"/>
      </w:pPr>
      <w:bookmarkStart w:id="30" w:name="_Toc59022035"/>
      <w:bookmarkStart w:id="31" w:name="_Toc59022798"/>
      <w:r>
        <w:t>External reporting options</w:t>
      </w:r>
      <w:bookmarkEnd w:id="30"/>
      <w:bookmarkEnd w:id="31"/>
    </w:p>
    <w:p w14:paraId="121E5F69" w14:textId="77777777" w:rsidR="00EE6CAC" w:rsidRPr="00EE6CAC" w:rsidRDefault="00EE6CAC" w:rsidP="00EE6CAC"/>
    <w:p w14:paraId="323F0BA6" w14:textId="77777777" w:rsidR="006A6605" w:rsidRPr="0005706E" w:rsidRDefault="006A6605" w:rsidP="006A6605">
      <w:pPr>
        <w:spacing w:after="120"/>
        <w:rPr>
          <w:rFonts w:cs="Arial"/>
          <w:sz w:val="24"/>
          <w:szCs w:val="24"/>
        </w:rPr>
      </w:pPr>
      <w:r w:rsidRPr="0005706E">
        <w:rPr>
          <w:rFonts w:cs="Arial"/>
          <w:sz w:val="24"/>
          <w:szCs w:val="24"/>
        </w:rPr>
        <w:t xml:space="preserve">You may choose to make a disclosure to someone external to the Queensland Human Rights Commission.  You can do this as a first step, or if you are not satisfied with our response to your disclosure.  </w:t>
      </w:r>
    </w:p>
    <w:p w14:paraId="37AEA43D" w14:textId="77777777" w:rsidR="006A6605" w:rsidRDefault="006A6605" w:rsidP="006A6605">
      <w:pPr>
        <w:spacing w:after="120"/>
        <w:rPr>
          <w:rFonts w:cs="Arial"/>
          <w:sz w:val="24"/>
          <w:szCs w:val="24"/>
        </w:rPr>
      </w:pPr>
      <w:r w:rsidRPr="0005706E">
        <w:rPr>
          <w:rFonts w:cs="Arial"/>
          <w:sz w:val="24"/>
          <w:szCs w:val="24"/>
        </w:rPr>
        <w:t>Disclosures may be made to a Member of Parliament, or the appropriate entity for the conduct referred to in the table below:</w:t>
      </w:r>
    </w:p>
    <w:tbl>
      <w:tblPr>
        <w:tblStyle w:val="ListTable3-Accent5"/>
        <w:tblW w:w="0" w:type="auto"/>
        <w:tblLook w:val="01E0" w:firstRow="1" w:lastRow="1" w:firstColumn="1" w:lastColumn="1" w:noHBand="0" w:noVBand="0"/>
      </w:tblPr>
      <w:tblGrid>
        <w:gridCol w:w="3964"/>
        <w:gridCol w:w="5322"/>
      </w:tblGrid>
      <w:tr w:rsidR="006A6605" w:rsidRPr="009F7A60" w14:paraId="2A8F58C1" w14:textId="77777777" w:rsidTr="006A66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Pr>
          <w:p w14:paraId="41DF9632" w14:textId="77777777" w:rsidR="006A6605" w:rsidRPr="00EE6CAC" w:rsidRDefault="006A6605" w:rsidP="00FA1813">
            <w:pPr>
              <w:spacing w:after="120"/>
              <w:rPr>
                <w:sz w:val="24"/>
                <w:szCs w:val="22"/>
              </w:rPr>
            </w:pPr>
            <w:r w:rsidRPr="00EE6CAC">
              <w:rPr>
                <w:sz w:val="24"/>
                <w:szCs w:val="22"/>
              </w:rPr>
              <w:t>Conduct</w:t>
            </w:r>
          </w:p>
        </w:tc>
        <w:tc>
          <w:tcPr>
            <w:cnfStyle w:val="000100001000" w:firstRow="0" w:lastRow="0" w:firstColumn="0" w:lastColumn="1" w:oddVBand="0" w:evenVBand="0" w:oddHBand="0" w:evenHBand="0" w:firstRowFirstColumn="0" w:firstRowLastColumn="1" w:lastRowFirstColumn="0" w:lastRowLastColumn="0"/>
            <w:tcW w:w="5322" w:type="dxa"/>
          </w:tcPr>
          <w:p w14:paraId="3991D46E" w14:textId="77777777" w:rsidR="006A6605" w:rsidRPr="00EE6CAC" w:rsidRDefault="006A6605" w:rsidP="00FA1813">
            <w:pPr>
              <w:spacing w:after="120"/>
              <w:jc w:val="both"/>
              <w:rPr>
                <w:sz w:val="24"/>
                <w:szCs w:val="22"/>
              </w:rPr>
            </w:pPr>
            <w:r w:rsidRPr="00EE6CAC">
              <w:rPr>
                <w:sz w:val="24"/>
                <w:szCs w:val="22"/>
              </w:rPr>
              <w:t>Appropriate entity</w:t>
            </w:r>
          </w:p>
        </w:tc>
      </w:tr>
      <w:tr w:rsidR="006A6605" w:rsidRPr="009F7A60" w14:paraId="1AECC1C5" w14:textId="77777777" w:rsidTr="006A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84CA0F4" w14:textId="77777777" w:rsidR="006A6605" w:rsidRPr="00EE6CAC" w:rsidRDefault="006A6605" w:rsidP="00FA1813">
            <w:pPr>
              <w:spacing w:after="120"/>
              <w:rPr>
                <w:b w:val="0"/>
                <w:sz w:val="24"/>
                <w:szCs w:val="22"/>
              </w:rPr>
            </w:pPr>
            <w:r w:rsidRPr="00EE6CAC">
              <w:rPr>
                <w:b w:val="0"/>
                <w:sz w:val="24"/>
                <w:szCs w:val="22"/>
              </w:rPr>
              <w:t>Corrupt conduct</w:t>
            </w:r>
          </w:p>
        </w:tc>
        <w:tc>
          <w:tcPr>
            <w:cnfStyle w:val="000100000000" w:firstRow="0" w:lastRow="0" w:firstColumn="0" w:lastColumn="1" w:oddVBand="0" w:evenVBand="0" w:oddHBand="0" w:evenHBand="0" w:firstRowFirstColumn="0" w:firstRowLastColumn="0" w:lastRowFirstColumn="0" w:lastRowLastColumn="0"/>
            <w:tcW w:w="5322" w:type="dxa"/>
          </w:tcPr>
          <w:p w14:paraId="0EC79D5D" w14:textId="77777777" w:rsidR="006A6605" w:rsidRPr="00EE6CAC" w:rsidRDefault="006A6605" w:rsidP="00FA1813">
            <w:pPr>
              <w:spacing w:after="120"/>
              <w:jc w:val="both"/>
              <w:rPr>
                <w:b w:val="0"/>
                <w:sz w:val="24"/>
                <w:szCs w:val="22"/>
              </w:rPr>
            </w:pPr>
            <w:r w:rsidRPr="00EE6CAC">
              <w:rPr>
                <w:b w:val="0"/>
                <w:sz w:val="24"/>
                <w:szCs w:val="22"/>
              </w:rPr>
              <w:t>Crime and Corruption Commission</w:t>
            </w:r>
          </w:p>
        </w:tc>
      </w:tr>
      <w:tr w:rsidR="006A6605" w:rsidRPr="009F7A60" w14:paraId="1527DB1B" w14:textId="77777777" w:rsidTr="006A6605">
        <w:tc>
          <w:tcPr>
            <w:cnfStyle w:val="001000000000" w:firstRow="0" w:lastRow="0" w:firstColumn="1" w:lastColumn="0" w:oddVBand="0" w:evenVBand="0" w:oddHBand="0" w:evenHBand="0" w:firstRowFirstColumn="0" w:firstRowLastColumn="0" w:lastRowFirstColumn="0" w:lastRowLastColumn="0"/>
            <w:tcW w:w="3964" w:type="dxa"/>
          </w:tcPr>
          <w:p w14:paraId="07D252E6" w14:textId="77777777" w:rsidR="006A6605" w:rsidRPr="00EE6CAC" w:rsidRDefault="006A6605" w:rsidP="00FA1813">
            <w:pPr>
              <w:spacing w:after="120"/>
              <w:rPr>
                <w:b w:val="0"/>
                <w:sz w:val="24"/>
                <w:szCs w:val="22"/>
              </w:rPr>
            </w:pPr>
            <w:r w:rsidRPr="00EE6CAC">
              <w:rPr>
                <w:b w:val="0"/>
                <w:sz w:val="24"/>
                <w:szCs w:val="22"/>
              </w:rPr>
              <w:t>Maladministration</w:t>
            </w:r>
          </w:p>
        </w:tc>
        <w:tc>
          <w:tcPr>
            <w:cnfStyle w:val="000100000000" w:firstRow="0" w:lastRow="0" w:firstColumn="0" w:lastColumn="1" w:oddVBand="0" w:evenVBand="0" w:oddHBand="0" w:evenHBand="0" w:firstRowFirstColumn="0" w:firstRowLastColumn="0" w:lastRowFirstColumn="0" w:lastRowLastColumn="0"/>
            <w:tcW w:w="5322" w:type="dxa"/>
          </w:tcPr>
          <w:p w14:paraId="2AC2FB1A" w14:textId="77777777" w:rsidR="006A6605" w:rsidRPr="00EE6CAC" w:rsidRDefault="006A6605" w:rsidP="00FA1813">
            <w:pPr>
              <w:spacing w:after="120"/>
              <w:jc w:val="both"/>
              <w:rPr>
                <w:b w:val="0"/>
                <w:sz w:val="24"/>
                <w:szCs w:val="22"/>
              </w:rPr>
            </w:pPr>
            <w:r w:rsidRPr="00EE6CAC">
              <w:rPr>
                <w:b w:val="0"/>
                <w:sz w:val="24"/>
                <w:szCs w:val="22"/>
              </w:rPr>
              <w:t>Queensland Ombudsman</w:t>
            </w:r>
          </w:p>
        </w:tc>
      </w:tr>
      <w:tr w:rsidR="006A6605" w:rsidRPr="009F7A60" w14:paraId="77F8B71D" w14:textId="77777777" w:rsidTr="006A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50D594D" w14:textId="77777777" w:rsidR="006A6605" w:rsidRPr="00EE6CAC" w:rsidRDefault="006A6605" w:rsidP="00FA1813">
            <w:pPr>
              <w:spacing w:after="120"/>
              <w:rPr>
                <w:b w:val="0"/>
                <w:sz w:val="24"/>
                <w:szCs w:val="22"/>
              </w:rPr>
            </w:pPr>
            <w:r w:rsidRPr="00EE6CAC">
              <w:rPr>
                <w:b w:val="0"/>
                <w:sz w:val="24"/>
                <w:szCs w:val="22"/>
              </w:rPr>
              <w:t>Danger to public health or safety</w:t>
            </w:r>
          </w:p>
        </w:tc>
        <w:tc>
          <w:tcPr>
            <w:cnfStyle w:val="000100000000" w:firstRow="0" w:lastRow="0" w:firstColumn="0" w:lastColumn="1" w:oddVBand="0" w:evenVBand="0" w:oddHBand="0" w:evenHBand="0" w:firstRowFirstColumn="0" w:firstRowLastColumn="0" w:lastRowFirstColumn="0" w:lastRowLastColumn="0"/>
            <w:tcW w:w="5322" w:type="dxa"/>
          </w:tcPr>
          <w:p w14:paraId="5C27A52E" w14:textId="77777777" w:rsidR="006A6605" w:rsidRPr="00EE6CAC" w:rsidRDefault="006A6605" w:rsidP="00FA1813">
            <w:pPr>
              <w:spacing w:after="120"/>
              <w:jc w:val="both"/>
              <w:rPr>
                <w:b w:val="0"/>
                <w:sz w:val="24"/>
                <w:szCs w:val="22"/>
              </w:rPr>
            </w:pPr>
            <w:r w:rsidRPr="00EE6CAC">
              <w:rPr>
                <w:b w:val="0"/>
                <w:sz w:val="24"/>
                <w:szCs w:val="22"/>
              </w:rPr>
              <w:t>Office of the Health Ombudsman</w:t>
            </w:r>
          </w:p>
        </w:tc>
      </w:tr>
      <w:tr w:rsidR="006A6605" w:rsidRPr="009F7A60" w14:paraId="1CD8BDF9" w14:textId="77777777" w:rsidTr="006A6605">
        <w:tc>
          <w:tcPr>
            <w:cnfStyle w:val="001000000000" w:firstRow="0" w:lastRow="0" w:firstColumn="1" w:lastColumn="0" w:oddVBand="0" w:evenVBand="0" w:oddHBand="0" w:evenHBand="0" w:firstRowFirstColumn="0" w:firstRowLastColumn="0" w:lastRowFirstColumn="0" w:lastRowLastColumn="0"/>
            <w:tcW w:w="3964" w:type="dxa"/>
          </w:tcPr>
          <w:p w14:paraId="1B95D8D6" w14:textId="77777777" w:rsidR="006A6605" w:rsidRPr="00EE6CAC" w:rsidRDefault="006A6605" w:rsidP="00FA1813">
            <w:pPr>
              <w:spacing w:after="120"/>
              <w:rPr>
                <w:b w:val="0"/>
                <w:sz w:val="24"/>
                <w:szCs w:val="22"/>
              </w:rPr>
            </w:pPr>
            <w:r w:rsidRPr="00EE6CAC">
              <w:rPr>
                <w:b w:val="0"/>
                <w:sz w:val="24"/>
                <w:szCs w:val="22"/>
              </w:rPr>
              <w:t>Danger to health or safety of a person with disability</w:t>
            </w:r>
          </w:p>
        </w:tc>
        <w:tc>
          <w:tcPr>
            <w:cnfStyle w:val="000100000000" w:firstRow="0" w:lastRow="0" w:firstColumn="0" w:lastColumn="1" w:oddVBand="0" w:evenVBand="0" w:oddHBand="0" w:evenHBand="0" w:firstRowFirstColumn="0" w:firstRowLastColumn="0" w:lastRowFirstColumn="0" w:lastRowLastColumn="0"/>
            <w:tcW w:w="5322" w:type="dxa"/>
          </w:tcPr>
          <w:p w14:paraId="5EAC429C" w14:textId="77777777" w:rsidR="006A6605" w:rsidRPr="00EE6CAC" w:rsidRDefault="006A6605" w:rsidP="00FA1813">
            <w:pPr>
              <w:spacing w:after="120"/>
              <w:jc w:val="both"/>
              <w:rPr>
                <w:b w:val="0"/>
                <w:sz w:val="24"/>
                <w:szCs w:val="22"/>
              </w:rPr>
            </w:pPr>
            <w:r w:rsidRPr="00EE6CAC">
              <w:rPr>
                <w:b w:val="0"/>
                <w:sz w:val="24"/>
                <w:szCs w:val="22"/>
              </w:rPr>
              <w:t>Department of Seniors, Disability Services and Aboriginal and Torres Strait Islander Partnerships</w:t>
            </w:r>
          </w:p>
          <w:p w14:paraId="118455B5" w14:textId="77777777" w:rsidR="006A6605" w:rsidRPr="00EE6CAC" w:rsidRDefault="006A6605" w:rsidP="00FA1813">
            <w:pPr>
              <w:spacing w:after="120"/>
              <w:jc w:val="both"/>
              <w:rPr>
                <w:b w:val="0"/>
                <w:sz w:val="24"/>
                <w:szCs w:val="22"/>
              </w:rPr>
            </w:pPr>
            <w:r w:rsidRPr="00EE6CAC">
              <w:rPr>
                <w:b w:val="0"/>
                <w:sz w:val="24"/>
                <w:szCs w:val="22"/>
              </w:rPr>
              <w:t>Public Guardian</w:t>
            </w:r>
          </w:p>
        </w:tc>
      </w:tr>
      <w:tr w:rsidR="006A6605" w:rsidRPr="009F7A60" w14:paraId="68508DD5" w14:textId="77777777" w:rsidTr="006A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1FCBC4B" w14:textId="77777777" w:rsidR="006A6605" w:rsidRPr="00EE6CAC" w:rsidRDefault="006A6605" w:rsidP="00FA1813">
            <w:pPr>
              <w:spacing w:after="120"/>
              <w:rPr>
                <w:b w:val="0"/>
                <w:sz w:val="24"/>
                <w:szCs w:val="22"/>
              </w:rPr>
            </w:pPr>
            <w:r w:rsidRPr="00EE6CAC">
              <w:rPr>
                <w:b w:val="0"/>
                <w:sz w:val="24"/>
                <w:szCs w:val="22"/>
              </w:rPr>
              <w:t>Danger to environment</w:t>
            </w:r>
          </w:p>
        </w:tc>
        <w:tc>
          <w:tcPr>
            <w:cnfStyle w:val="000100000000" w:firstRow="0" w:lastRow="0" w:firstColumn="0" w:lastColumn="1" w:oddVBand="0" w:evenVBand="0" w:oddHBand="0" w:evenHBand="0" w:firstRowFirstColumn="0" w:firstRowLastColumn="0" w:lastRowFirstColumn="0" w:lastRowLastColumn="0"/>
            <w:tcW w:w="5322" w:type="dxa"/>
          </w:tcPr>
          <w:p w14:paraId="17D063FD" w14:textId="77777777" w:rsidR="006A6605" w:rsidRPr="00EE6CAC" w:rsidRDefault="006A6605" w:rsidP="00FA1813">
            <w:pPr>
              <w:spacing w:after="120"/>
              <w:jc w:val="both"/>
              <w:rPr>
                <w:b w:val="0"/>
                <w:sz w:val="24"/>
                <w:szCs w:val="22"/>
              </w:rPr>
            </w:pPr>
            <w:r w:rsidRPr="00EE6CAC">
              <w:rPr>
                <w:b w:val="0"/>
                <w:sz w:val="24"/>
                <w:szCs w:val="22"/>
              </w:rPr>
              <w:t xml:space="preserve">Department of Environment and </w:t>
            </w:r>
            <w:r w:rsidR="008D43B4" w:rsidRPr="00EE6CAC">
              <w:rPr>
                <w:b w:val="0"/>
                <w:sz w:val="24"/>
                <w:szCs w:val="22"/>
              </w:rPr>
              <w:t>Science</w:t>
            </w:r>
          </w:p>
          <w:p w14:paraId="3098931D" w14:textId="77777777" w:rsidR="006A6605" w:rsidRPr="00EE6CAC" w:rsidRDefault="006A6605" w:rsidP="00FA1813">
            <w:pPr>
              <w:spacing w:after="120"/>
              <w:jc w:val="both"/>
              <w:rPr>
                <w:b w:val="0"/>
                <w:sz w:val="24"/>
                <w:szCs w:val="22"/>
              </w:rPr>
            </w:pPr>
            <w:r w:rsidRPr="00EE6CAC">
              <w:rPr>
                <w:b w:val="0"/>
                <w:sz w:val="24"/>
                <w:szCs w:val="22"/>
              </w:rPr>
              <w:t>Relevant local council</w:t>
            </w:r>
          </w:p>
        </w:tc>
      </w:tr>
      <w:tr w:rsidR="006A6605" w:rsidRPr="009F7A60" w14:paraId="45CAFB53" w14:textId="77777777" w:rsidTr="006A6605">
        <w:tc>
          <w:tcPr>
            <w:cnfStyle w:val="001000000000" w:firstRow="0" w:lastRow="0" w:firstColumn="1" w:lastColumn="0" w:oddVBand="0" w:evenVBand="0" w:oddHBand="0" w:evenHBand="0" w:firstRowFirstColumn="0" w:firstRowLastColumn="0" w:lastRowFirstColumn="0" w:lastRowLastColumn="0"/>
            <w:tcW w:w="3964" w:type="dxa"/>
          </w:tcPr>
          <w:p w14:paraId="755E1D76" w14:textId="77777777" w:rsidR="006A6605" w:rsidRPr="00EE6CAC" w:rsidRDefault="006A6605" w:rsidP="00FA1813">
            <w:pPr>
              <w:spacing w:after="120"/>
              <w:rPr>
                <w:b w:val="0"/>
                <w:sz w:val="24"/>
                <w:szCs w:val="22"/>
              </w:rPr>
            </w:pPr>
            <w:r w:rsidRPr="00EE6CAC">
              <w:rPr>
                <w:b w:val="0"/>
                <w:sz w:val="24"/>
                <w:szCs w:val="22"/>
              </w:rPr>
              <w:t>Waste of public funds</w:t>
            </w:r>
          </w:p>
        </w:tc>
        <w:tc>
          <w:tcPr>
            <w:cnfStyle w:val="000100000000" w:firstRow="0" w:lastRow="0" w:firstColumn="0" w:lastColumn="1" w:oddVBand="0" w:evenVBand="0" w:oddHBand="0" w:evenHBand="0" w:firstRowFirstColumn="0" w:firstRowLastColumn="0" w:lastRowFirstColumn="0" w:lastRowLastColumn="0"/>
            <w:tcW w:w="5322" w:type="dxa"/>
          </w:tcPr>
          <w:p w14:paraId="369D2616" w14:textId="77777777" w:rsidR="006A6605" w:rsidRPr="00EE6CAC" w:rsidRDefault="006A6605" w:rsidP="00FA1813">
            <w:pPr>
              <w:spacing w:after="120"/>
              <w:jc w:val="both"/>
              <w:rPr>
                <w:b w:val="0"/>
                <w:sz w:val="24"/>
                <w:szCs w:val="22"/>
              </w:rPr>
            </w:pPr>
            <w:r w:rsidRPr="00EE6CAC">
              <w:rPr>
                <w:b w:val="0"/>
                <w:sz w:val="24"/>
                <w:szCs w:val="22"/>
              </w:rPr>
              <w:t>Queensland Audit Office</w:t>
            </w:r>
          </w:p>
        </w:tc>
      </w:tr>
      <w:tr w:rsidR="006A6605" w:rsidRPr="009F7A60" w14:paraId="0000BB0B" w14:textId="77777777" w:rsidTr="006A660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64" w:type="dxa"/>
          </w:tcPr>
          <w:p w14:paraId="1718771F" w14:textId="77777777" w:rsidR="006A6605" w:rsidRPr="00EE6CAC" w:rsidRDefault="006A6605" w:rsidP="00FA1813">
            <w:pPr>
              <w:spacing w:after="120"/>
              <w:rPr>
                <w:b w:val="0"/>
                <w:sz w:val="24"/>
                <w:szCs w:val="22"/>
              </w:rPr>
            </w:pPr>
            <w:r w:rsidRPr="00EE6CAC">
              <w:rPr>
                <w:b w:val="0"/>
                <w:sz w:val="24"/>
                <w:szCs w:val="22"/>
              </w:rPr>
              <w:t>Reprisal</w:t>
            </w:r>
          </w:p>
        </w:tc>
        <w:tc>
          <w:tcPr>
            <w:cnfStyle w:val="000100000010" w:firstRow="0" w:lastRow="0" w:firstColumn="0" w:lastColumn="1" w:oddVBand="0" w:evenVBand="0" w:oddHBand="0" w:evenHBand="0" w:firstRowFirstColumn="0" w:firstRowLastColumn="0" w:lastRowFirstColumn="0" w:lastRowLastColumn="1"/>
            <w:tcW w:w="5322" w:type="dxa"/>
          </w:tcPr>
          <w:p w14:paraId="209E9D2E" w14:textId="77777777" w:rsidR="006A6605" w:rsidRPr="00EE6CAC" w:rsidRDefault="006A6605" w:rsidP="00FA1813">
            <w:pPr>
              <w:spacing w:after="120"/>
              <w:jc w:val="both"/>
              <w:rPr>
                <w:b w:val="0"/>
                <w:sz w:val="24"/>
                <w:szCs w:val="22"/>
              </w:rPr>
            </w:pPr>
            <w:r w:rsidRPr="00EE6CAC">
              <w:rPr>
                <w:b w:val="0"/>
                <w:sz w:val="24"/>
                <w:szCs w:val="22"/>
              </w:rPr>
              <w:t>Crime and Corruption Commission</w:t>
            </w:r>
          </w:p>
        </w:tc>
      </w:tr>
    </w:tbl>
    <w:p w14:paraId="3714337E" w14:textId="77777777" w:rsidR="006A6605" w:rsidRPr="0005706E" w:rsidRDefault="006A6605" w:rsidP="006A6605">
      <w:pPr>
        <w:spacing w:after="120"/>
        <w:rPr>
          <w:rFonts w:cs="Arial"/>
          <w:sz w:val="24"/>
          <w:szCs w:val="24"/>
        </w:rPr>
      </w:pPr>
    </w:p>
    <w:p w14:paraId="1D083FD8" w14:textId="77777777" w:rsidR="006A6605" w:rsidRPr="0005706E" w:rsidRDefault="006A6605" w:rsidP="006A6605">
      <w:pPr>
        <w:spacing w:after="120"/>
        <w:rPr>
          <w:rFonts w:cs="Arial"/>
          <w:sz w:val="24"/>
          <w:szCs w:val="22"/>
        </w:rPr>
      </w:pPr>
      <w:r w:rsidRPr="0005706E">
        <w:rPr>
          <w:rFonts w:cs="Arial"/>
          <w:sz w:val="24"/>
          <w:szCs w:val="22"/>
        </w:rPr>
        <w:t>When you disclose to an external entity, it is very likely that the entity will discuss your case with the Queensland Human Rights Commission.  We will make every effort to assist and co-operate with any entity dealing with a disclosure about the Queensland Human Rights Commission to work towards a satisfactory outcome.</w:t>
      </w:r>
    </w:p>
    <w:p w14:paraId="60860547" w14:textId="77777777" w:rsidR="006A6605" w:rsidRPr="006A6605" w:rsidRDefault="006A6605" w:rsidP="00EE6CAC">
      <w:pPr>
        <w:spacing w:after="120"/>
      </w:pPr>
      <w:r w:rsidRPr="0005706E">
        <w:rPr>
          <w:rFonts w:cs="Arial"/>
          <w:sz w:val="24"/>
          <w:szCs w:val="22"/>
        </w:rPr>
        <w:t>Be aware that if you make a disclosure to a person or an organisation other than one that can investigate and deal with the matter, you may not receive the protections provided under the PID Act.</w:t>
      </w:r>
      <w:r>
        <w:t xml:space="preserve"> </w:t>
      </w:r>
    </w:p>
    <w:p w14:paraId="10855D65" w14:textId="77777777" w:rsidR="00CF2C34" w:rsidRDefault="008D43B4" w:rsidP="008D43B4">
      <w:pPr>
        <w:pStyle w:val="Heading2"/>
      </w:pPr>
      <w:bookmarkStart w:id="32" w:name="_Toc59022036"/>
      <w:bookmarkStart w:id="33" w:name="_Toc59022799"/>
      <w:r>
        <w:t>How</w:t>
      </w:r>
      <w:bookmarkEnd w:id="32"/>
      <w:bookmarkEnd w:id="33"/>
    </w:p>
    <w:p w14:paraId="675CB50B" w14:textId="77777777" w:rsidR="00EE6CAC" w:rsidRPr="00EE6CAC" w:rsidRDefault="00EE6CAC" w:rsidP="00EE6CAC"/>
    <w:p w14:paraId="6A9A6087" w14:textId="77777777" w:rsidR="008D43B4" w:rsidRPr="0005706E" w:rsidRDefault="008D43B4" w:rsidP="008D43B4">
      <w:pPr>
        <w:spacing w:after="120"/>
        <w:rPr>
          <w:rFonts w:cs="Arial"/>
          <w:sz w:val="24"/>
          <w:szCs w:val="22"/>
        </w:rPr>
      </w:pPr>
      <w:r w:rsidRPr="0005706E">
        <w:rPr>
          <w:rFonts w:cs="Arial"/>
          <w:sz w:val="24"/>
          <w:szCs w:val="22"/>
        </w:rPr>
        <w:t>Disclosures can be made in any way, including:</w:t>
      </w:r>
    </w:p>
    <w:p w14:paraId="3F760CB6" w14:textId="77777777" w:rsidR="008D43B4" w:rsidRPr="0005706E" w:rsidRDefault="008D43B4" w:rsidP="008D43B4">
      <w:pPr>
        <w:numPr>
          <w:ilvl w:val="0"/>
          <w:numId w:val="21"/>
        </w:numPr>
        <w:spacing w:after="120"/>
        <w:rPr>
          <w:rFonts w:cs="Arial"/>
          <w:sz w:val="24"/>
          <w:szCs w:val="22"/>
        </w:rPr>
      </w:pPr>
      <w:r w:rsidRPr="0005706E">
        <w:rPr>
          <w:rFonts w:cs="Arial"/>
          <w:sz w:val="24"/>
          <w:szCs w:val="22"/>
        </w:rPr>
        <w:t>in person</w:t>
      </w:r>
    </w:p>
    <w:p w14:paraId="2ED26AA6" w14:textId="77777777" w:rsidR="008D43B4" w:rsidRPr="0005706E" w:rsidRDefault="008D43B4" w:rsidP="008D43B4">
      <w:pPr>
        <w:numPr>
          <w:ilvl w:val="0"/>
          <w:numId w:val="21"/>
        </w:numPr>
        <w:spacing w:after="120"/>
        <w:rPr>
          <w:rFonts w:cs="Arial"/>
          <w:sz w:val="24"/>
          <w:szCs w:val="22"/>
        </w:rPr>
      </w:pPr>
      <w:r w:rsidRPr="0005706E">
        <w:rPr>
          <w:rFonts w:cs="Arial"/>
          <w:sz w:val="24"/>
          <w:szCs w:val="22"/>
        </w:rPr>
        <w:t>in writing (by letter, email or memo)</w:t>
      </w:r>
    </w:p>
    <w:p w14:paraId="5952358C" w14:textId="77777777" w:rsidR="008D43B4" w:rsidRPr="0005706E" w:rsidRDefault="008D43B4" w:rsidP="008D43B4">
      <w:pPr>
        <w:numPr>
          <w:ilvl w:val="0"/>
          <w:numId w:val="21"/>
        </w:numPr>
        <w:spacing w:after="120"/>
        <w:rPr>
          <w:rFonts w:cs="Arial"/>
          <w:sz w:val="24"/>
          <w:szCs w:val="22"/>
        </w:rPr>
      </w:pPr>
      <w:r w:rsidRPr="0005706E">
        <w:rPr>
          <w:rFonts w:cs="Arial"/>
          <w:sz w:val="24"/>
          <w:szCs w:val="22"/>
        </w:rPr>
        <w:t>by telephone.</w:t>
      </w:r>
    </w:p>
    <w:p w14:paraId="41DD347E" w14:textId="77777777" w:rsidR="008D43B4" w:rsidRPr="0005706E" w:rsidRDefault="008D43B4" w:rsidP="008D43B4">
      <w:pPr>
        <w:spacing w:after="120"/>
        <w:rPr>
          <w:rFonts w:cs="Arial"/>
          <w:sz w:val="24"/>
          <w:szCs w:val="22"/>
        </w:rPr>
      </w:pPr>
      <w:r w:rsidRPr="0005706E">
        <w:rPr>
          <w:rFonts w:cs="Arial"/>
          <w:sz w:val="24"/>
          <w:szCs w:val="22"/>
        </w:rPr>
        <w:t xml:space="preserve">All disclosures of wrongdoing will be recorded and allocated to the appropriate part of the Queensland Human Rights Commission to be dealt with.  </w:t>
      </w:r>
    </w:p>
    <w:p w14:paraId="5E33B08B" w14:textId="77777777" w:rsidR="008D43B4" w:rsidRPr="00E0173F" w:rsidRDefault="008D43B4" w:rsidP="008D43B4">
      <w:pPr>
        <w:spacing w:after="120"/>
        <w:rPr>
          <w:rFonts w:cs="Arial"/>
          <w:sz w:val="24"/>
          <w:szCs w:val="22"/>
        </w:rPr>
      </w:pPr>
      <w:r w:rsidRPr="00E0173F">
        <w:rPr>
          <w:rFonts w:cs="Arial"/>
          <w:sz w:val="24"/>
          <w:szCs w:val="22"/>
        </w:rPr>
        <w:lastRenderedPageBreak/>
        <w:t>If a disclosure is received orally, the person receiving the disclosure should immediately record it in writing, and the record dated and signed, and forwarded to the Principal Lawyer.  Referral of a matter will be done in accordance with legislative and administrative requirements of the Act.</w:t>
      </w:r>
    </w:p>
    <w:p w14:paraId="0008BE7C" w14:textId="77777777" w:rsidR="008D43B4" w:rsidRPr="00E0173F" w:rsidRDefault="008D43B4" w:rsidP="008D43B4">
      <w:pPr>
        <w:spacing w:after="120"/>
        <w:rPr>
          <w:rFonts w:cs="Arial"/>
          <w:sz w:val="24"/>
          <w:szCs w:val="22"/>
        </w:rPr>
      </w:pPr>
      <w:r w:rsidRPr="00E0173F">
        <w:rPr>
          <w:rFonts w:cs="Arial"/>
          <w:sz w:val="24"/>
          <w:szCs w:val="22"/>
        </w:rPr>
        <w:t>Remember, you do not need proof, as long as you have reasonable grounds to believe that the wrongdoing has occurred.  Where possible, please provide information on:</w:t>
      </w:r>
    </w:p>
    <w:p w14:paraId="6A80436E" w14:textId="77777777" w:rsidR="008D43B4" w:rsidRPr="00E0173F" w:rsidRDefault="008D43B4" w:rsidP="008D43B4">
      <w:pPr>
        <w:numPr>
          <w:ilvl w:val="0"/>
          <w:numId w:val="21"/>
        </w:numPr>
        <w:spacing w:after="120"/>
        <w:rPr>
          <w:rFonts w:cs="Arial"/>
          <w:sz w:val="24"/>
          <w:szCs w:val="22"/>
        </w:rPr>
      </w:pPr>
      <w:r w:rsidRPr="00E0173F">
        <w:rPr>
          <w:rFonts w:cs="Arial"/>
          <w:sz w:val="24"/>
          <w:szCs w:val="22"/>
        </w:rPr>
        <w:t>the name and job title of the person who is the subject of your disclosure</w:t>
      </w:r>
    </w:p>
    <w:p w14:paraId="55A7CF7E" w14:textId="77777777" w:rsidR="008D43B4" w:rsidRPr="00E0173F" w:rsidRDefault="008D43B4" w:rsidP="008D43B4">
      <w:pPr>
        <w:numPr>
          <w:ilvl w:val="0"/>
          <w:numId w:val="21"/>
        </w:numPr>
        <w:spacing w:after="120"/>
        <w:rPr>
          <w:rFonts w:cs="Arial"/>
          <w:sz w:val="24"/>
          <w:szCs w:val="22"/>
        </w:rPr>
      </w:pPr>
      <w:r w:rsidRPr="00E0173F">
        <w:rPr>
          <w:rFonts w:cs="Arial"/>
          <w:sz w:val="24"/>
          <w:szCs w:val="22"/>
        </w:rPr>
        <w:t>details of relevant events, dates and places</w:t>
      </w:r>
    </w:p>
    <w:p w14:paraId="21CFF7E8" w14:textId="77777777" w:rsidR="008D43B4" w:rsidRPr="00E0173F" w:rsidRDefault="008D43B4" w:rsidP="008D43B4">
      <w:pPr>
        <w:numPr>
          <w:ilvl w:val="0"/>
          <w:numId w:val="21"/>
        </w:numPr>
        <w:spacing w:after="120"/>
        <w:rPr>
          <w:rFonts w:cs="Arial"/>
          <w:sz w:val="24"/>
          <w:szCs w:val="22"/>
        </w:rPr>
      </w:pPr>
      <w:r w:rsidRPr="00E0173F">
        <w:rPr>
          <w:rFonts w:cs="Arial"/>
          <w:sz w:val="24"/>
          <w:szCs w:val="22"/>
        </w:rPr>
        <w:t>the names of people who may be able to support what you say</w:t>
      </w:r>
    </w:p>
    <w:p w14:paraId="42663EAC" w14:textId="77777777" w:rsidR="008D43B4" w:rsidRPr="00E0173F" w:rsidRDefault="008D43B4" w:rsidP="008D43B4">
      <w:pPr>
        <w:numPr>
          <w:ilvl w:val="0"/>
          <w:numId w:val="21"/>
        </w:numPr>
        <w:spacing w:after="120"/>
        <w:rPr>
          <w:rFonts w:cs="Arial"/>
          <w:sz w:val="24"/>
          <w:szCs w:val="22"/>
        </w:rPr>
      </w:pPr>
      <w:r w:rsidRPr="00E0173F">
        <w:rPr>
          <w:rFonts w:cs="Arial"/>
          <w:sz w:val="24"/>
          <w:szCs w:val="22"/>
        </w:rPr>
        <w:t>any other information that supports what you say.</w:t>
      </w:r>
    </w:p>
    <w:p w14:paraId="677F1995" w14:textId="77777777" w:rsidR="008D43B4" w:rsidRDefault="008D43B4" w:rsidP="008D43B4">
      <w:pPr>
        <w:pStyle w:val="Heading2"/>
      </w:pPr>
      <w:bookmarkStart w:id="34" w:name="_Toc59022037"/>
      <w:bookmarkStart w:id="35" w:name="_Toc59022800"/>
      <w:r>
        <w:t>Where</w:t>
      </w:r>
      <w:bookmarkEnd w:id="34"/>
      <w:bookmarkEnd w:id="35"/>
    </w:p>
    <w:p w14:paraId="120565D0" w14:textId="77777777" w:rsidR="00EE6CAC" w:rsidRPr="00EE6CAC" w:rsidRDefault="00EE6CAC" w:rsidP="00EE6CAC"/>
    <w:p w14:paraId="741F99A0" w14:textId="77777777" w:rsidR="008D43B4" w:rsidRPr="008D43B4" w:rsidRDefault="008D43B4" w:rsidP="008D43B4">
      <w:pPr>
        <w:rPr>
          <w:sz w:val="24"/>
        </w:rPr>
      </w:pPr>
      <w:r w:rsidRPr="008D43B4">
        <w:rPr>
          <w:sz w:val="24"/>
        </w:rPr>
        <w:t xml:space="preserve">Disclosures to the Queensland Human Rights Commission can be made: </w:t>
      </w:r>
    </w:p>
    <w:p w14:paraId="7B5590BF" w14:textId="77777777" w:rsidR="008D43B4" w:rsidRPr="008D43B4" w:rsidRDefault="008D43B4" w:rsidP="008D43B4"/>
    <w:tbl>
      <w:tblPr>
        <w:tblStyle w:val="ListTable3-Accent5"/>
        <w:tblW w:w="0" w:type="auto"/>
        <w:tblLook w:val="01E0" w:firstRow="1" w:lastRow="1" w:firstColumn="1" w:lastColumn="1" w:noHBand="0" w:noVBand="0"/>
      </w:tblPr>
      <w:tblGrid>
        <w:gridCol w:w="3964"/>
        <w:gridCol w:w="5322"/>
      </w:tblGrid>
      <w:tr w:rsidR="008D43B4" w:rsidRPr="009F7A60" w14:paraId="44484FBF" w14:textId="77777777" w:rsidTr="008D43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Borders>
              <w:top w:val="single" w:sz="4" w:space="0" w:color="4BACC6" w:themeColor="accent5"/>
            </w:tcBorders>
            <w:shd w:val="clear" w:color="auto" w:fill="auto"/>
          </w:tcPr>
          <w:p w14:paraId="1C9EF8E2" w14:textId="77777777" w:rsidR="008D43B4" w:rsidRPr="00EE6CAC" w:rsidRDefault="008D43B4" w:rsidP="00FA1813">
            <w:pPr>
              <w:spacing w:after="120"/>
              <w:rPr>
                <w:b w:val="0"/>
                <w:sz w:val="24"/>
                <w:szCs w:val="22"/>
              </w:rPr>
            </w:pPr>
            <w:r w:rsidRPr="00EE6CAC">
              <w:rPr>
                <w:b w:val="0"/>
                <w:color w:val="auto"/>
                <w:sz w:val="24"/>
                <w:szCs w:val="22"/>
              </w:rPr>
              <w:t>By email</w:t>
            </w:r>
          </w:p>
        </w:tc>
        <w:tc>
          <w:tcPr>
            <w:cnfStyle w:val="000100001000" w:firstRow="0" w:lastRow="0" w:firstColumn="0" w:lastColumn="1" w:oddVBand="0" w:evenVBand="0" w:oddHBand="0" w:evenHBand="0" w:firstRowFirstColumn="0" w:firstRowLastColumn="1" w:lastRowFirstColumn="0" w:lastRowLastColumn="0"/>
            <w:tcW w:w="5322" w:type="dxa"/>
            <w:tcBorders>
              <w:top w:val="single" w:sz="4" w:space="0" w:color="4BACC6" w:themeColor="accent5"/>
            </w:tcBorders>
            <w:shd w:val="clear" w:color="auto" w:fill="auto"/>
          </w:tcPr>
          <w:p w14:paraId="19BEB592" w14:textId="77777777" w:rsidR="008D43B4" w:rsidRPr="00EE6CAC" w:rsidRDefault="008D43B4" w:rsidP="00FA1813">
            <w:pPr>
              <w:spacing w:after="120"/>
              <w:jc w:val="both"/>
              <w:rPr>
                <w:b w:val="0"/>
                <w:color w:val="auto"/>
                <w:sz w:val="24"/>
                <w:szCs w:val="22"/>
              </w:rPr>
            </w:pPr>
            <w:r w:rsidRPr="00EE6CAC">
              <w:rPr>
                <w:b w:val="0"/>
                <w:color w:val="auto"/>
                <w:sz w:val="24"/>
                <w:szCs w:val="22"/>
              </w:rPr>
              <w:t>info@qhrc.qld.gov.au</w:t>
            </w:r>
          </w:p>
        </w:tc>
      </w:tr>
      <w:tr w:rsidR="008D43B4" w:rsidRPr="009F7A60" w14:paraId="34B4D63E" w14:textId="77777777" w:rsidTr="008D4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Pr>
          <w:p w14:paraId="25282496" w14:textId="77777777" w:rsidR="008D43B4" w:rsidRPr="00EE6CAC" w:rsidRDefault="008D43B4" w:rsidP="00FA1813">
            <w:pPr>
              <w:spacing w:after="120"/>
              <w:rPr>
                <w:b w:val="0"/>
                <w:sz w:val="24"/>
                <w:szCs w:val="22"/>
              </w:rPr>
            </w:pPr>
            <w:r w:rsidRPr="00EE6CAC">
              <w:rPr>
                <w:b w:val="0"/>
                <w:sz w:val="24"/>
                <w:szCs w:val="22"/>
              </w:rPr>
              <w:t>By letter</w:t>
            </w:r>
          </w:p>
        </w:tc>
        <w:tc>
          <w:tcPr>
            <w:cnfStyle w:val="000100000000" w:firstRow="0" w:lastRow="0" w:firstColumn="0" w:lastColumn="1" w:oddVBand="0" w:evenVBand="0" w:oddHBand="0" w:evenHBand="0" w:firstRowFirstColumn="0" w:firstRowLastColumn="0" w:lastRowFirstColumn="0" w:lastRowLastColumn="0"/>
            <w:tcW w:w="5322" w:type="dxa"/>
            <w:shd w:val="clear" w:color="auto" w:fill="auto"/>
          </w:tcPr>
          <w:p w14:paraId="10104BF0" w14:textId="77777777" w:rsidR="008D43B4" w:rsidRPr="00EE6CAC" w:rsidRDefault="008D43B4" w:rsidP="00FA1813">
            <w:pPr>
              <w:spacing w:after="120"/>
              <w:jc w:val="both"/>
              <w:rPr>
                <w:b w:val="0"/>
                <w:sz w:val="24"/>
                <w:szCs w:val="22"/>
              </w:rPr>
            </w:pPr>
            <w:r w:rsidRPr="00EE6CAC">
              <w:rPr>
                <w:b w:val="0"/>
                <w:sz w:val="24"/>
                <w:szCs w:val="22"/>
              </w:rPr>
              <w:t>Principal Lawyer</w:t>
            </w:r>
          </w:p>
          <w:p w14:paraId="5C3DE790" w14:textId="77777777" w:rsidR="008D43B4" w:rsidRPr="00EE6CAC" w:rsidRDefault="008D43B4" w:rsidP="00FA1813">
            <w:pPr>
              <w:spacing w:after="120"/>
              <w:jc w:val="both"/>
              <w:rPr>
                <w:b w:val="0"/>
                <w:sz w:val="24"/>
                <w:szCs w:val="22"/>
              </w:rPr>
            </w:pPr>
            <w:r w:rsidRPr="00EE6CAC">
              <w:rPr>
                <w:b w:val="0"/>
                <w:sz w:val="24"/>
                <w:szCs w:val="22"/>
              </w:rPr>
              <w:t>Queensland Human Rights Commission</w:t>
            </w:r>
          </w:p>
          <w:p w14:paraId="4DE9740D" w14:textId="77777777" w:rsidR="008D43B4" w:rsidRPr="00EE6CAC" w:rsidRDefault="008D43B4" w:rsidP="00FA1813">
            <w:pPr>
              <w:spacing w:after="120"/>
              <w:jc w:val="both"/>
              <w:rPr>
                <w:b w:val="0"/>
                <w:sz w:val="24"/>
                <w:szCs w:val="22"/>
              </w:rPr>
            </w:pPr>
            <w:r w:rsidRPr="00EE6CAC">
              <w:rPr>
                <w:b w:val="0"/>
                <w:sz w:val="24"/>
                <w:szCs w:val="22"/>
              </w:rPr>
              <w:t>PO Box 15565</w:t>
            </w:r>
          </w:p>
          <w:p w14:paraId="1015F06A" w14:textId="77777777" w:rsidR="008D43B4" w:rsidRPr="00EE6CAC" w:rsidRDefault="008D43B4" w:rsidP="00FA1813">
            <w:pPr>
              <w:spacing w:after="120"/>
              <w:jc w:val="both"/>
              <w:rPr>
                <w:b w:val="0"/>
                <w:sz w:val="24"/>
                <w:szCs w:val="22"/>
              </w:rPr>
            </w:pPr>
            <w:r w:rsidRPr="00EE6CAC">
              <w:rPr>
                <w:b w:val="0"/>
                <w:sz w:val="24"/>
                <w:szCs w:val="22"/>
              </w:rPr>
              <w:t>City East Qld 4002</w:t>
            </w:r>
          </w:p>
        </w:tc>
      </w:tr>
      <w:tr w:rsidR="008D43B4" w:rsidRPr="009F7A60" w14:paraId="62C5F585" w14:textId="77777777" w:rsidTr="008D43B4">
        <w:tc>
          <w:tcPr>
            <w:cnfStyle w:val="001000000000" w:firstRow="0" w:lastRow="0" w:firstColumn="1" w:lastColumn="0" w:oddVBand="0" w:evenVBand="0" w:oddHBand="0" w:evenHBand="0" w:firstRowFirstColumn="0" w:firstRowLastColumn="0" w:lastRowFirstColumn="0" w:lastRowLastColumn="0"/>
            <w:tcW w:w="3964" w:type="dxa"/>
            <w:shd w:val="clear" w:color="auto" w:fill="auto"/>
          </w:tcPr>
          <w:p w14:paraId="188BEA28" w14:textId="77777777" w:rsidR="008D43B4" w:rsidRPr="00EE6CAC" w:rsidRDefault="008D43B4" w:rsidP="008D43B4">
            <w:pPr>
              <w:spacing w:after="120"/>
              <w:rPr>
                <w:b w:val="0"/>
                <w:sz w:val="24"/>
                <w:szCs w:val="22"/>
              </w:rPr>
            </w:pPr>
            <w:r w:rsidRPr="00EE6CAC">
              <w:rPr>
                <w:b w:val="0"/>
                <w:sz w:val="24"/>
                <w:szCs w:val="22"/>
              </w:rPr>
              <w:t>By phone</w:t>
            </w:r>
          </w:p>
        </w:tc>
        <w:tc>
          <w:tcPr>
            <w:cnfStyle w:val="000100000000" w:firstRow="0" w:lastRow="0" w:firstColumn="0" w:lastColumn="1" w:oddVBand="0" w:evenVBand="0" w:oddHBand="0" w:evenHBand="0" w:firstRowFirstColumn="0" w:firstRowLastColumn="0" w:lastRowFirstColumn="0" w:lastRowLastColumn="0"/>
            <w:tcW w:w="5322" w:type="dxa"/>
            <w:shd w:val="clear" w:color="auto" w:fill="auto"/>
          </w:tcPr>
          <w:p w14:paraId="4AA2CE02" w14:textId="77777777" w:rsidR="008D43B4" w:rsidRPr="00EE6CAC" w:rsidRDefault="008D43B4" w:rsidP="00FA1813">
            <w:pPr>
              <w:spacing w:after="120"/>
              <w:jc w:val="both"/>
              <w:rPr>
                <w:b w:val="0"/>
                <w:sz w:val="24"/>
                <w:szCs w:val="22"/>
              </w:rPr>
            </w:pPr>
            <w:r w:rsidRPr="00EE6CAC">
              <w:rPr>
                <w:b w:val="0"/>
                <w:sz w:val="24"/>
                <w:szCs w:val="22"/>
              </w:rPr>
              <w:t>1300 130 670 or 3021 9107</w:t>
            </w:r>
          </w:p>
        </w:tc>
      </w:tr>
      <w:tr w:rsidR="008D43B4" w:rsidRPr="009F7A60" w14:paraId="7026C363" w14:textId="77777777" w:rsidTr="008D43B4">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64" w:type="dxa"/>
            <w:tcBorders>
              <w:bottom w:val="single" w:sz="4" w:space="0" w:color="4BACC6" w:themeColor="accent5"/>
            </w:tcBorders>
            <w:shd w:val="clear" w:color="auto" w:fill="auto"/>
          </w:tcPr>
          <w:p w14:paraId="5F68E481" w14:textId="77777777" w:rsidR="008D43B4" w:rsidRPr="00EE6CAC" w:rsidRDefault="008D43B4" w:rsidP="00FA1813">
            <w:pPr>
              <w:spacing w:after="120"/>
              <w:rPr>
                <w:b w:val="0"/>
                <w:sz w:val="24"/>
                <w:szCs w:val="22"/>
              </w:rPr>
            </w:pPr>
            <w:r w:rsidRPr="00EE6CAC">
              <w:rPr>
                <w:b w:val="0"/>
                <w:sz w:val="24"/>
                <w:szCs w:val="22"/>
              </w:rPr>
              <w:t xml:space="preserve">In person </w:t>
            </w:r>
          </w:p>
        </w:tc>
        <w:tc>
          <w:tcPr>
            <w:cnfStyle w:val="000100000010" w:firstRow="0" w:lastRow="0" w:firstColumn="0" w:lastColumn="1" w:oddVBand="0" w:evenVBand="0" w:oddHBand="0" w:evenHBand="0" w:firstRowFirstColumn="0" w:firstRowLastColumn="0" w:lastRowFirstColumn="0" w:lastRowLastColumn="1"/>
            <w:tcW w:w="5322" w:type="dxa"/>
            <w:tcBorders>
              <w:bottom w:val="single" w:sz="4" w:space="0" w:color="4BACC6" w:themeColor="accent5"/>
            </w:tcBorders>
            <w:shd w:val="clear" w:color="auto" w:fill="auto"/>
          </w:tcPr>
          <w:p w14:paraId="56130600" w14:textId="77777777" w:rsidR="008D43B4" w:rsidRPr="00EE6CAC" w:rsidRDefault="008D43B4" w:rsidP="00FA1813">
            <w:pPr>
              <w:spacing w:after="120"/>
              <w:jc w:val="both"/>
              <w:rPr>
                <w:b w:val="0"/>
                <w:sz w:val="24"/>
                <w:szCs w:val="22"/>
              </w:rPr>
            </w:pPr>
            <w:r w:rsidRPr="00EE6CAC">
              <w:rPr>
                <w:b w:val="0"/>
                <w:sz w:val="24"/>
                <w:szCs w:val="22"/>
              </w:rPr>
              <w:t>Level 20, 53 Albert Street</w:t>
            </w:r>
          </w:p>
          <w:p w14:paraId="32D9FF60" w14:textId="77777777" w:rsidR="008D43B4" w:rsidRPr="00EE6CAC" w:rsidRDefault="008D43B4" w:rsidP="00FA1813">
            <w:pPr>
              <w:spacing w:after="120"/>
              <w:jc w:val="both"/>
              <w:rPr>
                <w:b w:val="0"/>
                <w:sz w:val="24"/>
                <w:szCs w:val="22"/>
              </w:rPr>
            </w:pPr>
            <w:r w:rsidRPr="00EE6CAC">
              <w:rPr>
                <w:b w:val="0"/>
                <w:sz w:val="24"/>
                <w:szCs w:val="22"/>
              </w:rPr>
              <w:t xml:space="preserve">Brisbane Qld </w:t>
            </w:r>
          </w:p>
        </w:tc>
      </w:tr>
    </w:tbl>
    <w:p w14:paraId="1A22B20A" w14:textId="77777777" w:rsidR="008D43B4" w:rsidRPr="008D43B4" w:rsidRDefault="008D43B4" w:rsidP="008D43B4"/>
    <w:p w14:paraId="4014F3E3" w14:textId="77777777" w:rsidR="006A6605" w:rsidRDefault="006B0442" w:rsidP="006B0442">
      <w:pPr>
        <w:pStyle w:val="Heading2"/>
      </w:pPr>
      <w:bookmarkStart w:id="36" w:name="_Toc59022038"/>
      <w:bookmarkStart w:id="37" w:name="_Toc59022801"/>
      <w:r>
        <w:t>Anonymous disclosures</w:t>
      </w:r>
      <w:bookmarkEnd w:id="36"/>
      <w:bookmarkEnd w:id="37"/>
    </w:p>
    <w:p w14:paraId="7EDD2586" w14:textId="77777777" w:rsidR="00EE6CAC" w:rsidRPr="00EE6CAC" w:rsidRDefault="00EE6CAC" w:rsidP="00EE6CAC"/>
    <w:p w14:paraId="04F592A0" w14:textId="77777777" w:rsidR="006B0442" w:rsidRPr="00E0173F" w:rsidRDefault="006B0442" w:rsidP="006B0442">
      <w:pPr>
        <w:spacing w:after="120"/>
        <w:rPr>
          <w:rFonts w:cs="Arial"/>
          <w:sz w:val="24"/>
          <w:szCs w:val="22"/>
        </w:rPr>
      </w:pPr>
      <w:r w:rsidRPr="00E0173F">
        <w:rPr>
          <w:rFonts w:cs="Arial"/>
          <w:sz w:val="24"/>
          <w:szCs w:val="22"/>
        </w:rPr>
        <w:t>The likelihood of a successful outcome is increased greatly if, when making a disclosure, you make your identity known.  Nonetheless, you are able to make a disclosure anonymously either in writing or by telephone.  If you do decide to disclose anonymously, you will need to provide sufficient information for the matter to be investigated, as it will not be possible for us to come back to you for clarification or more information.  Also, it will not be possible for us to keep you informed on the progress in handling your disclosure and you could experience difficulties in relying upon the protections afforded by the PID Act.</w:t>
      </w:r>
    </w:p>
    <w:p w14:paraId="5C06AADD" w14:textId="77777777" w:rsidR="006B0442" w:rsidRPr="008B27C3" w:rsidRDefault="006B0442" w:rsidP="006B0442">
      <w:pPr>
        <w:spacing w:after="120"/>
        <w:rPr>
          <w:rFonts w:cs="Arial"/>
          <w:sz w:val="22"/>
          <w:szCs w:val="22"/>
        </w:rPr>
      </w:pPr>
      <w:r w:rsidRPr="00E0173F">
        <w:rPr>
          <w:rFonts w:cs="Arial"/>
          <w:sz w:val="24"/>
          <w:szCs w:val="22"/>
        </w:rPr>
        <w:t>If you have reported anonymously and provided enough information for us to act, we are committed to acting upon your disclosure</w:t>
      </w:r>
      <w:r w:rsidRPr="008B27C3">
        <w:rPr>
          <w:rFonts w:cs="Arial"/>
          <w:sz w:val="22"/>
          <w:szCs w:val="22"/>
        </w:rPr>
        <w:t>.</w:t>
      </w:r>
    </w:p>
    <w:p w14:paraId="06D5B69B" w14:textId="77777777" w:rsidR="006B0442" w:rsidRDefault="006B0442" w:rsidP="006B0442">
      <w:pPr>
        <w:pStyle w:val="Heading2"/>
      </w:pPr>
      <w:bookmarkStart w:id="38" w:name="_Toc59022039"/>
      <w:bookmarkStart w:id="39" w:name="_Toc59022802"/>
      <w:r>
        <w:t>False or misleading information</w:t>
      </w:r>
      <w:bookmarkEnd w:id="38"/>
      <w:bookmarkEnd w:id="39"/>
    </w:p>
    <w:p w14:paraId="4FCB1560" w14:textId="77777777" w:rsidR="00EE6CAC" w:rsidRPr="00EE6CAC" w:rsidRDefault="00EE6CAC" w:rsidP="00EE6CAC"/>
    <w:p w14:paraId="3CFFDF23" w14:textId="77777777" w:rsidR="006B0442" w:rsidRPr="00E0173F" w:rsidRDefault="006B0442" w:rsidP="006B0442">
      <w:pPr>
        <w:spacing w:after="120"/>
        <w:rPr>
          <w:rFonts w:cs="Arial"/>
          <w:sz w:val="24"/>
          <w:szCs w:val="22"/>
        </w:rPr>
      </w:pPr>
      <w:r w:rsidRPr="00E0173F">
        <w:rPr>
          <w:rFonts w:cs="Arial"/>
          <w:sz w:val="24"/>
          <w:szCs w:val="22"/>
        </w:rPr>
        <w:t xml:space="preserve">It is an offence under the PID Act to intentionally make a false or misleading statement intending it be acted upon as a public interest disclosure.  </w:t>
      </w:r>
    </w:p>
    <w:p w14:paraId="3F2024B2" w14:textId="77777777" w:rsidR="006B0442" w:rsidRDefault="006B0442" w:rsidP="006B0442">
      <w:pPr>
        <w:rPr>
          <w:rFonts w:cs="Arial"/>
          <w:sz w:val="24"/>
          <w:szCs w:val="22"/>
        </w:rPr>
      </w:pPr>
      <w:r w:rsidRPr="00E0173F">
        <w:rPr>
          <w:rFonts w:cs="Arial"/>
          <w:sz w:val="24"/>
          <w:szCs w:val="22"/>
        </w:rPr>
        <w:t>This is an indictable offence which carries a maximum penalty of 2 years imprisonment or $19,012 fine (167 penalty units).  Any employees who make a false or misleading statement will be subject to disciplinary action</w:t>
      </w:r>
      <w:r>
        <w:rPr>
          <w:rFonts w:cs="Arial"/>
          <w:sz w:val="24"/>
          <w:szCs w:val="22"/>
        </w:rPr>
        <w:t>.</w:t>
      </w:r>
    </w:p>
    <w:p w14:paraId="4F2C987B" w14:textId="77777777" w:rsidR="006B0442" w:rsidRDefault="006B0442" w:rsidP="006B0442"/>
    <w:p w14:paraId="7CE27C06" w14:textId="77777777" w:rsidR="006B0442" w:rsidRDefault="006B0442" w:rsidP="006B0442">
      <w:pPr>
        <w:pStyle w:val="Heading1"/>
      </w:pPr>
      <w:bookmarkStart w:id="40" w:name="_Toc59022803"/>
      <w:r>
        <w:lastRenderedPageBreak/>
        <w:t>What we will do after you make a disclosure</w:t>
      </w:r>
      <w:bookmarkEnd w:id="40"/>
    </w:p>
    <w:p w14:paraId="17BCEE1D" w14:textId="77777777" w:rsidR="00EE6CAC" w:rsidRPr="00EE6CAC" w:rsidRDefault="00EE6CAC" w:rsidP="00EE6CAC"/>
    <w:p w14:paraId="460792CB" w14:textId="77777777" w:rsidR="006B0442" w:rsidRPr="00E0173F" w:rsidRDefault="006B0442" w:rsidP="006B0442">
      <w:pPr>
        <w:spacing w:after="120"/>
        <w:rPr>
          <w:rFonts w:cs="Arial"/>
          <w:sz w:val="24"/>
          <w:szCs w:val="22"/>
        </w:rPr>
      </w:pPr>
      <w:r w:rsidRPr="00E0173F">
        <w:rPr>
          <w:rFonts w:cs="Arial"/>
          <w:sz w:val="24"/>
          <w:szCs w:val="22"/>
        </w:rPr>
        <w:t xml:space="preserve">We will make a decision on how to best deal with your disclosure.  It may be that the person who receives your disclosure undertakes initial inquiries and decides not to take the matter any further.  We will advise you of this. </w:t>
      </w:r>
    </w:p>
    <w:p w14:paraId="2B9761CB" w14:textId="77777777" w:rsidR="006B0442" w:rsidRPr="00E0173F" w:rsidRDefault="006B0442" w:rsidP="006B0442">
      <w:pPr>
        <w:spacing w:after="120"/>
        <w:rPr>
          <w:rFonts w:cs="Arial"/>
          <w:sz w:val="24"/>
          <w:szCs w:val="22"/>
        </w:rPr>
      </w:pPr>
      <w:r w:rsidRPr="00E0173F">
        <w:rPr>
          <w:rFonts w:cs="Arial"/>
          <w:sz w:val="24"/>
          <w:szCs w:val="22"/>
        </w:rPr>
        <w:t>We will communicate with you in writing.</w:t>
      </w:r>
    </w:p>
    <w:p w14:paraId="698F7FBC" w14:textId="77777777" w:rsidR="006B0442" w:rsidRPr="00E0173F" w:rsidRDefault="006B0442" w:rsidP="006B0442">
      <w:pPr>
        <w:spacing w:after="120"/>
        <w:rPr>
          <w:rFonts w:cs="Arial"/>
          <w:sz w:val="24"/>
          <w:szCs w:val="22"/>
        </w:rPr>
      </w:pPr>
      <w:r w:rsidRPr="00E0173F">
        <w:rPr>
          <w:rFonts w:cs="Arial"/>
          <w:sz w:val="24"/>
          <w:szCs w:val="22"/>
        </w:rPr>
        <w:t>If you have made a disclosure, we undertake to provide you with advice and assistance on the process and to inform you of the outcome.  This will include information on the action taken or proposed to be taken as a result of your disclosure, and the reasons for this decision.</w:t>
      </w:r>
    </w:p>
    <w:p w14:paraId="41244B14" w14:textId="77777777" w:rsidR="006B0442" w:rsidRPr="00E0173F" w:rsidRDefault="006B0442" w:rsidP="006B0442">
      <w:pPr>
        <w:spacing w:after="120"/>
        <w:rPr>
          <w:rFonts w:cs="Arial"/>
          <w:sz w:val="24"/>
          <w:szCs w:val="22"/>
        </w:rPr>
      </w:pPr>
      <w:r w:rsidRPr="00E0173F">
        <w:rPr>
          <w:rFonts w:cs="Arial"/>
          <w:sz w:val="24"/>
          <w:szCs w:val="22"/>
        </w:rPr>
        <w:t>Your notification will not contain any information likely to adversely affect any person’s safety or their personal privacy.</w:t>
      </w:r>
    </w:p>
    <w:p w14:paraId="28611ACE" w14:textId="77777777" w:rsidR="006B0442" w:rsidRDefault="006B0442" w:rsidP="006B0442">
      <w:pPr>
        <w:pStyle w:val="Heading2"/>
      </w:pPr>
      <w:bookmarkStart w:id="41" w:name="_Toc59022041"/>
      <w:bookmarkStart w:id="42" w:name="_Toc59022804"/>
      <w:r>
        <w:t>Assessing the disclosure</w:t>
      </w:r>
      <w:bookmarkEnd w:id="41"/>
      <w:bookmarkEnd w:id="42"/>
    </w:p>
    <w:p w14:paraId="304E10D3" w14:textId="77777777" w:rsidR="00EE6CAC" w:rsidRPr="00EE6CAC" w:rsidRDefault="00EE6CAC" w:rsidP="00EE6CAC"/>
    <w:p w14:paraId="3DE84D23" w14:textId="77777777" w:rsidR="006B0442" w:rsidRPr="00E0173F" w:rsidRDefault="006B0442" w:rsidP="006B0442">
      <w:pPr>
        <w:spacing w:after="120"/>
        <w:rPr>
          <w:rFonts w:cs="Arial"/>
          <w:sz w:val="24"/>
          <w:szCs w:val="22"/>
        </w:rPr>
      </w:pPr>
      <w:r w:rsidRPr="00E0173F">
        <w:rPr>
          <w:rFonts w:cs="Arial"/>
          <w:sz w:val="24"/>
          <w:szCs w:val="22"/>
        </w:rPr>
        <w:t>We will assess whether the disclosure is a PID.  We may need to obtain more information to do this.</w:t>
      </w:r>
    </w:p>
    <w:p w14:paraId="13E4136E" w14:textId="77777777" w:rsidR="006B0442" w:rsidRPr="00E0173F" w:rsidRDefault="006B0442" w:rsidP="006B0442">
      <w:pPr>
        <w:spacing w:after="120"/>
        <w:rPr>
          <w:rFonts w:cs="Arial"/>
          <w:sz w:val="24"/>
          <w:szCs w:val="22"/>
        </w:rPr>
      </w:pPr>
      <w:r w:rsidRPr="00E0173F">
        <w:rPr>
          <w:rFonts w:cs="Arial"/>
          <w:sz w:val="24"/>
          <w:szCs w:val="22"/>
        </w:rPr>
        <w:t>If you say you are making a PID and we assess it as not being a PID we will advise you:</w:t>
      </w:r>
    </w:p>
    <w:p w14:paraId="2FCA2307"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that the information has been received but not assessed as a PID</w:t>
      </w:r>
    </w:p>
    <w:p w14:paraId="78AE82A1"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the reasons for the decision</w:t>
      </w:r>
    </w:p>
    <w:p w14:paraId="59D65871"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any action we propose to take in relation to the matter</w:t>
      </w:r>
    </w:p>
    <w:p w14:paraId="0F0BCDEE"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any other options for you.</w:t>
      </w:r>
    </w:p>
    <w:p w14:paraId="52E7E5FF" w14:textId="77777777" w:rsidR="006B0442" w:rsidRPr="00E0173F" w:rsidRDefault="006B0442" w:rsidP="006B0442">
      <w:pPr>
        <w:spacing w:after="120"/>
        <w:rPr>
          <w:rFonts w:cs="Arial"/>
          <w:sz w:val="24"/>
          <w:szCs w:val="22"/>
        </w:rPr>
      </w:pPr>
      <w:r w:rsidRPr="00E0173F">
        <w:rPr>
          <w:rFonts w:cs="Arial"/>
          <w:sz w:val="24"/>
          <w:szCs w:val="22"/>
        </w:rPr>
        <w:t>If we assess your disclosure as a PID, we will advise you:</w:t>
      </w:r>
    </w:p>
    <w:p w14:paraId="256F4CDE"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that the information has been received and assessed as a PID</w:t>
      </w:r>
    </w:p>
    <w:p w14:paraId="39E4A356"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the action we intend to take – this may include referring to another agency or investigating</w:t>
      </w:r>
    </w:p>
    <w:p w14:paraId="135AE70C"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of your obligations regarding confidentiality</w:t>
      </w:r>
    </w:p>
    <w:p w14:paraId="215E71CE"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the protections you have under the PID Act</w:t>
      </w:r>
    </w:p>
    <w:p w14:paraId="3F40B963"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options for support</w:t>
      </w:r>
    </w:p>
    <w:p w14:paraId="3114E4BB" w14:textId="77777777" w:rsidR="006B0442" w:rsidRPr="00E0173F" w:rsidRDefault="006B0442" w:rsidP="006B0442">
      <w:pPr>
        <w:numPr>
          <w:ilvl w:val="0"/>
          <w:numId w:val="21"/>
        </w:numPr>
        <w:spacing w:after="120"/>
        <w:rPr>
          <w:rFonts w:cs="Arial"/>
          <w:sz w:val="24"/>
          <w:szCs w:val="22"/>
        </w:rPr>
      </w:pPr>
      <w:r>
        <w:rPr>
          <w:rFonts w:cs="Arial"/>
          <w:sz w:val="24"/>
          <w:szCs w:val="22"/>
        </w:rPr>
        <w:t>contact details for our</w:t>
      </w:r>
      <w:r w:rsidRPr="00E0173F">
        <w:rPr>
          <w:rFonts w:cs="Arial"/>
          <w:sz w:val="24"/>
          <w:szCs w:val="22"/>
        </w:rPr>
        <w:t xml:space="preserve"> Employee Assistance Program (where appropriate)</w:t>
      </w:r>
    </w:p>
    <w:p w14:paraId="0997A4A4"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our commitment to keeping proper records, and maintaining confidentiality, except where permitted under the PID Act.</w:t>
      </w:r>
    </w:p>
    <w:p w14:paraId="1993DEBA" w14:textId="77777777" w:rsidR="006B0442" w:rsidRDefault="006B0442" w:rsidP="006B0442">
      <w:pPr>
        <w:pStyle w:val="Heading2"/>
      </w:pPr>
      <w:bookmarkStart w:id="43" w:name="_Toc59022042"/>
      <w:bookmarkStart w:id="44" w:name="_Toc59022805"/>
      <w:r>
        <w:t>Declining to take action</w:t>
      </w:r>
      <w:bookmarkEnd w:id="43"/>
      <w:bookmarkEnd w:id="44"/>
    </w:p>
    <w:p w14:paraId="58D4536B" w14:textId="77777777" w:rsidR="00EE6CAC" w:rsidRPr="00EE6CAC" w:rsidRDefault="00EE6CAC" w:rsidP="00EE6CAC"/>
    <w:p w14:paraId="64912582" w14:textId="77777777" w:rsidR="006B0442" w:rsidRPr="00E0173F" w:rsidRDefault="006B0442" w:rsidP="006B0442">
      <w:pPr>
        <w:spacing w:after="120"/>
        <w:rPr>
          <w:rFonts w:cs="Arial"/>
          <w:sz w:val="24"/>
          <w:szCs w:val="22"/>
        </w:rPr>
      </w:pPr>
      <w:r w:rsidRPr="00E0173F">
        <w:rPr>
          <w:rFonts w:cs="Arial"/>
          <w:sz w:val="24"/>
          <w:szCs w:val="22"/>
        </w:rPr>
        <w:t>No action is required if:</w:t>
      </w:r>
    </w:p>
    <w:p w14:paraId="2F58CCCF"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the substance of the disclosure has already been investigated or dealt with by another appropriate process;</w:t>
      </w:r>
    </w:p>
    <w:p w14:paraId="7CB60034"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we reasonably consider the disclosure should be dealt with by another appropriate process;</w:t>
      </w:r>
    </w:p>
    <w:p w14:paraId="6D32D761"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the age of the information makes it impracticable to investigate;</w:t>
      </w:r>
    </w:p>
    <w:p w14:paraId="527D9441"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we reasonably consider the disclosure is too trivial to investigate and dealing with the disclosure would substantially and unreasonably divert our resources for the performance of our functions; or</w:t>
      </w:r>
    </w:p>
    <w:p w14:paraId="36AD70BC"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lastRenderedPageBreak/>
        <w:t>another entity that has jurisdiction to investigate the disclosure has notified us that investigation is not warranted.</w:t>
      </w:r>
    </w:p>
    <w:p w14:paraId="36CA9E16" w14:textId="77777777" w:rsidR="006B0442" w:rsidRPr="00E0173F" w:rsidRDefault="006B0442" w:rsidP="006B0442">
      <w:pPr>
        <w:spacing w:after="120"/>
        <w:rPr>
          <w:rFonts w:cs="Arial"/>
          <w:sz w:val="24"/>
          <w:szCs w:val="22"/>
        </w:rPr>
      </w:pPr>
      <w:r w:rsidRPr="00E0173F">
        <w:rPr>
          <w:rFonts w:cs="Arial"/>
          <w:sz w:val="24"/>
          <w:szCs w:val="22"/>
        </w:rPr>
        <w:t xml:space="preserve">If a decision is made not to investigate or deal with a PID, we will give the discloser written notification and reasons for the decision.  </w:t>
      </w:r>
    </w:p>
    <w:p w14:paraId="161F77E7" w14:textId="77777777" w:rsidR="006B0442" w:rsidRPr="00E0173F" w:rsidRDefault="006B0442" w:rsidP="006B0442">
      <w:pPr>
        <w:spacing w:after="120"/>
        <w:rPr>
          <w:rFonts w:cs="Arial"/>
          <w:sz w:val="24"/>
          <w:szCs w:val="22"/>
        </w:rPr>
      </w:pPr>
      <w:r w:rsidRPr="00E0173F">
        <w:rPr>
          <w:rFonts w:cs="Arial"/>
          <w:sz w:val="24"/>
          <w:szCs w:val="22"/>
        </w:rPr>
        <w:t>If the discloser is not satisfied with the decision, they can request a review by writing to the Deputy Commissioner within 28 days of receiving the written reasons for the decision.</w:t>
      </w:r>
    </w:p>
    <w:p w14:paraId="50479E73" w14:textId="77777777" w:rsidR="006B0442" w:rsidRDefault="006B0442" w:rsidP="006B0442">
      <w:pPr>
        <w:pStyle w:val="Heading2"/>
      </w:pPr>
      <w:bookmarkStart w:id="45" w:name="_Toc59022043"/>
      <w:bookmarkStart w:id="46" w:name="_Toc59022806"/>
      <w:r>
        <w:t>Referring a PID</w:t>
      </w:r>
      <w:bookmarkEnd w:id="45"/>
      <w:bookmarkEnd w:id="46"/>
    </w:p>
    <w:p w14:paraId="66969132" w14:textId="77777777" w:rsidR="00EE6CAC" w:rsidRPr="00EE6CAC" w:rsidRDefault="00EE6CAC" w:rsidP="00EE6CAC"/>
    <w:p w14:paraId="394D08D3" w14:textId="77777777" w:rsidR="006B0442" w:rsidRPr="00E0173F" w:rsidRDefault="006B0442" w:rsidP="006B0442">
      <w:pPr>
        <w:spacing w:after="120"/>
        <w:rPr>
          <w:rFonts w:cs="Arial"/>
          <w:sz w:val="24"/>
          <w:szCs w:val="22"/>
        </w:rPr>
      </w:pPr>
      <w:r w:rsidRPr="00E0173F">
        <w:rPr>
          <w:rFonts w:cs="Arial"/>
          <w:sz w:val="24"/>
          <w:szCs w:val="22"/>
        </w:rPr>
        <w:t>Where your disclosure is referred to another area of the Queensland Human Rights Commission for investigation or other action, or to an external entity such as the Crime and Corruption Commission, we will also inform you of this.</w:t>
      </w:r>
    </w:p>
    <w:p w14:paraId="5B586270" w14:textId="77777777" w:rsidR="006B0442" w:rsidRPr="00E0173F" w:rsidRDefault="006B0442" w:rsidP="006B0442">
      <w:pPr>
        <w:spacing w:after="120"/>
        <w:rPr>
          <w:rFonts w:cs="Arial"/>
          <w:sz w:val="24"/>
          <w:szCs w:val="22"/>
        </w:rPr>
      </w:pPr>
      <w:r w:rsidRPr="00E0173F">
        <w:rPr>
          <w:rFonts w:cs="Arial"/>
          <w:sz w:val="24"/>
          <w:szCs w:val="22"/>
        </w:rPr>
        <w:t>A disclosure may be referred to another agency:</w:t>
      </w:r>
    </w:p>
    <w:p w14:paraId="68C55015"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when the disclosure relates to the conduct of another public sector entity; or</w:t>
      </w:r>
    </w:p>
    <w:p w14:paraId="749E16F5"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if another agency has the necessary jurisdiction, expertise and technical knowledge to investigate or take other action.</w:t>
      </w:r>
    </w:p>
    <w:p w14:paraId="6FE3B355" w14:textId="77777777" w:rsidR="006B0442" w:rsidRPr="00E0173F" w:rsidRDefault="006B0442" w:rsidP="006B0442">
      <w:pPr>
        <w:spacing w:after="120"/>
        <w:rPr>
          <w:rFonts w:cs="Arial"/>
          <w:sz w:val="24"/>
          <w:szCs w:val="22"/>
        </w:rPr>
      </w:pPr>
      <w:r w:rsidRPr="00E0173F">
        <w:rPr>
          <w:rFonts w:cs="Arial"/>
          <w:sz w:val="24"/>
          <w:szCs w:val="22"/>
        </w:rPr>
        <w:t>Before referring a disclosure to another agency, we will assess whether there is a risk of reprisal, and we will not proceed if there is an unacceptable risk of reprisal.</w:t>
      </w:r>
    </w:p>
    <w:p w14:paraId="0D63A750" w14:textId="77777777" w:rsidR="006B0442" w:rsidRDefault="006B0442" w:rsidP="006B0442">
      <w:pPr>
        <w:pStyle w:val="Heading2"/>
      </w:pPr>
      <w:bookmarkStart w:id="47" w:name="_Toc59022044"/>
      <w:bookmarkStart w:id="48" w:name="_Toc59022807"/>
      <w:r>
        <w:t>Conflict of interest</w:t>
      </w:r>
      <w:bookmarkEnd w:id="47"/>
      <w:bookmarkEnd w:id="48"/>
    </w:p>
    <w:p w14:paraId="43165D09" w14:textId="77777777" w:rsidR="00EE6CAC" w:rsidRPr="00EE6CAC" w:rsidRDefault="00EE6CAC" w:rsidP="00EE6CAC"/>
    <w:p w14:paraId="4BFC0C38" w14:textId="77777777" w:rsidR="006B0442" w:rsidRPr="00E0173F" w:rsidRDefault="006B0442" w:rsidP="006B0442">
      <w:pPr>
        <w:rPr>
          <w:rFonts w:cs="Arial"/>
          <w:sz w:val="24"/>
          <w:szCs w:val="22"/>
        </w:rPr>
      </w:pPr>
      <w:r w:rsidRPr="00E0173F">
        <w:rPr>
          <w:rFonts w:cs="Arial"/>
          <w:sz w:val="24"/>
          <w:szCs w:val="22"/>
        </w:rPr>
        <w:t xml:space="preserve">If there is any actual or perceived conflict of interest in the PID </w:t>
      </w:r>
      <w:r w:rsidR="00561396">
        <w:rPr>
          <w:rFonts w:cs="Arial"/>
          <w:sz w:val="24"/>
          <w:szCs w:val="22"/>
        </w:rPr>
        <w:t>Coordinator</w:t>
      </w:r>
      <w:r w:rsidRPr="00E0173F">
        <w:rPr>
          <w:rFonts w:cs="Arial"/>
          <w:sz w:val="24"/>
          <w:szCs w:val="22"/>
        </w:rPr>
        <w:t xml:space="preserve"> (Principal Lawyer) dealing with the disclosure, the disclosure and the conflict will be referred to the Human Rights Commissioner.  The Human Rights Commissioner will decide how to deal with the disclosure.</w:t>
      </w:r>
    </w:p>
    <w:p w14:paraId="1F6D940A" w14:textId="77777777" w:rsidR="006B0442" w:rsidRDefault="006B0442" w:rsidP="006B0442"/>
    <w:p w14:paraId="49D5195A" w14:textId="77777777" w:rsidR="006B0442" w:rsidRDefault="006B0442" w:rsidP="006B0442">
      <w:pPr>
        <w:pStyle w:val="Heading1"/>
      </w:pPr>
      <w:bookmarkStart w:id="49" w:name="_Toc59022808"/>
      <w:r>
        <w:t>Support for disclosers</w:t>
      </w:r>
      <w:bookmarkEnd w:id="49"/>
    </w:p>
    <w:p w14:paraId="0F3A63BF" w14:textId="77777777" w:rsidR="00EE6CAC" w:rsidRPr="00EE6CAC" w:rsidRDefault="00EE6CAC" w:rsidP="00EE6CAC"/>
    <w:p w14:paraId="4E1145E4" w14:textId="77777777" w:rsidR="006B0442" w:rsidRPr="00E0173F" w:rsidRDefault="006B0442" w:rsidP="006B0442">
      <w:pPr>
        <w:spacing w:after="120"/>
        <w:rPr>
          <w:rFonts w:cs="Arial"/>
          <w:sz w:val="24"/>
          <w:szCs w:val="22"/>
        </w:rPr>
      </w:pPr>
      <w:r w:rsidRPr="00E0173F">
        <w:rPr>
          <w:rFonts w:cs="Arial"/>
          <w:sz w:val="24"/>
          <w:szCs w:val="22"/>
        </w:rPr>
        <w:t>We will initiate and coordinate action to support you if you make a disclosure, particularly if you are suffering detriment as a result.  Actions may include:</w:t>
      </w:r>
    </w:p>
    <w:p w14:paraId="07B31BD1"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providing moral and emotional support;</w:t>
      </w:r>
    </w:p>
    <w:p w14:paraId="7D3EC82F"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advising you about the resources available to handle any concerns you may have as a result of making a disclosure;</w:t>
      </w:r>
    </w:p>
    <w:p w14:paraId="6C92BA2B"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appointing a mentor, confidante or other support officer to assist you throughout the process;</w:t>
      </w:r>
    </w:p>
    <w:p w14:paraId="53FCF0A4"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ensuring that any suspicions of reprisal, victimisation or harassment are dealt with;</w:t>
      </w:r>
    </w:p>
    <w:p w14:paraId="29A8A882"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maintaining contact with you;</w:t>
      </w:r>
    </w:p>
    <w:p w14:paraId="46555067"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 xml:space="preserve">negotiating with you and your relevant support officer and case manager a formal end to your involvement with the support program, when it is agreed that you no longer need assistance; </w:t>
      </w:r>
    </w:p>
    <w:p w14:paraId="51FA5CB4" w14:textId="77777777" w:rsidR="006B0442" w:rsidRPr="00E0173F" w:rsidRDefault="006B0442" w:rsidP="006B0442">
      <w:pPr>
        <w:spacing w:after="120"/>
        <w:rPr>
          <w:rFonts w:cs="Arial"/>
          <w:sz w:val="24"/>
          <w:szCs w:val="22"/>
        </w:rPr>
      </w:pPr>
      <w:r w:rsidRPr="00E0173F">
        <w:rPr>
          <w:rFonts w:cs="Arial"/>
          <w:sz w:val="24"/>
          <w:szCs w:val="22"/>
        </w:rPr>
        <w:t>and for employees:</w:t>
      </w:r>
    </w:p>
    <w:p w14:paraId="0CC344B4"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referring you to our Employee Assistance Program or arranging for other professional counselling; and</w:t>
      </w:r>
    </w:p>
    <w:p w14:paraId="3A2F62AA"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generating support for you in your work unit (if appropriate).</w:t>
      </w:r>
    </w:p>
    <w:p w14:paraId="46E8F337" w14:textId="77777777" w:rsidR="006B0442" w:rsidRPr="00E0173F" w:rsidRDefault="006B0442" w:rsidP="006B0442">
      <w:pPr>
        <w:spacing w:after="120"/>
        <w:rPr>
          <w:rFonts w:cs="Arial"/>
          <w:sz w:val="24"/>
          <w:szCs w:val="22"/>
        </w:rPr>
      </w:pPr>
      <w:r w:rsidRPr="00E0173F">
        <w:rPr>
          <w:rFonts w:cs="Arial"/>
          <w:sz w:val="24"/>
          <w:szCs w:val="22"/>
        </w:rPr>
        <w:t xml:space="preserve">The PID </w:t>
      </w:r>
      <w:r w:rsidR="00561396">
        <w:rPr>
          <w:rFonts w:cs="Arial"/>
          <w:sz w:val="24"/>
          <w:szCs w:val="22"/>
        </w:rPr>
        <w:t>Coordinator</w:t>
      </w:r>
      <w:r w:rsidRPr="00E0173F">
        <w:rPr>
          <w:rFonts w:cs="Arial"/>
          <w:sz w:val="24"/>
          <w:szCs w:val="22"/>
        </w:rPr>
        <w:t xml:space="preserve"> will consult with the Human Rights Commissioner to determine whether a support officer ought be appointed, and if so, to determine who the support </w:t>
      </w:r>
      <w:r w:rsidRPr="00E0173F">
        <w:rPr>
          <w:rFonts w:cs="Arial"/>
          <w:sz w:val="24"/>
          <w:szCs w:val="22"/>
        </w:rPr>
        <w:lastRenderedPageBreak/>
        <w:t>officer might be (e.g. the discloser’s line manager or another officer such as an Equity Contact Officer).  The nominated support officer will be briefed about the role of the support officer and about the disclosure.</w:t>
      </w:r>
    </w:p>
    <w:p w14:paraId="71C76E8D" w14:textId="77777777" w:rsidR="006B0442" w:rsidRPr="00E0173F" w:rsidRDefault="006B0442" w:rsidP="006B0442">
      <w:pPr>
        <w:spacing w:after="120"/>
        <w:rPr>
          <w:rFonts w:cs="Arial"/>
          <w:sz w:val="24"/>
          <w:szCs w:val="22"/>
        </w:rPr>
      </w:pPr>
      <w:r w:rsidRPr="00E0173F">
        <w:rPr>
          <w:rFonts w:cs="Arial"/>
          <w:sz w:val="24"/>
          <w:szCs w:val="22"/>
        </w:rPr>
        <w:t xml:space="preserve">If you feel that you may need support as a result of making a disclosure, you are urged to contact the PID </w:t>
      </w:r>
      <w:r w:rsidR="00561396">
        <w:rPr>
          <w:rFonts w:cs="Arial"/>
          <w:sz w:val="24"/>
          <w:szCs w:val="22"/>
        </w:rPr>
        <w:t>Coordinator</w:t>
      </w:r>
      <w:r w:rsidRPr="00E0173F">
        <w:rPr>
          <w:rFonts w:cs="Arial"/>
          <w:sz w:val="24"/>
          <w:szCs w:val="22"/>
        </w:rPr>
        <w:t>.</w:t>
      </w:r>
    </w:p>
    <w:p w14:paraId="0AE914CE" w14:textId="77777777" w:rsidR="006B0442" w:rsidRPr="00E0173F" w:rsidRDefault="006B0442" w:rsidP="006B0442">
      <w:pPr>
        <w:spacing w:after="120"/>
        <w:rPr>
          <w:rFonts w:cs="Arial"/>
          <w:sz w:val="24"/>
          <w:szCs w:val="22"/>
        </w:rPr>
      </w:pPr>
      <w:r w:rsidRPr="00E0173F">
        <w:rPr>
          <w:rFonts w:cs="Arial"/>
          <w:sz w:val="24"/>
          <w:szCs w:val="22"/>
        </w:rPr>
        <w:t>All managers in the Queensland Human Rights Commission are under an obligation to notify the Human Rights Commissioner if they believe any staff member is suffering detriment as a result of reporting a wrongdoing.</w:t>
      </w:r>
    </w:p>
    <w:p w14:paraId="2ACFE6CC" w14:textId="77777777" w:rsidR="006B0442" w:rsidRDefault="006B0442" w:rsidP="006B0442">
      <w:pPr>
        <w:pStyle w:val="Heading2"/>
      </w:pPr>
      <w:bookmarkStart w:id="50" w:name="_Toc59022046"/>
      <w:bookmarkStart w:id="51" w:name="_Toc59022809"/>
      <w:r>
        <w:t>Protection of disclosers</w:t>
      </w:r>
      <w:bookmarkEnd w:id="50"/>
      <w:bookmarkEnd w:id="51"/>
    </w:p>
    <w:p w14:paraId="04D5F049" w14:textId="77777777" w:rsidR="00EE6CAC" w:rsidRPr="00EE6CAC" w:rsidRDefault="00EE6CAC" w:rsidP="00EE6CAC"/>
    <w:p w14:paraId="1E6FE1A2" w14:textId="77777777" w:rsidR="006B0442" w:rsidRPr="00E0173F" w:rsidRDefault="006B0442" w:rsidP="006B0442">
      <w:pPr>
        <w:spacing w:after="120"/>
        <w:rPr>
          <w:rFonts w:cs="Arial"/>
          <w:sz w:val="24"/>
          <w:szCs w:val="22"/>
        </w:rPr>
      </w:pPr>
      <w:r w:rsidRPr="00E0173F">
        <w:rPr>
          <w:rFonts w:cs="Arial"/>
          <w:sz w:val="24"/>
          <w:szCs w:val="22"/>
        </w:rPr>
        <w:t>You should not suffer any form of detrimental action as a result of making a disclosure, including:</w:t>
      </w:r>
    </w:p>
    <w:p w14:paraId="452FD7C5"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unfair treatment;</w:t>
      </w:r>
    </w:p>
    <w:p w14:paraId="57758B30"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harassment;</w:t>
      </w:r>
    </w:p>
    <w:p w14:paraId="53699C7C"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intimidation;</w:t>
      </w:r>
    </w:p>
    <w:p w14:paraId="15A5180B"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victimisation; or</w:t>
      </w:r>
    </w:p>
    <w:p w14:paraId="79980D0C"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unlawful discrimination.</w:t>
      </w:r>
    </w:p>
    <w:p w14:paraId="59398842" w14:textId="77777777" w:rsidR="006B0442" w:rsidRPr="00E0173F" w:rsidRDefault="006B0442" w:rsidP="006B0442">
      <w:pPr>
        <w:spacing w:after="120"/>
        <w:rPr>
          <w:rFonts w:cs="Arial"/>
          <w:sz w:val="24"/>
          <w:szCs w:val="22"/>
        </w:rPr>
      </w:pPr>
      <w:r w:rsidRPr="00E0173F">
        <w:rPr>
          <w:rFonts w:cs="Arial"/>
          <w:sz w:val="24"/>
          <w:szCs w:val="22"/>
        </w:rPr>
        <w:t>We will conduct a risk assessment to assess the likelihood that you or another person (such as a witness or affected third party) suffering reprisal action as a result of the disclosure.</w:t>
      </w:r>
    </w:p>
    <w:p w14:paraId="0F2D3268" w14:textId="77777777" w:rsidR="006B0442" w:rsidRPr="00E0173F" w:rsidRDefault="006B0442" w:rsidP="006B0442">
      <w:pPr>
        <w:spacing w:after="120"/>
        <w:rPr>
          <w:rFonts w:cs="Arial"/>
          <w:sz w:val="24"/>
          <w:szCs w:val="22"/>
        </w:rPr>
      </w:pPr>
      <w:r w:rsidRPr="00E0173F">
        <w:rPr>
          <w:rFonts w:cs="Arial"/>
          <w:sz w:val="24"/>
          <w:szCs w:val="22"/>
        </w:rPr>
        <w:t>The Queensland Human Rights Commission is committed to ensuring that no disciplinary or adverse action, including workplace reprisals by managers, occurs as a result of you making a disclosure.</w:t>
      </w:r>
    </w:p>
    <w:p w14:paraId="53F37EDF" w14:textId="77777777" w:rsidR="006B0442" w:rsidRPr="00E0173F" w:rsidRDefault="006B0442" w:rsidP="006B0442">
      <w:pPr>
        <w:spacing w:after="120"/>
        <w:rPr>
          <w:rFonts w:cs="Arial"/>
          <w:sz w:val="24"/>
          <w:szCs w:val="22"/>
        </w:rPr>
      </w:pPr>
      <w:r w:rsidRPr="00E0173F">
        <w:rPr>
          <w:rFonts w:cs="Arial"/>
          <w:sz w:val="24"/>
          <w:szCs w:val="22"/>
        </w:rPr>
        <w:t>If any of the above does occur, you have the right to request that we take positive action to protect you.  Tell the person who is handling your disclosure immediately.  All managers must notify the Human Rights Commissioner of any allegations of reprisal action against a discloser, or if they themselves suspect that reprisal action against a discloser is occurring.</w:t>
      </w:r>
    </w:p>
    <w:p w14:paraId="3F57089A" w14:textId="77777777" w:rsidR="006B0442" w:rsidRDefault="006B0442" w:rsidP="006B0442">
      <w:pPr>
        <w:pStyle w:val="Heading2"/>
      </w:pPr>
      <w:bookmarkStart w:id="52" w:name="_Toc59022047"/>
      <w:bookmarkStart w:id="53" w:name="_Toc59022810"/>
      <w:r>
        <w:t>Confidentiality</w:t>
      </w:r>
      <w:bookmarkEnd w:id="52"/>
      <w:bookmarkEnd w:id="53"/>
    </w:p>
    <w:p w14:paraId="08F1E2C0" w14:textId="77777777" w:rsidR="00EE6CAC" w:rsidRPr="00EE6CAC" w:rsidRDefault="00EE6CAC" w:rsidP="00EE6CAC"/>
    <w:p w14:paraId="42949B51" w14:textId="77777777" w:rsidR="006B0442" w:rsidRPr="00E0173F" w:rsidRDefault="006B0442" w:rsidP="006B0442">
      <w:pPr>
        <w:spacing w:after="120"/>
        <w:rPr>
          <w:rFonts w:cs="Arial"/>
          <w:sz w:val="24"/>
          <w:szCs w:val="22"/>
        </w:rPr>
      </w:pPr>
      <w:r w:rsidRPr="00E0173F">
        <w:rPr>
          <w:rFonts w:cs="Arial"/>
          <w:sz w:val="24"/>
          <w:szCs w:val="22"/>
        </w:rPr>
        <w:t>Maintaining confidentiality is very important in the handling of a disclosure. Confidentiality not only protects you, the discloser, against reprisals, but any other people affected by your disclosure.</w:t>
      </w:r>
    </w:p>
    <w:p w14:paraId="5A175BC6" w14:textId="77777777" w:rsidR="006B0442" w:rsidRPr="00E0173F" w:rsidRDefault="006B0442" w:rsidP="006B0442">
      <w:pPr>
        <w:spacing w:after="120"/>
        <w:rPr>
          <w:rFonts w:cs="Arial"/>
          <w:sz w:val="24"/>
          <w:szCs w:val="22"/>
        </w:rPr>
      </w:pPr>
      <w:r w:rsidRPr="00E0173F">
        <w:rPr>
          <w:rFonts w:cs="Arial"/>
          <w:sz w:val="24"/>
          <w:szCs w:val="22"/>
        </w:rPr>
        <w:t>When we talk about confidential information, what we mean is:</w:t>
      </w:r>
    </w:p>
    <w:p w14:paraId="4D28A39B"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the fact a disclosure has been made;</w:t>
      </w:r>
    </w:p>
    <w:p w14:paraId="2B1941A2"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any information that may identify you or any person who may be the subject of a disclosure;</w:t>
      </w:r>
    </w:p>
    <w:p w14:paraId="02F7B2E8"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the actual information that has been disclosed; and</w:t>
      </w:r>
    </w:p>
    <w:p w14:paraId="73971398"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information relating to the disclosure that, if known, may cause detriment.</w:t>
      </w:r>
    </w:p>
    <w:p w14:paraId="05D79999" w14:textId="77777777" w:rsidR="006B0442" w:rsidRPr="00E0173F" w:rsidRDefault="006B0442" w:rsidP="006B0442">
      <w:pPr>
        <w:spacing w:after="120"/>
        <w:rPr>
          <w:rFonts w:cs="Arial"/>
          <w:sz w:val="24"/>
          <w:szCs w:val="22"/>
        </w:rPr>
      </w:pPr>
      <w:r w:rsidRPr="00E0173F">
        <w:rPr>
          <w:rFonts w:cs="Arial"/>
          <w:sz w:val="24"/>
          <w:szCs w:val="22"/>
        </w:rPr>
        <w:t>In protecting your confidentiality, we will ensure that the details of your disclosure, the investigation and related decisions will be kept secure.</w:t>
      </w:r>
    </w:p>
    <w:p w14:paraId="3B2C31DD" w14:textId="77777777" w:rsidR="006B0442" w:rsidRPr="00E0173F" w:rsidRDefault="006B0442" w:rsidP="006B0442">
      <w:pPr>
        <w:spacing w:after="120"/>
        <w:rPr>
          <w:rFonts w:cs="Arial"/>
          <w:sz w:val="24"/>
          <w:szCs w:val="22"/>
        </w:rPr>
      </w:pPr>
      <w:r w:rsidRPr="00E0173F">
        <w:rPr>
          <w:rFonts w:cs="Arial"/>
          <w:sz w:val="24"/>
          <w:szCs w:val="22"/>
        </w:rPr>
        <w:t xml:space="preserve">Be aware that, while every attempt to protect confidentiality will be made, there will be occasions when disclosure of your identity </w:t>
      </w:r>
      <w:r w:rsidRPr="00E0173F">
        <w:rPr>
          <w:rFonts w:cs="Arial"/>
          <w:sz w:val="24"/>
          <w:szCs w:val="22"/>
          <w:u w:val="single"/>
        </w:rPr>
        <w:t>may</w:t>
      </w:r>
      <w:r w:rsidRPr="00E0173F">
        <w:rPr>
          <w:rFonts w:cs="Arial"/>
          <w:sz w:val="24"/>
          <w:szCs w:val="22"/>
        </w:rPr>
        <w:t xml:space="preserve"> be necessary.  These include:</w:t>
      </w:r>
    </w:p>
    <w:p w14:paraId="2981B65D"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providing natural justice to the subject officer;</w:t>
      </w:r>
    </w:p>
    <w:p w14:paraId="703DE7C5"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lastRenderedPageBreak/>
        <w:t xml:space="preserve">responding to a court order or legal directive (e.g. subpoena, notice to produce, direction by a parliamentary committee); </w:t>
      </w:r>
    </w:p>
    <w:p w14:paraId="11F1768B"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in court proceedings; and</w:t>
      </w:r>
    </w:p>
    <w:p w14:paraId="775D5D47"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complying with this policy (e.g. consulting the Human Rights Commissioner about support person; reporting to the Human Rights Commissioner; informing the Human Rights Commissioner or business unit manager to improve systems and procedures; reporting conflicts of interest)</w:t>
      </w:r>
    </w:p>
    <w:p w14:paraId="53D06221" w14:textId="77777777" w:rsidR="006B0442" w:rsidRPr="00E0173F" w:rsidRDefault="006B0442" w:rsidP="006B0442">
      <w:pPr>
        <w:spacing w:after="120"/>
        <w:rPr>
          <w:rFonts w:cs="Arial"/>
          <w:sz w:val="24"/>
          <w:szCs w:val="22"/>
        </w:rPr>
      </w:pPr>
      <w:r w:rsidRPr="00E0173F">
        <w:rPr>
          <w:rFonts w:cs="Arial"/>
          <w:sz w:val="24"/>
          <w:szCs w:val="22"/>
        </w:rPr>
        <w:t>We will advise you if your identity needs to be revealed for any reason listed above and seek your consent, if possible.  We will attempt as far as possible to avoid a situation where your identity will need to be revealed even though you have not given consent.</w:t>
      </w:r>
    </w:p>
    <w:p w14:paraId="7C517735" w14:textId="77777777" w:rsidR="006B0442" w:rsidRPr="00E0173F" w:rsidRDefault="006B0442" w:rsidP="006B0442">
      <w:pPr>
        <w:spacing w:after="120"/>
        <w:rPr>
          <w:rFonts w:cs="Arial"/>
          <w:sz w:val="24"/>
          <w:szCs w:val="22"/>
        </w:rPr>
      </w:pPr>
      <w:r w:rsidRPr="00E0173F">
        <w:rPr>
          <w:rFonts w:cs="Arial"/>
          <w:sz w:val="24"/>
          <w:szCs w:val="22"/>
        </w:rPr>
        <w:t>While we are prepared to take all steps necessary to protect the confidentiality of the information that you have provided, you also have some obligations.  The fewer people who know about your disclosure – both before and after you make it – the more likely it is that we will be able to keep your identity confidential and protect you from any detrimental action in reprisal.  We encourage you not to talk about your disclosure to your work colleagues or any other unauthorised person.</w:t>
      </w:r>
    </w:p>
    <w:p w14:paraId="5C5729AF" w14:textId="77777777" w:rsidR="006B0442" w:rsidRDefault="006B0442" w:rsidP="006B0442">
      <w:pPr>
        <w:rPr>
          <w:rFonts w:cs="Arial"/>
          <w:sz w:val="24"/>
          <w:szCs w:val="22"/>
        </w:rPr>
      </w:pPr>
      <w:r w:rsidRPr="00E0173F">
        <w:rPr>
          <w:rFonts w:cs="Arial"/>
          <w:sz w:val="24"/>
          <w:szCs w:val="22"/>
        </w:rPr>
        <w:t>We will ensure that all record keeping and reporting will be done in accordance with legislative and administrative requirements of the Act</w:t>
      </w:r>
      <w:r>
        <w:rPr>
          <w:rFonts w:cs="Arial"/>
          <w:sz w:val="24"/>
          <w:szCs w:val="22"/>
        </w:rPr>
        <w:t>.</w:t>
      </w:r>
    </w:p>
    <w:p w14:paraId="16E6FB1D" w14:textId="77777777" w:rsidR="006B0442" w:rsidRDefault="006B0442" w:rsidP="006B0442"/>
    <w:p w14:paraId="363C4786" w14:textId="77777777" w:rsidR="006B0442" w:rsidRDefault="006B0442" w:rsidP="006B0442">
      <w:pPr>
        <w:pStyle w:val="Heading1"/>
      </w:pPr>
      <w:bookmarkStart w:id="54" w:name="_Toc59022811"/>
      <w:r>
        <w:t>Responding to reprisals</w:t>
      </w:r>
      <w:bookmarkEnd w:id="54"/>
    </w:p>
    <w:p w14:paraId="4190BE2A" w14:textId="77777777" w:rsidR="00EE6CAC" w:rsidRPr="00EE6CAC" w:rsidRDefault="00EE6CAC" w:rsidP="00EE6CAC"/>
    <w:p w14:paraId="68DC2CF8" w14:textId="77777777" w:rsidR="006B0442" w:rsidRPr="00E0173F" w:rsidRDefault="006B0442" w:rsidP="006B0442">
      <w:pPr>
        <w:spacing w:after="120"/>
        <w:rPr>
          <w:rFonts w:cs="Arial"/>
          <w:sz w:val="24"/>
          <w:szCs w:val="22"/>
        </w:rPr>
      </w:pPr>
      <w:r w:rsidRPr="00E0173F">
        <w:rPr>
          <w:rFonts w:cs="Arial"/>
          <w:sz w:val="24"/>
          <w:szCs w:val="22"/>
        </w:rPr>
        <w:t>If we become aware of reprisal action against you, we will take immediate steps to ensure a senior and experienced officer who has not been involved in dealing with your initial disclosure will investigate your concerns of reprisal.  You will be kept informed of the progress of the investigation and outcome.</w:t>
      </w:r>
    </w:p>
    <w:p w14:paraId="61B60C85" w14:textId="77777777" w:rsidR="006B0442" w:rsidRPr="00E0173F" w:rsidRDefault="006B0442" w:rsidP="006B0442">
      <w:pPr>
        <w:spacing w:after="120"/>
        <w:rPr>
          <w:rFonts w:cs="Arial"/>
          <w:sz w:val="24"/>
          <w:szCs w:val="22"/>
        </w:rPr>
      </w:pPr>
      <w:r w:rsidRPr="00E0173F">
        <w:rPr>
          <w:rFonts w:cs="Arial"/>
          <w:sz w:val="24"/>
          <w:szCs w:val="22"/>
        </w:rPr>
        <w:t>Where we establish that reprisal action is occurring, we will take all steps possible to stop that activity and protect you.  The nature of the action that we will take is dependent upon the circumstances and seriousness of the reprisals that you are likely to suffer.</w:t>
      </w:r>
    </w:p>
    <w:p w14:paraId="200B2FC6" w14:textId="77777777" w:rsidR="006B0442" w:rsidRPr="00E0173F" w:rsidRDefault="006B0442" w:rsidP="006B0442">
      <w:pPr>
        <w:spacing w:after="120"/>
        <w:rPr>
          <w:rFonts w:cs="Arial"/>
          <w:sz w:val="24"/>
          <w:szCs w:val="22"/>
        </w:rPr>
      </w:pPr>
      <w:r w:rsidRPr="00E0173F">
        <w:rPr>
          <w:rFonts w:cs="Arial"/>
          <w:sz w:val="24"/>
          <w:szCs w:val="22"/>
        </w:rPr>
        <w:t>Any employees found to have engaged in reprisals will be the subject of disciplinary action.</w:t>
      </w:r>
    </w:p>
    <w:p w14:paraId="68347028" w14:textId="77777777" w:rsidR="006B0442" w:rsidRDefault="006B0442" w:rsidP="006B0442">
      <w:pPr>
        <w:spacing w:after="120"/>
        <w:rPr>
          <w:rFonts w:cs="Arial"/>
          <w:sz w:val="22"/>
          <w:szCs w:val="22"/>
        </w:rPr>
      </w:pPr>
      <w:r w:rsidRPr="00E0173F">
        <w:rPr>
          <w:rFonts w:cs="Arial"/>
          <w:sz w:val="24"/>
          <w:szCs w:val="22"/>
        </w:rPr>
        <w:t>Making a PID does not protect you from any management, disciplinary or criminal action if you have been involved in improper conduct or your performance is unsatisfactory</w:t>
      </w:r>
      <w:r w:rsidRPr="008B27C3">
        <w:rPr>
          <w:rFonts w:cs="Arial"/>
          <w:sz w:val="22"/>
          <w:szCs w:val="22"/>
        </w:rPr>
        <w:t>.</w:t>
      </w:r>
    </w:p>
    <w:p w14:paraId="3EBF9555" w14:textId="77777777" w:rsidR="006B0442" w:rsidRDefault="006B0442" w:rsidP="006B0442"/>
    <w:p w14:paraId="56D0BFCF" w14:textId="77777777" w:rsidR="006B0442" w:rsidRDefault="006B0442" w:rsidP="006B0442">
      <w:pPr>
        <w:pStyle w:val="Heading1"/>
      </w:pPr>
      <w:bookmarkStart w:id="55" w:name="_Toc59022812"/>
      <w:r>
        <w:t>Investigating a PID</w:t>
      </w:r>
      <w:bookmarkEnd w:id="55"/>
    </w:p>
    <w:p w14:paraId="215B518D" w14:textId="77777777" w:rsidR="00EE6CAC" w:rsidRPr="00EE6CAC" w:rsidRDefault="00EE6CAC" w:rsidP="00EE6CAC"/>
    <w:p w14:paraId="47545089" w14:textId="77777777" w:rsidR="006B0442" w:rsidRPr="00E0173F" w:rsidRDefault="006B0442" w:rsidP="006B0442">
      <w:pPr>
        <w:spacing w:after="120"/>
        <w:rPr>
          <w:rFonts w:cs="Arial"/>
          <w:sz w:val="24"/>
          <w:szCs w:val="22"/>
        </w:rPr>
      </w:pPr>
      <w:r w:rsidRPr="00E0173F">
        <w:rPr>
          <w:rFonts w:cs="Arial"/>
          <w:sz w:val="24"/>
          <w:szCs w:val="22"/>
        </w:rPr>
        <w:t>If we decide to investigate a PID, this will be done with consideration for the:</w:t>
      </w:r>
    </w:p>
    <w:p w14:paraId="08A26819"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principals of natural justice</w:t>
      </w:r>
    </w:p>
    <w:p w14:paraId="59802FC4"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obligation under the PID Act to protect confidential information</w:t>
      </w:r>
    </w:p>
    <w:p w14:paraId="25B5643F"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obligation under the PID Act to protect officers from reprisal</w:t>
      </w:r>
    </w:p>
    <w:p w14:paraId="3AD389E5"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interests of subject officers.</w:t>
      </w:r>
    </w:p>
    <w:p w14:paraId="605DFB31" w14:textId="77777777" w:rsidR="006B0442" w:rsidRPr="00E0173F" w:rsidRDefault="006B0442" w:rsidP="006B0442">
      <w:pPr>
        <w:spacing w:after="120"/>
        <w:rPr>
          <w:rFonts w:cs="Arial"/>
          <w:sz w:val="24"/>
          <w:szCs w:val="22"/>
        </w:rPr>
      </w:pPr>
      <w:r w:rsidRPr="00E0173F">
        <w:rPr>
          <w:rFonts w:cs="Arial"/>
          <w:sz w:val="24"/>
          <w:szCs w:val="22"/>
        </w:rPr>
        <w:t>If as a result of investigation the information of wrongdoing provided in the PID is substantiated, appropriate action will be taken.</w:t>
      </w:r>
    </w:p>
    <w:p w14:paraId="107A8150" w14:textId="77777777" w:rsidR="006B0442" w:rsidRPr="00E0173F" w:rsidRDefault="006B0442" w:rsidP="006B0442">
      <w:pPr>
        <w:spacing w:after="120"/>
        <w:rPr>
          <w:rFonts w:cs="Arial"/>
          <w:sz w:val="24"/>
          <w:szCs w:val="22"/>
        </w:rPr>
      </w:pPr>
      <w:r w:rsidRPr="00E0173F">
        <w:rPr>
          <w:rFonts w:cs="Arial"/>
          <w:sz w:val="24"/>
          <w:szCs w:val="22"/>
        </w:rPr>
        <w:t>Where the investigation does not substantiate wrongdoing, we will review systems, policies, and procedures to identify whether improvements should be made, and we will consider whether staff training is required.</w:t>
      </w:r>
    </w:p>
    <w:p w14:paraId="46BF8CDD" w14:textId="77777777" w:rsidR="006B0442" w:rsidRDefault="006B0442" w:rsidP="006B0442"/>
    <w:p w14:paraId="3D8BD9F8" w14:textId="77777777" w:rsidR="006B0442" w:rsidRDefault="006B0442" w:rsidP="006B0442">
      <w:pPr>
        <w:pStyle w:val="Heading1"/>
      </w:pPr>
      <w:bookmarkStart w:id="56" w:name="_Toc59022813"/>
      <w:r>
        <w:lastRenderedPageBreak/>
        <w:t>What if a PID is made about me?</w:t>
      </w:r>
      <w:bookmarkEnd w:id="56"/>
    </w:p>
    <w:p w14:paraId="3935D736" w14:textId="77777777" w:rsidR="00EE6CAC" w:rsidRPr="00EE6CAC" w:rsidRDefault="00EE6CAC" w:rsidP="00EE6CAC"/>
    <w:p w14:paraId="618DFD78" w14:textId="77777777" w:rsidR="006B0442" w:rsidRPr="00E0173F" w:rsidRDefault="006B0442" w:rsidP="006B0442">
      <w:pPr>
        <w:spacing w:after="120"/>
        <w:rPr>
          <w:rFonts w:cs="Arial"/>
          <w:sz w:val="24"/>
          <w:szCs w:val="22"/>
        </w:rPr>
      </w:pPr>
      <w:r w:rsidRPr="00E0173F">
        <w:rPr>
          <w:rFonts w:cs="Arial"/>
          <w:sz w:val="24"/>
          <w:szCs w:val="22"/>
        </w:rPr>
        <w:t>We are committed to treating disclosures fairly.  The rights of any person who is the subject of, or is associated with a disclosure, are important.  If a PID is made against you, you are entitled to confidentiality and the presumption of innocence.</w:t>
      </w:r>
    </w:p>
    <w:p w14:paraId="1F41D00B" w14:textId="77777777" w:rsidR="006B0442" w:rsidRDefault="006B0442" w:rsidP="006B0442">
      <w:pPr>
        <w:spacing w:after="120"/>
        <w:rPr>
          <w:rFonts w:cs="Arial"/>
          <w:sz w:val="24"/>
          <w:szCs w:val="22"/>
        </w:rPr>
      </w:pPr>
      <w:r w:rsidRPr="00E0173F">
        <w:rPr>
          <w:rFonts w:cs="Arial"/>
          <w:sz w:val="24"/>
          <w:szCs w:val="22"/>
        </w:rPr>
        <w:t>The PID will be dealt with impartially, fairly, and reasonably, in accordance with the principles of natural justice.</w:t>
      </w:r>
    </w:p>
    <w:p w14:paraId="3AD6FB9B" w14:textId="77777777" w:rsidR="006B0442" w:rsidRPr="00E0173F" w:rsidRDefault="006B0442" w:rsidP="006B0442">
      <w:pPr>
        <w:spacing w:after="120"/>
        <w:rPr>
          <w:rFonts w:cs="Arial"/>
          <w:sz w:val="24"/>
          <w:szCs w:val="22"/>
        </w:rPr>
      </w:pPr>
      <w:r w:rsidRPr="00E0173F">
        <w:rPr>
          <w:rFonts w:cs="Arial"/>
          <w:sz w:val="24"/>
          <w:szCs w:val="22"/>
        </w:rPr>
        <w:t>Employees who are the subject of a PID may seek assistance from their legal representative or union and may also wish to contact the Employee Assistance Service for advice and support.</w:t>
      </w:r>
    </w:p>
    <w:p w14:paraId="647F3955" w14:textId="77777777" w:rsidR="006B0442" w:rsidRPr="00E0173F" w:rsidRDefault="006B0442" w:rsidP="006B0442">
      <w:pPr>
        <w:spacing w:after="120"/>
        <w:rPr>
          <w:rFonts w:cs="Arial"/>
          <w:sz w:val="24"/>
          <w:szCs w:val="22"/>
        </w:rPr>
      </w:pPr>
      <w:r w:rsidRPr="00E0173F">
        <w:rPr>
          <w:rFonts w:cs="Arial"/>
          <w:sz w:val="24"/>
          <w:szCs w:val="22"/>
        </w:rPr>
        <w:t>All employees should remember their responsibilities under the Code of Conduct.  Employees who participate in any investigation are performing their duty as required under the Code.  They should not be treated adversely because of their involvement, and any employees found to have engaged in reprisals will be the subject of disciplinary action.</w:t>
      </w:r>
    </w:p>
    <w:p w14:paraId="7FC74B6A" w14:textId="77777777" w:rsidR="006B0442" w:rsidRDefault="006B0442" w:rsidP="006B0442">
      <w:pPr>
        <w:pStyle w:val="Heading1"/>
      </w:pPr>
      <w:bookmarkStart w:id="57" w:name="_Toc59022814"/>
      <w:r>
        <w:t>Record-keeping and reporting</w:t>
      </w:r>
      <w:bookmarkEnd w:id="57"/>
    </w:p>
    <w:p w14:paraId="1BA52409" w14:textId="77777777" w:rsidR="00EE6CAC" w:rsidRPr="00EE6CAC" w:rsidRDefault="00EE6CAC" w:rsidP="00EE6CAC"/>
    <w:p w14:paraId="296430EE" w14:textId="77777777" w:rsidR="006B0442" w:rsidRPr="00E0173F" w:rsidRDefault="006B0442" w:rsidP="006B0442">
      <w:pPr>
        <w:spacing w:after="120"/>
        <w:rPr>
          <w:rFonts w:cs="Arial"/>
          <w:sz w:val="24"/>
          <w:szCs w:val="22"/>
        </w:rPr>
      </w:pPr>
      <w:r w:rsidRPr="00E0173F">
        <w:rPr>
          <w:rFonts w:cs="Arial"/>
          <w:sz w:val="24"/>
          <w:szCs w:val="22"/>
        </w:rPr>
        <w:t>In accordance with its obligations under the PID Act, the Queensland Human Rights Commission will ensure that accurate data is collected about the receipt and management of PIDs.</w:t>
      </w:r>
    </w:p>
    <w:p w14:paraId="03B5F521" w14:textId="77777777" w:rsidR="006B0442" w:rsidRPr="00E0173F" w:rsidRDefault="006B0442" w:rsidP="006B0442">
      <w:pPr>
        <w:spacing w:after="120"/>
        <w:rPr>
          <w:rFonts w:cs="Arial"/>
          <w:sz w:val="24"/>
          <w:szCs w:val="22"/>
        </w:rPr>
      </w:pPr>
      <w:r w:rsidRPr="00E0173F">
        <w:rPr>
          <w:rFonts w:cs="Arial"/>
          <w:sz w:val="24"/>
          <w:szCs w:val="22"/>
        </w:rPr>
        <w:t>Records about disclosures, investigations, and related decisions will be kept secure and accessible only to appropriately authorised people involved in the management of the PID and in managing records.</w:t>
      </w:r>
    </w:p>
    <w:p w14:paraId="76899E38" w14:textId="77777777" w:rsidR="006B0442" w:rsidRPr="00E0173F" w:rsidRDefault="006B0442" w:rsidP="006B0442">
      <w:pPr>
        <w:spacing w:after="120"/>
        <w:rPr>
          <w:rFonts w:cs="Arial"/>
          <w:sz w:val="24"/>
          <w:szCs w:val="22"/>
        </w:rPr>
      </w:pPr>
      <w:r w:rsidRPr="00E0173F">
        <w:rPr>
          <w:rFonts w:cs="Arial"/>
          <w:sz w:val="24"/>
          <w:szCs w:val="22"/>
        </w:rPr>
        <w:t>The Queensland Human Rights Commission will provide relevant information to the oversight agency through completion of the Public Interest Disclosure database which is managed by the Queensland Ombudsman.  The following information will be reported to the oversight agency, as well as to the Human Rights Commissioner, on a case by case basis:</w:t>
      </w:r>
    </w:p>
    <w:p w14:paraId="1887C322"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date of receipt of disclosure and from where it was received;</w:t>
      </w:r>
    </w:p>
    <w:p w14:paraId="2B559B56"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status of the discloser;</w:t>
      </w:r>
    </w:p>
    <w:p w14:paraId="0E34FDA0"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gender and status of the subject officer;</w:t>
      </w:r>
    </w:p>
    <w:p w14:paraId="21F28C43"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relationship between the discloser and the subject officer;</w:t>
      </w:r>
    </w:p>
    <w:p w14:paraId="70FBB576"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location of the subject officer;</w:t>
      </w:r>
    </w:p>
    <w:p w14:paraId="036D68E1"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summary of the allegation / information received;</w:t>
      </w:r>
    </w:p>
    <w:p w14:paraId="175D40B4"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any involvement of an external agency;</w:t>
      </w:r>
    </w:p>
    <w:p w14:paraId="6F87FF5F"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any action taken to minimise the risk of reprisal;</w:t>
      </w:r>
    </w:p>
    <w:p w14:paraId="4F5CD260"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dates the inquiry / investigation commenced and completed;</w:t>
      </w:r>
    </w:p>
    <w:p w14:paraId="36FF9840"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outcome of assessment, inquiry / investigation;</w:t>
      </w:r>
    </w:p>
    <w:p w14:paraId="06808DE5"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date PID resolved or closed;</w:t>
      </w:r>
    </w:p>
    <w:p w14:paraId="0CD037FA"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when the outcome was advised to the discloser;</w:t>
      </w:r>
    </w:p>
    <w:p w14:paraId="2B0024A0"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if no action was taken, the reason for the decision;</w:t>
      </w:r>
    </w:p>
    <w:p w14:paraId="3F89C772"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any other legal processes associated with the disclosure.</w:t>
      </w:r>
    </w:p>
    <w:p w14:paraId="23B53888" w14:textId="77777777" w:rsidR="006B0442" w:rsidRPr="00E0173F" w:rsidRDefault="006B0442" w:rsidP="006B0442">
      <w:pPr>
        <w:spacing w:after="120"/>
        <w:rPr>
          <w:rFonts w:cs="Arial"/>
          <w:sz w:val="24"/>
          <w:szCs w:val="22"/>
        </w:rPr>
      </w:pPr>
      <w:r w:rsidRPr="00E0173F">
        <w:rPr>
          <w:rFonts w:cs="Arial"/>
          <w:sz w:val="24"/>
          <w:szCs w:val="22"/>
        </w:rPr>
        <w:t xml:space="preserve">The PID </w:t>
      </w:r>
      <w:r w:rsidR="00561396">
        <w:rPr>
          <w:rFonts w:cs="Arial"/>
          <w:sz w:val="24"/>
          <w:szCs w:val="22"/>
        </w:rPr>
        <w:t>Coordinator</w:t>
      </w:r>
      <w:r w:rsidRPr="00E0173F">
        <w:rPr>
          <w:rFonts w:cs="Arial"/>
          <w:sz w:val="24"/>
          <w:szCs w:val="22"/>
        </w:rPr>
        <w:t xml:space="preserve"> will also report to the Human Rights Commissioner:</w:t>
      </w:r>
    </w:p>
    <w:p w14:paraId="7A468442"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any systemic issues identified;</w:t>
      </w:r>
    </w:p>
    <w:p w14:paraId="7E4CC36C"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lastRenderedPageBreak/>
        <w:t>the time take to deal with disclosures / allegations;</w:t>
      </w:r>
    </w:p>
    <w:p w14:paraId="61F1F25B" w14:textId="77777777" w:rsidR="006B0442" w:rsidRPr="00E0173F" w:rsidRDefault="006B0442" w:rsidP="006B0442">
      <w:pPr>
        <w:numPr>
          <w:ilvl w:val="0"/>
          <w:numId w:val="21"/>
        </w:numPr>
        <w:spacing w:after="120"/>
        <w:rPr>
          <w:rFonts w:cs="Arial"/>
          <w:sz w:val="24"/>
          <w:szCs w:val="22"/>
        </w:rPr>
      </w:pPr>
      <w:r w:rsidRPr="00E0173F">
        <w:rPr>
          <w:rFonts w:cs="Arial"/>
          <w:sz w:val="24"/>
          <w:szCs w:val="22"/>
        </w:rPr>
        <w:t>any significant issues to inform improvements to service delivery, business processes and internal controls.</w:t>
      </w:r>
    </w:p>
    <w:p w14:paraId="19EB6B19" w14:textId="77777777" w:rsidR="006B0442" w:rsidRPr="00E0173F" w:rsidRDefault="006B0442" w:rsidP="006B0442">
      <w:pPr>
        <w:spacing w:after="120"/>
        <w:rPr>
          <w:rFonts w:cs="Arial"/>
          <w:sz w:val="24"/>
          <w:szCs w:val="22"/>
        </w:rPr>
      </w:pPr>
      <w:r w:rsidRPr="00E0173F">
        <w:rPr>
          <w:rFonts w:cs="Arial"/>
          <w:sz w:val="24"/>
          <w:szCs w:val="22"/>
        </w:rPr>
        <w:t xml:space="preserve">The PID </w:t>
      </w:r>
      <w:r w:rsidR="00561396">
        <w:rPr>
          <w:rFonts w:cs="Arial"/>
          <w:sz w:val="24"/>
          <w:szCs w:val="22"/>
        </w:rPr>
        <w:t>Coordinator</w:t>
      </w:r>
      <w:r w:rsidRPr="00E0173F">
        <w:rPr>
          <w:rFonts w:cs="Arial"/>
          <w:sz w:val="24"/>
          <w:szCs w:val="22"/>
        </w:rPr>
        <w:t xml:space="preserve"> will also inform the manager of the relevant business unit of any identified deficit in service delivery, business processes and internal controls.</w:t>
      </w:r>
    </w:p>
    <w:p w14:paraId="77784FFB" w14:textId="77777777" w:rsidR="006B0442" w:rsidRDefault="006B0442" w:rsidP="006B0442">
      <w:pPr>
        <w:pStyle w:val="Heading1"/>
      </w:pPr>
      <w:bookmarkStart w:id="58" w:name="_Toc59022815"/>
      <w:r>
        <w:t>Commitment to regular review</w:t>
      </w:r>
      <w:bookmarkEnd w:id="58"/>
    </w:p>
    <w:p w14:paraId="5DA14F56" w14:textId="77777777" w:rsidR="00EE6CAC" w:rsidRPr="00EE6CAC" w:rsidRDefault="00EE6CAC" w:rsidP="00EE6CAC"/>
    <w:p w14:paraId="106D7987" w14:textId="77777777" w:rsidR="006B0442" w:rsidRPr="00E0173F" w:rsidRDefault="006B0442" w:rsidP="006B0442">
      <w:pPr>
        <w:spacing w:after="120"/>
        <w:rPr>
          <w:rFonts w:cs="Arial"/>
          <w:sz w:val="24"/>
          <w:szCs w:val="22"/>
        </w:rPr>
      </w:pPr>
      <w:r w:rsidRPr="00E0173F">
        <w:rPr>
          <w:rFonts w:cs="Arial"/>
          <w:sz w:val="24"/>
          <w:szCs w:val="22"/>
        </w:rPr>
        <w:t>The Queensland Human Rights Commission welcomes comments that can improve this policy.  Feedback should be addressed to the Human Rights Commissioner.</w:t>
      </w:r>
    </w:p>
    <w:p w14:paraId="52DBD701" w14:textId="77777777" w:rsidR="006B0442" w:rsidRPr="006B0442" w:rsidRDefault="006B0442" w:rsidP="006B0442"/>
    <w:p w14:paraId="56D42C96" w14:textId="77777777" w:rsidR="009F7A60" w:rsidRDefault="009F7A60" w:rsidP="00CF2C34">
      <w:pPr>
        <w:pStyle w:val="Heading1"/>
      </w:pPr>
      <w:bookmarkStart w:id="59" w:name="_Toc59022816"/>
      <w:r w:rsidRPr="009F7A60">
        <w:t>Further information and assistance</w:t>
      </w:r>
      <w:bookmarkEnd w:id="59"/>
      <w:r w:rsidRPr="009F7A60">
        <w:t xml:space="preserve"> </w:t>
      </w:r>
    </w:p>
    <w:p w14:paraId="24BF4D90" w14:textId="77777777" w:rsidR="00EE6CAC" w:rsidRPr="00EE6CAC" w:rsidRDefault="00EE6CAC" w:rsidP="00EE6CAC"/>
    <w:p w14:paraId="5A0F4356" w14:textId="77777777" w:rsidR="006B0442" w:rsidRPr="00E0173F" w:rsidRDefault="0094130D" w:rsidP="006B0442">
      <w:pPr>
        <w:spacing w:after="120"/>
        <w:rPr>
          <w:rFonts w:cs="Arial"/>
          <w:sz w:val="24"/>
          <w:szCs w:val="22"/>
        </w:rPr>
      </w:pPr>
      <w:hyperlink r:id="rId12" w:history="1">
        <w:r w:rsidR="006B0442" w:rsidRPr="00E0173F">
          <w:rPr>
            <w:rFonts w:cs="Arial"/>
            <w:sz w:val="24"/>
            <w:szCs w:val="22"/>
          </w:rPr>
          <w:t>The</w:t>
        </w:r>
      </w:hyperlink>
      <w:r w:rsidR="006B0442" w:rsidRPr="00E0173F">
        <w:rPr>
          <w:rFonts w:cs="Arial"/>
          <w:sz w:val="24"/>
          <w:szCs w:val="22"/>
        </w:rPr>
        <w:t xml:space="preserve"> Queensland Ombudsman has a range of PID resources available, including fact sheets and guides for both disclosers and entities, as well as the </w:t>
      </w:r>
      <w:r w:rsidR="006B0442" w:rsidRPr="00E0173F">
        <w:rPr>
          <w:rFonts w:cs="Arial"/>
          <w:i/>
          <w:sz w:val="24"/>
          <w:szCs w:val="22"/>
        </w:rPr>
        <w:t>Public Interest Disclosure Act 2010</w:t>
      </w:r>
      <w:r w:rsidR="006B0442" w:rsidRPr="00E0173F">
        <w:rPr>
          <w:rFonts w:cs="Arial"/>
          <w:sz w:val="24"/>
          <w:szCs w:val="22"/>
        </w:rPr>
        <w:t xml:space="preserve"> and the </w:t>
      </w:r>
      <w:r w:rsidR="006B0442" w:rsidRPr="00E0173F">
        <w:rPr>
          <w:rFonts w:cs="Arial"/>
          <w:i/>
          <w:sz w:val="24"/>
          <w:szCs w:val="22"/>
        </w:rPr>
        <w:t>Public Interest Disclosure Standard No. 1,</w:t>
      </w:r>
      <w:r w:rsidR="006B0442" w:rsidRPr="00E0173F">
        <w:rPr>
          <w:rFonts w:cs="Arial"/>
          <w:sz w:val="24"/>
          <w:szCs w:val="22"/>
        </w:rPr>
        <w:t xml:space="preserve"> on its website at www.ombudsman.qld.gov.au </w:t>
      </w:r>
    </w:p>
    <w:p w14:paraId="169712A9" w14:textId="77777777" w:rsidR="009F7A60" w:rsidRPr="009F7A60" w:rsidRDefault="009F7A60" w:rsidP="009F7A60">
      <w:pPr>
        <w:keepNext/>
        <w:tabs>
          <w:tab w:val="right" w:pos="10490"/>
        </w:tabs>
        <w:outlineLvl w:val="0"/>
        <w:rPr>
          <w:color w:val="347B9F"/>
          <w:sz w:val="36"/>
          <w:szCs w:val="28"/>
        </w:rPr>
      </w:pPr>
      <w:bookmarkStart w:id="60" w:name="_Toc59022817"/>
      <w:r w:rsidRPr="009F7A60">
        <w:rPr>
          <w:color w:val="347B9F"/>
          <w:sz w:val="36"/>
          <w:szCs w:val="28"/>
        </w:rPr>
        <w:t>Policy administration</w:t>
      </w:r>
      <w:bookmarkEnd w:id="60"/>
    </w:p>
    <w:p w14:paraId="3CB39DC2" w14:textId="77777777" w:rsidR="009F7A60" w:rsidRPr="009F7A60" w:rsidRDefault="009F7A60" w:rsidP="009F7A60">
      <w:pPr>
        <w:jc w:val="both"/>
        <w:rPr>
          <w:sz w:val="22"/>
          <w:lang w:val="en-US"/>
        </w:rPr>
      </w:pPr>
    </w:p>
    <w:tbl>
      <w:tblPr>
        <w:tblStyle w:val="ListTable3-Accent5"/>
        <w:tblW w:w="0" w:type="auto"/>
        <w:tblLook w:val="01E0" w:firstRow="1" w:lastRow="1" w:firstColumn="1" w:lastColumn="1" w:noHBand="0" w:noVBand="0"/>
      </w:tblPr>
      <w:tblGrid>
        <w:gridCol w:w="3528"/>
        <w:gridCol w:w="5758"/>
      </w:tblGrid>
      <w:tr w:rsidR="009F7A60" w:rsidRPr="009F7A60" w14:paraId="61F02AD4" w14:textId="77777777" w:rsidTr="00FA18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28" w:type="dxa"/>
          </w:tcPr>
          <w:p w14:paraId="51B7F670" w14:textId="77777777" w:rsidR="009F7A60" w:rsidRPr="00EE6CAC" w:rsidRDefault="009F7A60" w:rsidP="009F7A60">
            <w:pPr>
              <w:spacing w:after="120"/>
              <w:rPr>
                <w:sz w:val="24"/>
                <w:szCs w:val="22"/>
              </w:rPr>
            </w:pPr>
            <w:r w:rsidRPr="00EE6CAC">
              <w:rPr>
                <w:sz w:val="24"/>
                <w:szCs w:val="22"/>
              </w:rPr>
              <w:t>Policy Name</w:t>
            </w:r>
          </w:p>
        </w:tc>
        <w:tc>
          <w:tcPr>
            <w:cnfStyle w:val="000100001000" w:firstRow="0" w:lastRow="0" w:firstColumn="0" w:lastColumn="1" w:oddVBand="0" w:evenVBand="0" w:oddHBand="0" w:evenHBand="0" w:firstRowFirstColumn="0" w:firstRowLastColumn="1" w:lastRowFirstColumn="0" w:lastRowLastColumn="0"/>
            <w:tcW w:w="5758" w:type="dxa"/>
          </w:tcPr>
          <w:p w14:paraId="19761429" w14:textId="77777777" w:rsidR="009F7A60" w:rsidRPr="00643237" w:rsidRDefault="006B0442" w:rsidP="006B0442">
            <w:pPr>
              <w:spacing w:after="120"/>
              <w:jc w:val="both"/>
              <w:rPr>
                <w:sz w:val="24"/>
                <w:szCs w:val="22"/>
              </w:rPr>
            </w:pPr>
            <w:r w:rsidRPr="00643237">
              <w:rPr>
                <w:sz w:val="24"/>
                <w:szCs w:val="22"/>
              </w:rPr>
              <w:t>Public interest disclosure</w:t>
            </w:r>
          </w:p>
        </w:tc>
      </w:tr>
      <w:tr w:rsidR="009F7A60" w:rsidRPr="009F7A60" w14:paraId="28DD7897" w14:textId="77777777" w:rsidTr="00FA1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55A80139" w14:textId="77777777" w:rsidR="009F7A60" w:rsidRPr="00EE6CAC" w:rsidRDefault="009F7A60" w:rsidP="009F7A60">
            <w:pPr>
              <w:spacing w:after="120"/>
              <w:rPr>
                <w:sz w:val="24"/>
                <w:szCs w:val="22"/>
              </w:rPr>
            </w:pPr>
            <w:r w:rsidRPr="00EE6CAC">
              <w:rPr>
                <w:sz w:val="24"/>
                <w:szCs w:val="22"/>
              </w:rPr>
              <w:t>File Number</w:t>
            </w:r>
          </w:p>
        </w:tc>
        <w:tc>
          <w:tcPr>
            <w:cnfStyle w:val="000100000000" w:firstRow="0" w:lastRow="0" w:firstColumn="0" w:lastColumn="1" w:oddVBand="0" w:evenVBand="0" w:oddHBand="0" w:evenHBand="0" w:firstRowFirstColumn="0" w:firstRowLastColumn="0" w:lastRowFirstColumn="0" w:lastRowLastColumn="0"/>
            <w:tcW w:w="5758" w:type="dxa"/>
          </w:tcPr>
          <w:p w14:paraId="2943CB5D" w14:textId="77777777" w:rsidR="009F7A60" w:rsidRPr="00EE6CAC" w:rsidRDefault="006B0442" w:rsidP="006B0442">
            <w:pPr>
              <w:spacing w:after="120"/>
              <w:jc w:val="both"/>
              <w:rPr>
                <w:b w:val="0"/>
                <w:sz w:val="24"/>
                <w:szCs w:val="22"/>
              </w:rPr>
            </w:pPr>
            <w:r w:rsidRPr="00EE6CAC">
              <w:rPr>
                <w:b w:val="0"/>
                <w:sz w:val="24"/>
                <w:szCs w:val="22"/>
              </w:rPr>
              <w:t>BNE0143709</w:t>
            </w:r>
          </w:p>
        </w:tc>
      </w:tr>
      <w:tr w:rsidR="009F7A60" w:rsidRPr="009F7A60" w14:paraId="0F52DB56" w14:textId="77777777" w:rsidTr="00FA1813">
        <w:tc>
          <w:tcPr>
            <w:cnfStyle w:val="001000000000" w:firstRow="0" w:lastRow="0" w:firstColumn="1" w:lastColumn="0" w:oddVBand="0" w:evenVBand="0" w:oddHBand="0" w:evenHBand="0" w:firstRowFirstColumn="0" w:firstRowLastColumn="0" w:lastRowFirstColumn="0" w:lastRowLastColumn="0"/>
            <w:tcW w:w="3528" w:type="dxa"/>
          </w:tcPr>
          <w:p w14:paraId="53680F79" w14:textId="77777777" w:rsidR="009F7A60" w:rsidRPr="00EE6CAC" w:rsidRDefault="009F7A60" w:rsidP="009F7A60">
            <w:pPr>
              <w:spacing w:after="120"/>
              <w:rPr>
                <w:sz w:val="24"/>
                <w:szCs w:val="22"/>
              </w:rPr>
            </w:pPr>
            <w:r w:rsidRPr="00EE6CAC">
              <w:rPr>
                <w:sz w:val="24"/>
                <w:szCs w:val="22"/>
              </w:rPr>
              <w:t>Responsible Officer</w:t>
            </w:r>
          </w:p>
        </w:tc>
        <w:tc>
          <w:tcPr>
            <w:cnfStyle w:val="000100000000" w:firstRow="0" w:lastRow="0" w:firstColumn="0" w:lastColumn="1" w:oddVBand="0" w:evenVBand="0" w:oddHBand="0" w:evenHBand="0" w:firstRowFirstColumn="0" w:firstRowLastColumn="0" w:lastRowFirstColumn="0" w:lastRowLastColumn="0"/>
            <w:tcW w:w="5758" w:type="dxa"/>
          </w:tcPr>
          <w:p w14:paraId="5A266DE5" w14:textId="77777777" w:rsidR="009F7A60" w:rsidRPr="00EE6CAC" w:rsidRDefault="006B0442" w:rsidP="009F7A60">
            <w:pPr>
              <w:spacing w:after="120"/>
              <w:jc w:val="both"/>
              <w:rPr>
                <w:b w:val="0"/>
                <w:sz w:val="24"/>
                <w:szCs w:val="22"/>
              </w:rPr>
            </w:pPr>
            <w:r w:rsidRPr="00EE6CAC">
              <w:rPr>
                <w:b w:val="0"/>
                <w:sz w:val="24"/>
                <w:szCs w:val="22"/>
              </w:rPr>
              <w:t>Deputy Commissioner</w:t>
            </w:r>
          </w:p>
        </w:tc>
      </w:tr>
      <w:tr w:rsidR="009F7A60" w:rsidRPr="009F7A60" w14:paraId="403EBED1" w14:textId="77777777" w:rsidTr="00FA1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78B5305B" w14:textId="77777777" w:rsidR="009F7A60" w:rsidRPr="00EE6CAC" w:rsidRDefault="009F7A60" w:rsidP="009F7A60">
            <w:pPr>
              <w:spacing w:after="120"/>
              <w:rPr>
                <w:sz w:val="24"/>
                <w:szCs w:val="22"/>
              </w:rPr>
            </w:pPr>
            <w:r w:rsidRPr="00EE6CAC">
              <w:rPr>
                <w:sz w:val="24"/>
                <w:szCs w:val="22"/>
              </w:rPr>
              <w:t>Approving Officer</w:t>
            </w:r>
          </w:p>
        </w:tc>
        <w:tc>
          <w:tcPr>
            <w:cnfStyle w:val="000100000000" w:firstRow="0" w:lastRow="0" w:firstColumn="0" w:lastColumn="1" w:oddVBand="0" w:evenVBand="0" w:oddHBand="0" w:evenHBand="0" w:firstRowFirstColumn="0" w:firstRowLastColumn="0" w:lastRowFirstColumn="0" w:lastRowLastColumn="0"/>
            <w:tcW w:w="5758" w:type="dxa"/>
          </w:tcPr>
          <w:p w14:paraId="5A0D0326" w14:textId="77777777" w:rsidR="009F7A60" w:rsidRPr="00EE6CAC" w:rsidRDefault="006B0442" w:rsidP="009F7A60">
            <w:pPr>
              <w:spacing w:after="120"/>
              <w:jc w:val="both"/>
              <w:rPr>
                <w:b w:val="0"/>
                <w:sz w:val="24"/>
                <w:szCs w:val="22"/>
              </w:rPr>
            </w:pPr>
            <w:r w:rsidRPr="00EE6CAC">
              <w:rPr>
                <w:b w:val="0"/>
                <w:sz w:val="24"/>
                <w:szCs w:val="22"/>
              </w:rPr>
              <w:t xml:space="preserve">Human Rights </w:t>
            </w:r>
            <w:r w:rsidR="009F7A60" w:rsidRPr="00EE6CAC">
              <w:rPr>
                <w:b w:val="0"/>
                <w:sz w:val="24"/>
                <w:szCs w:val="22"/>
              </w:rPr>
              <w:t>Commissioner</w:t>
            </w:r>
          </w:p>
        </w:tc>
      </w:tr>
      <w:tr w:rsidR="009F7A60" w:rsidRPr="009F7A60" w14:paraId="288C1D11" w14:textId="77777777" w:rsidTr="00FA1813">
        <w:tc>
          <w:tcPr>
            <w:cnfStyle w:val="001000000000" w:firstRow="0" w:lastRow="0" w:firstColumn="1" w:lastColumn="0" w:oddVBand="0" w:evenVBand="0" w:oddHBand="0" w:evenHBand="0" w:firstRowFirstColumn="0" w:firstRowLastColumn="0" w:lastRowFirstColumn="0" w:lastRowLastColumn="0"/>
            <w:tcW w:w="3528" w:type="dxa"/>
          </w:tcPr>
          <w:p w14:paraId="422B34FD" w14:textId="77777777" w:rsidR="009F7A60" w:rsidRPr="00EE6CAC" w:rsidRDefault="009F7A60" w:rsidP="009F7A60">
            <w:pPr>
              <w:spacing w:after="120"/>
              <w:rPr>
                <w:sz w:val="24"/>
                <w:szCs w:val="22"/>
              </w:rPr>
            </w:pPr>
            <w:r w:rsidRPr="00EE6CAC">
              <w:rPr>
                <w:sz w:val="24"/>
                <w:szCs w:val="22"/>
              </w:rPr>
              <w:t>Effective Date</w:t>
            </w:r>
          </w:p>
        </w:tc>
        <w:tc>
          <w:tcPr>
            <w:cnfStyle w:val="000100000000" w:firstRow="0" w:lastRow="0" w:firstColumn="0" w:lastColumn="1" w:oddVBand="0" w:evenVBand="0" w:oddHBand="0" w:evenHBand="0" w:firstRowFirstColumn="0" w:firstRowLastColumn="0" w:lastRowFirstColumn="0" w:lastRowLastColumn="0"/>
            <w:tcW w:w="5758" w:type="dxa"/>
          </w:tcPr>
          <w:p w14:paraId="0E9C9851" w14:textId="77777777" w:rsidR="009F7A60" w:rsidRPr="0027774E" w:rsidRDefault="0027774E" w:rsidP="0027774E">
            <w:pPr>
              <w:spacing w:after="120"/>
              <w:jc w:val="both"/>
              <w:rPr>
                <w:b w:val="0"/>
                <w:sz w:val="24"/>
                <w:szCs w:val="22"/>
              </w:rPr>
            </w:pPr>
            <w:r w:rsidRPr="0027774E">
              <w:rPr>
                <w:b w:val="0"/>
                <w:sz w:val="24"/>
                <w:szCs w:val="22"/>
              </w:rPr>
              <w:t xml:space="preserve">12 February 2021 </w:t>
            </w:r>
          </w:p>
        </w:tc>
      </w:tr>
      <w:tr w:rsidR="009F7A60" w:rsidRPr="009F7A60" w14:paraId="184A3470" w14:textId="77777777" w:rsidTr="00FA1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2243CD26" w14:textId="77777777" w:rsidR="009F7A60" w:rsidRPr="00EE6CAC" w:rsidRDefault="009F7A60" w:rsidP="009F7A60">
            <w:pPr>
              <w:spacing w:after="120"/>
              <w:rPr>
                <w:sz w:val="24"/>
                <w:szCs w:val="22"/>
              </w:rPr>
            </w:pPr>
            <w:r w:rsidRPr="00EE6CAC">
              <w:rPr>
                <w:sz w:val="24"/>
                <w:szCs w:val="22"/>
              </w:rPr>
              <w:t>Date Approved</w:t>
            </w:r>
          </w:p>
        </w:tc>
        <w:tc>
          <w:tcPr>
            <w:cnfStyle w:val="000100000000" w:firstRow="0" w:lastRow="0" w:firstColumn="0" w:lastColumn="1" w:oddVBand="0" w:evenVBand="0" w:oddHBand="0" w:evenHBand="0" w:firstRowFirstColumn="0" w:firstRowLastColumn="0" w:lastRowFirstColumn="0" w:lastRowLastColumn="0"/>
            <w:tcW w:w="5758" w:type="dxa"/>
          </w:tcPr>
          <w:p w14:paraId="1E21F895" w14:textId="77777777" w:rsidR="009F7A60" w:rsidRPr="0027774E" w:rsidRDefault="0027774E" w:rsidP="0027774E">
            <w:pPr>
              <w:spacing w:after="120"/>
              <w:jc w:val="both"/>
              <w:rPr>
                <w:b w:val="0"/>
                <w:sz w:val="24"/>
                <w:szCs w:val="22"/>
              </w:rPr>
            </w:pPr>
            <w:r w:rsidRPr="0027774E">
              <w:rPr>
                <w:b w:val="0"/>
                <w:sz w:val="24"/>
                <w:szCs w:val="22"/>
              </w:rPr>
              <w:t>12 February 2021</w:t>
            </w:r>
          </w:p>
        </w:tc>
      </w:tr>
      <w:tr w:rsidR="009F7A60" w:rsidRPr="009F7A60" w14:paraId="1DF10A13" w14:textId="77777777" w:rsidTr="00FA1813">
        <w:tc>
          <w:tcPr>
            <w:cnfStyle w:val="001000000000" w:firstRow="0" w:lastRow="0" w:firstColumn="1" w:lastColumn="0" w:oddVBand="0" w:evenVBand="0" w:oddHBand="0" w:evenHBand="0" w:firstRowFirstColumn="0" w:firstRowLastColumn="0" w:lastRowFirstColumn="0" w:lastRowLastColumn="0"/>
            <w:tcW w:w="3528" w:type="dxa"/>
          </w:tcPr>
          <w:p w14:paraId="71CA6B06" w14:textId="77777777" w:rsidR="009F7A60" w:rsidRPr="00EE6CAC" w:rsidRDefault="009F7A60" w:rsidP="009F7A60">
            <w:pPr>
              <w:spacing w:after="120"/>
              <w:rPr>
                <w:sz w:val="24"/>
                <w:szCs w:val="22"/>
              </w:rPr>
            </w:pPr>
            <w:r w:rsidRPr="00EE6CAC">
              <w:rPr>
                <w:sz w:val="24"/>
                <w:szCs w:val="22"/>
              </w:rPr>
              <w:t>Next Review</w:t>
            </w:r>
          </w:p>
        </w:tc>
        <w:tc>
          <w:tcPr>
            <w:cnfStyle w:val="000100000000" w:firstRow="0" w:lastRow="0" w:firstColumn="0" w:lastColumn="1" w:oddVBand="0" w:evenVBand="0" w:oddHBand="0" w:evenHBand="0" w:firstRowFirstColumn="0" w:firstRowLastColumn="0" w:lastRowFirstColumn="0" w:lastRowLastColumn="0"/>
            <w:tcW w:w="5758" w:type="dxa"/>
          </w:tcPr>
          <w:p w14:paraId="7D78CA2D" w14:textId="77777777" w:rsidR="009F7A60" w:rsidRPr="00EE6CAC" w:rsidRDefault="006B0442" w:rsidP="009F7A60">
            <w:pPr>
              <w:spacing w:after="120"/>
              <w:jc w:val="both"/>
              <w:rPr>
                <w:b w:val="0"/>
                <w:sz w:val="24"/>
                <w:szCs w:val="22"/>
              </w:rPr>
            </w:pPr>
            <w:r w:rsidRPr="00EE6CAC">
              <w:rPr>
                <w:b w:val="0"/>
                <w:sz w:val="24"/>
                <w:szCs w:val="22"/>
              </w:rPr>
              <w:t>December 2023</w:t>
            </w:r>
          </w:p>
        </w:tc>
      </w:tr>
      <w:tr w:rsidR="009F7A60" w:rsidRPr="009F7A60" w14:paraId="4E60736A" w14:textId="77777777" w:rsidTr="00FA1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431C39C4" w14:textId="77777777" w:rsidR="009F7A60" w:rsidRPr="00EE6CAC" w:rsidRDefault="009F7A60" w:rsidP="009F7A60">
            <w:pPr>
              <w:spacing w:after="120"/>
              <w:rPr>
                <w:sz w:val="24"/>
                <w:szCs w:val="22"/>
              </w:rPr>
            </w:pPr>
            <w:r w:rsidRPr="00EE6CAC">
              <w:rPr>
                <w:sz w:val="24"/>
                <w:szCs w:val="22"/>
              </w:rPr>
              <w:t>Review version approved by</w:t>
            </w:r>
          </w:p>
        </w:tc>
        <w:tc>
          <w:tcPr>
            <w:cnfStyle w:val="000100000000" w:firstRow="0" w:lastRow="0" w:firstColumn="0" w:lastColumn="1" w:oddVBand="0" w:evenVBand="0" w:oddHBand="0" w:evenHBand="0" w:firstRowFirstColumn="0" w:firstRowLastColumn="0" w:lastRowFirstColumn="0" w:lastRowLastColumn="0"/>
            <w:tcW w:w="5758" w:type="dxa"/>
          </w:tcPr>
          <w:p w14:paraId="2CE0FD41" w14:textId="77777777" w:rsidR="009F7A60" w:rsidRPr="00EE6CAC" w:rsidRDefault="006B0442" w:rsidP="009F7A60">
            <w:pPr>
              <w:spacing w:after="120"/>
              <w:jc w:val="both"/>
              <w:rPr>
                <w:b w:val="0"/>
                <w:sz w:val="24"/>
                <w:szCs w:val="22"/>
              </w:rPr>
            </w:pPr>
            <w:r w:rsidRPr="00EE6CAC">
              <w:rPr>
                <w:b w:val="0"/>
                <w:sz w:val="24"/>
                <w:szCs w:val="22"/>
              </w:rPr>
              <w:t>Human Rights Commissioner</w:t>
            </w:r>
          </w:p>
        </w:tc>
      </w:tr>
      <w:tr w:rsidR="009F7A60" w:rsidRPr="009F7A60" w14:paraId="1018F299" w14:textId="77777777" w:rsidTr="00FA1813">
        <w:tc>
          <w:tcPr>
            <w:cnfStyle w:val="001000000000" w:firstRow="0" w:lastRow="0" w:firstColumn="1" w:lastColumn="0" w:oddVBand="0" w:evenVBand="0" w:oddHBand="0" w:evenHBand="0" w:firstRowFirstColumn="0" w:firstRowLastColumn="0" w:lastRowFirstColumn="0" w:lastRowLastColumn="0"/>
            <w:tcW w:w="3528" w:type="dxa"/>
          </w:tcPr>
          <w:p w14:paraId="65388A50" w14:textId="77777777" w:rsidR="009F7A60" w:rsidRPr="009F7A60" w:rsidRDefault="009F7A60" w:rsidP="009F7A60">
            <w:pPr>
              <w:spacing w:after="120"/>
              <w:rPr>
                <w:sz w:val="22"/>
                <w:szCs w:val="22"/>
              </w:rPr>
            </w:pPr>
            <w:r w:rsidRPr="00EE6CAC">
              <w:rPr>
                <w:sz w:val="24"/>
                <w:szCs w:val="22"/>
              </w:rPr>
              <w:t>Relevant Legislation or Prescription</w:t>
            </w:r>
          </w:p>
        </w:tc>
        <w:tc>
          <w:tcPr>
            <w:cnfStyle w:val="000100000000" w:firstRow="0" w:lastRow="0" w:firstColumn="0" w:lastColumn="1" w:oddVBand="0" w:evenVBand="0" w:oddHBand="0" w:evenHBand="0" w:firstRowFirstColumn="0" w:firstRowLastColumn="0" w:lastRowFirstColumn="0" w:lastRowLastColumn="0"/>
            <w:tcW w:w="5758" w:type="dxa"/>
          </w:tcPr>
          <w:p w14:paraId="451F12FA" w14:textId="77777777" w:rsidR="008A3FF8" w:rsidRPr="008A3FF8" w:rsidRDefault="008A3FF8" w:rsidP="008A3FF8">
            <w:pPr>
              <w:spacing w:after="120"/>
              <w:jc w:val="both"/>
              <w:rPr>
                <w:rFonts w:cs="Arial"/>
                <w:b w:val="0"/>
                <w:i/>
                <w:sz w:val="24"/>
                <w:szCs w:val="22"/>
              </w:rPr>
            </w:pPr>
            <w:r w:rsidRPr="008A3FF8">
              <w:rPr>
                <w:rFonts w:cs="Arial"/>
                <w:b w:val="0"/>
                <w:i/>
                <w:sz w:val="24"/>
                <w:szCs w:val="22"/>
              </w:rPr>
              <w:t>Public Interest Disclosure Act 2010</w:t>
            </w:r>
          </w:p>
          <w:p w14:paraId="5427DA95" w14:textId="77777777" w:rsidR="008A3FF8" w:rsidRPr="008A3FF8" w:rsidRDefault="008A3FF8" w:rsidP="008A3FF8">
            <w:pPr>
              <w:spacing w:after="120"/>
              <w:jc w:val="both"/>
              <w:rPr>
                <w:rFonts w:cs="Arial"/>
                <w:b w:val="0"/>
                <w:i/>
                <w:sz w:val="24"/>
                <w:szCs w:val="22"/>
              </w:rPr>
            </w:pPr>
            <w:r w:rsidRPr="008A3FF8">
              <w:rPr>
                <w:rFonts w:cs="Arial"/>
                <w:b w:val="0"/>
                <w:i/>
                <w:sz w:val="24"/>
                <w:szCs w:val="22"/>
              </w:rPr>
              <w:t>Public Sector Ethics Act 1994</w:t>
            </w:r>
          </w:p>
          <w:p w14:paraId="17F97733" w14:textId="77777777" w:rsidR="008A3FF8" w:rsidRPr="008A3FF8" w:rsidRDefault="008A3FF8" w:rsidP="008A3FF8">
            <w:pPr>
              <w:spacing w:after="120"/>
              <w:jc w:val="both"/>
              <w:rPr>
                <w:rFonts w:cs="Arial"/>
                <w:b w:val="0"/>
                <w:i/>
                <w:sz w:val="24"/>
                <w:szCs w:val="22"/>
              </w:rPr>
            </w:pPr>
            <w:r w:rsidRPr="008A3FF8">
              <w:rPr>
                <w:rFonts w:cs="Arial"/>
                <w:b w:val="0"/>
                <w:i/>
                <w:sz w:val="24"/>
                <w:szCs w:val="22"/>
              </w:rPr>
              <w:t>Crime and Corruption Act 2001</w:t>
            </w:r>
          </w:p>
          <w:p w14:paraId="585E96AC" w14:textId="77777777" w:rsidR="008A3FF8" w:rsidRPr="008A3FF8" w:rsidRDefault="008A3FF8" w:rsidP="008A3FF8">
            <w:pPr>
              <w:spacing w:after="120"/>
              <w:rPr>
                <w:rFonts w:cs="Arial"/>
                <w:b w:val="0"/>
                <w:sz w:val="24"/>
                <w:szCs w:val="22"/>
              </w:rPr>
            </w:pPr>
            <w:r w:rsidRPr="008A3FF8">
              <w:rPr>
                <w:rFonts w:cs="Arial"/>
                <w:b w:val="0"/>
                <w:sz w:val="24"/>
                <w:szCs w:val="22"/>
              </w:rPr>
              <w:t>Public Interest Disclosure Standard No. 1/2019</w:t>
            </w:r>
          </w:p>
          <w:p w14:paraId="3FC738B3" w14:textId="77777777" w:rsidR="008A3FF8" w:rsidRPr="008A3FF8" w:rsidRDefault="008A3FF8" w:rsidP="008A3FF8">
            <w:pPr>
              <w:spacing w:after="120"/>
              <w:rPr>
                <w:rFonts w:cs="Arial"/>
                <w:b w:val="0"/>
                <w:sz w:val="24"/>
                <w:szCs w:val="22"/>
              </w:rPr>
            </w:pPr>
            <w:r w:rsidRPr="008A3FF8">
              <w:rPr>
                <w:rFonts w:cs="Arial"/>
                <w:b w:val="0"/>
                <w:sz w:val="24"/>
                <w:szCs w:val="22"/>
              </w:rPr>
              <w:t>Public Interest Disclosure Standard No. 2/2019</w:t>
            </w:r>
          </w:p>
          <w:p w14:paraId="58D6FA4D" w14:textId="77777777" w:rsidR="008A3FF8" w:rsidRPr="008A3FF8" w:rsidRDefault="008A3FF8" w:rsidP="008A3FF8">
            <w:pPr>
              <w:spacing w:after="120"/>
              <w:rPr>
                <w:rFonts w:cs="Arial"/>
                <w:b w:val="0"/>
                <w:sz w:val="24"/>
                <w:szCs w:val="22"/>
              </w:rPr>
            </w:pPr>
            <w:r w:rsidRPr="008A3FF8">
              <w:rPr>
                <w:rFonts w:cs="Arial"/>
                <w:b w:val="0"/>
                <w:sz w:val="24"/>
                <w:szCs w:val="22"/>
              </w:rPr>
              <w:t>Public Interest Disclosure Standard No. 3/2019</w:t>
            </w:r>
          </w:p>
          <w:p w14:paraId="4A4D3C8E" w14:textId="77777777" w:rsidR="009F7A60" w:rsidRPr="008A3FF8" w:rsidRDefault="008A3FF8" w:rsidP="008A3FF8">
            <w:pPr>
              <w:spacing w:after="120"/>
              <w:jc w:val="both"/>
              <w:rPr>
                <w:b w:val="0"/>
                <w:sz w:val="22"/>
                <w:szCs w:val="22"/>
              </w:rPr>
            </w:pPr>
            <w:r w:rsidRPr="008A3FF8">
              <w:rPr>
                <w:rFonts w:cs="Arial"/>
                <w:b w:val="0"/>
                <w:sz w:val="24"/>
                <w:szCs w:val="22"/>
              </w:rPr>
              <w:t>Code of Conduct for the Queensland Public Service</w:t>
            </w:r>
          </w:p>
        </w:tc>
      </w:tr>
      <w:tr w:rsidR="009F7A60" w:rsidRPr="009F7A60" w14:paraId="508FA4B8" w14:textId="77777777" w:rsidTr="00FA181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28" w:type="dxa"/>
          </w:tcPr>
          <w:p w14:paraId="281F9759" w14:textId="77777777" w:rsidR="009F7A60" w:rsidRPr="00EE6CAC" w:rsidRDefault="009F7A60" w:rsidP="009F7A60">
            <w:pPr>
              <w:spacing w:after="120"/>
              <w:rPr>
                <w:sz w:val="24"/>
                <w:szCs w:val="22"/>
              </w:rPr>
            </w:pPr>
            <w:r w:rsidRPr="00EE6CAC">
              <w:rPr>
                <w:sz w:val="24"/>
                <w:szCs w:val="22"/>
              </w:rPr>
              <w:t>Network location</w:t>
            </w:r>
          </w:p>
        </w:tc>
        <w:tc>
          <w:tcPr>
            <w:cnfStyle w:val="000100000010" w:firstRow="0" w:lastRow="0" w:firstColumn="0" w:lastColumn="1" w:oddVBand="0" w:evenVBand="0" w:oddHBand="0" w:evenHBand="0" w:firstRowFirstColumn="0" w:firstRowLastColumn="0" w:lastRowFirstColumn="0" w:lastRowLastColumn="1"/>
            <w:tcW w:w="5758" w:type="dxa"/>
          </w:tcPr>
          <w:p w14:paraId="5EFDFAE9" w14:textId="77777777" w:rsidR="009F7A60" w:rsidRPr="00EE6CAC" w:rsidRDefault="009F7A60" w:rsidP="009F7A60">
            <w:pPr>
              <w:spacing w:after="120"/>
              <w:rPr>
                <w:b w:val="0"/>
                <w:sz w:val="24"/>
                <w:szCs w:val="22"/>
              </w:rPr>
            </w:pPr>
            <w:r w:rsidRPr="00EE6CAC">
              <w:rPr>
                <w:b w:val="0"/>
                <w:sz w:val="24"/>
                <w:szCs w:val="22"/>
              </w:rPr>
              <w:t>S:/Policies/Current/</w:t>
            </w:r>
            <w:r w:rsidR="008A3FF8" w:rsidRPr="00EE6CAC">
              <w:rPr>
                <w:b w:val="0"/>
                <w:sz w:val="24"/>
                <w:szCs w:val="22"/>
              </w:rPr>
              <w:t>Public interest disclosure policy</w:t>
            </w:r>
          </w:p>
        </w:tc>
      </w:tr>
    </w:tbl>
    <w:p w14:paraId="31AF0C26" w14:textId="77777777" w:rsidR="009F7A60" w:rsidRPr="009F7A60" w:rsidRDefault="009F7A60" w:rsidP="009F7A60">
      <w:pPr>
        <w:jc w:val="both"/>
        <w:rPr>
          <w:sz w:val="22"/>
          <w:lang w:val="en-US"/>
        </w:rPr>
      </w:pPr>
    </w:p>
    <w:p w14:paraId="2371D776" w14:textId="77777777" w:rsidR="009F7A60" w:rsidRPr="009F7A60" w:rsidRDefault="009F7A60" w:rsidP="009F7A60">
      <w:pPr>
        <w:tabs>
          <w:tab w:val="left" w:pos="567"/>
        </w:tabs>
        <w:spacing w:after="120"/>
        <w:rPr>
          <w:rFonts w:cs="Arial"/>
          <w:sz w:val="22"/>
          <w:szCs w:val="22"/>
        </w:rPr>
      </w:pPr>
    </w:p>
    <w:p w14:paraId="6163928C" w14:textId="77777777" w:rsidR="004E7DE4" w:rsidRDefault="004E7DE4">
      <w:pPr>
        <w:rPr>
          <w:color w:val="E66A37"/>
          <w:sz w:val="28"/>
        </w:rPr>
      </w:pPr>
      <w:r>
        <w:rPr>
          <w:color w:val="E66A37"/>
          <w:sz w:val="28"/>
        </w:rPr>
        <w:br w:type="page"/>
      </w:r>
    </w:p>
    <w:p w14:paraId="43F9E60B" w14:textId="77777777" w:rsidR="009F7A60" w:rsidRPr="009F7A60" w:rsidRDefault="009F7A60" w:rsidP="009F7A60">
      <w:pPr>
        <w:keepNext/>
        <w:spacing w:before="240" w:after="60"/>
        <w:outlineLvl w:val="1"/>
        <w:rPr>
          <w:color w:val="E66A37"/>
          <w:sz w:val="28"/>
        </w:rPr>
      </w:pPr>
      <w:bookmarkStart w:id="61" w:name="_Toc59022055"/>
      <w:bookmarkStart w:id="62" w:name="_Toc59022818"/>
      <w:r w:rsidRPr="009F7A60">
        <w:rPr>
          <w:color w:val="E66A37"/>
          <w:sz w:val="28"/>
        </w:rPr>
        <w:lastRenderedPageBreak/>
        <w:t>Version History</w:t>
      </w:r>
      <w:bookmarkEnd w:id="61"/>
      <w:bookmarkEnd w:id="62"/>
    </w:p>
    <w:p w14:paraId="64FAFE06" w14:textId="77777777" w:rsidR="009F7A60" w:rsidRPr="009F7A60" w:rsidRDefault="009F7A60" w:rsidP="009F7A60"/>
    <w:tbl>
      <w:tblPr>
        <w:tblStyle w:val="ListTable3-Accent5"/>
        <w:tblW w:w="0" w:type="auto"/>
        <w:tblLook w:val="04A0" w:firstRow="1" w:lastRow="0" w:firstColumn="1" w:lastColumn="0" w:noHBand="0" w:noVBand="1"/>
      </w:tblPr>
      <w:tblGrid>
        <w:gridCol w:w="2547"/>
        <w:gridCol w:w="4507"/>
        <w:gridCol w:w="2188"/>
      </w:tblGrid>
      <w:tr w:rsidR="009F7A60" w:rsidRPr="009F7A60" w14:paraId="530A318D" w14:textId="77777777" w:rsidTr="008A3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Pr>
          <w:p w14:paraId="0BF017B5" w14:textId="77777777" w:rsidR="009F7A60" w:rsidRPr="00EE6CAC" w:rsidRDefault="009F7A60" w:rsidP="009F7A60">
            <w:pPr>
              <w:tabs>
                <w:tab w:val="left" w:pos="1440"/>
                <w:tab w:val="left" w:pos="1800"/>
                <w:tab w:val="left" w:pos="2880"/>
                <w:tab w:val="left" w:pos="3240"/>
                <w:tab w:val="left" w:pos="3600"/>
                <w:tab w:val="left" w:pos="3960"/>
              </w:tabs>
              <w:rPr>
                <w:rFonts w:cs="Arial"/>
                <w:sz w:val="24"/>
              </w:rPr>
            </w:pPr>
            <w:r w:rsidRPr="00EE6CAC">
              <w:rPr>
                <w:rFonts w:cs="Arial"/>
                <w:sz w:val="24"/>
              </w:rPr>
              <w:t>Action</w:t>
            </w:r>
          </w:p>
        </w:tc>
        <w:tc>
          <w:tcPr>
            <w:tcW w:w="4507" w:type="dxa"/>
          </w:tcPr>
          <w:p w14:paraId="14CA20F8" w14:textId="77777777" w:rsidR="009F7A60" w:rsidRPr="00EE6CAC" w:rsidRDefault="009F7A60" w:rsidP="009F7A60">
            <w:pPr>
              <w:tabs>
                <w:tab w:val="left" w:pos="1440"/>
                <w:tab w:val="left" w:pos="1800"/>
                <w:tab w:val="left" w:pos="2880"/>
                <w:tab w:val="left" w:pos="3240"/>
                <w:tab w:val="left" w:pos="3600"/>
                <w:tab w:val="left" w:pos="3960"/>
              </w:tabs>
              <w:cnfStyle w:val="100000000000" w:firstRow="1" w:lastRow="0" w:firstColumn="0" w:lastColumn="0" w:oddVBand="0" w:evenVBand="0" w:oddHBand="0" w:evenHBand="0" w:firstRowFirstColumn="0" w:firstRowLastColumn="0" w:lastRowFirstColumn="0" w:lastRowLastColumn="0"/>
              <w:rPr>
                <w:rFonts w:cs="Arial"/>
                <w:sz w:val="24"/>
              </w:rPr>
            </w:pPr>
            <w:r w:rsidRPr="00EE6CAC">
              <w:rPr>
                <w:rFonts w:cs="Arial"/>
                <w:sz w:val="24"/>
              </w:rPr>
              <w:t xml:space="preserve">Approved by </w:t>
            </w:r>
          </w:p>
        </w:tc>
        <w:tc>
          <w:tcPr>
            <w:tcW w:w="2188" w:type="dxa"/>
          </w:tcPr>
          <w:p w14:paraId="295F95FF" w14:textId="77777777" w:rsidR="009F7A60" w:rsidRPr="00EE6CAC" w:rsidRDefault="009F7A60" w:rsidP="009F7A60">
            <w:pPr>
              <w:tabs>
                <w:tab w:val="left" w:pos="1440"/>
                <w:tab w:val="left" w:pos="1800"/>
                <w:tab w:val="left" w:pos="2880"/>
                <w:tab w:val="left" w:pos="3240"/>
                <w:tab w:val="left" w:pos="3600"/>
                <w:tab w:val="left" w:pos="3960"/>
              </w:tabs>
              <w:cnfStyle w:val="100000000000" w:firstRow="1" w:lastRow="0" w:firstColumn="0" w:lastColumn="0" w:oddVBand="0" w:evenVBand="0" w:oddHBand="0" w:evenHBand="0" w:firstRowFirstColumn="0" w:firstRowLastColumn="0" w:lastRowFirstColumn="0" w:lastRowLastColumn="0"/>
              <w:rPr>
                <w:rFonts w:cs="Arial"/>
                <w:sz w:val="24"/>
              </w:rPr>
            </w:pPr>
            <w:r w:rsidRPr="00EE6CAC">
              <w:rPr>
                <w:rFonts w:cs="Arial"/>
                <w:sz w:val="24"/>
              </w:rPr>
              <w:t>Date</w:t>
            </w:r>
          </w:p>
        </w:tc>
      </w:tr>
      <w:tr w:rsidR="009F7A60" w:rsidRPr="009F7A60" w14:paraId="686FA0AB" w14:textId="77777777" w:rsidTr="008A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1BC6DD" w14:textId="77777777" w:rsidR="009F7A60" w:rsidRPr="00EE6CAC" w:rsidRDefault="008A3FF8" w:rsidP="009F7A60">
            <w:pPr>
              <w:tabs>
                <w:tab w:val="left" w:pos="1440"/>
                <w:tab w:val="left" w:pos="1800"/>
                <w:tab w:val="left" w:pos="2880"/>
                <w:tab w:val="left" w:pos="3240"/>
                <w:tab w:val="left" w:pos="3600"/>
                <w:tab w:val="left" w:pos="3960"/>
              </w:tabs>
              <w:rPr>
                <w:rFonts w:cs="Arial"/>
                <w:b w:val="0"/>
                <w:sz w:val="24"/>
              </w:rPr>
            </w:pPr>
            <w:r w:rsidRPr="00EE6CAC">
              <w:rPr>
                <w:rFonts w:cs="Arial"/>
                <w:b w:val="0"/>
                <w:sz w:val="24"/>
              </w:rPr>
              <w:t>Policy approved</w:t>
            </w:r>
          </w:p>
        </w:tc>
        <w:tc>
          <w:tcPr>
            <w:tcW w:w="4507" w:type="dxa"/>
          </w:tcPr>
          <w:p w14:paraId="49A8E18E" w14:textId="77777777" w:rsidR="009F7A60" w:rsidRPr="00EE6CAC" w:rsidRDefault="008A3FF8" w:rsidP="009F7A60">
            <w:pPr>
              <w:tabs>
                <w:tab w:val="left" w:pos="1440"/>
                <w:tab w:val="left" w:pos="1800"/>
                <w:tab w:val="left" w:pos="2880"/>
                <w:tab w:val="left" w:pos="3240"/>
                <w:tab w:val="left" w:pos="3600"/>
                <w:tab w:val="left" w:pos="3960"/>
              </w:tabs>
              <w:cnfStyle w:val="000000100000" w:firstRow="0" w:lastRow="0" w:firstColumn="0" w:lastColumn="0" w:oddVBand="0" w:evenVBand="0" w:oddHBand="1" w:evenHBand="0" w:firstRowFirstColumn="0" w:firstRowLastColumn="0" w:lastRowFirstColumn="0" w:lastRowLastColumn="0"/>
              <w:rPr>
                <w:rFonts w:cs="Arial"/>
                <w:sz w:val="24"/>
              </w:rPr>
            </w:pPr>
            <w:r w:rsidRPr="00EE6CAC">
              <w:rPr>
                <w:rFonts w:cs="Arial"/>
                <w:sz w:val="24"/>
              </w:rPr>
              <w:t>Anti-Discrimination Commissioner</w:t>
            </w:r>
          </w:p>
        </w:tc>
        <w:tc>
          <w:tcPr>
            <w:tcW w:w="2188" w:type="dxa"/>
          </w:tcPr>
          <w:p w14:paraId="6EE1D32F" w14:textId="77777777" w:rsidR="009F7A60" w:rsidRPr="00EE6CAC" w:rsidRDefault="008A3FF8" w:rsidP="009F7A60">
            <w:pPr>
              <w:tabs>
                <w:tab w:val="left" w:pos="1440"/>
                <w:tab w:val="left" w:pos="1800"/>
                <w:tab w:val="left" w:pos="2880"/>
                <w:tab w:val="left" w:pos="3240"/>
                <w:tab w:val="left" w:pos="3600"/>
                <w:tab w:val="left" w:pos="3960"/>
              </w:tabs>
              <w:cnfStyle w:val="000000100000" w:firstRow="0" w:lastRow="0" w:firstColumn="0" w:lastColumn="0" w:oddVBand="0" w:evenVBand="0" w:oddHBand="1" w:evenHBand="0" w:firstRowFirstColumn="0" w:firstRowLastColumn="0" w:lastRowFirstColumn="0" w:lastRowLastColumn="0"/>
              <w:rPr>
                <w:rFonts w:cs="Arial"/>
                <w:sz w:val="24"/>
              </w:rPr>
            </w:pPr>
            <w:r w:rsidRPr="00EE6CAC">
              <w:rPr>
                <w:rFonts w:cs="Arial"/>
                <w:sz w:val="24"/>
              </w:rPr>
              <w:t>May 2013</w:t>
            </w:r>
          </w:p>
        </w:tc>
      </w:tr>
      <w:tr w:rsidR="009F7A60" w:rsidRPr="009F7A60" w14:paraId="52F9B806" w14:textId="77777777" w:rsidTr="008A3FF8">
        <w:tc>
          <w:tcPr>
            <w:cnfStyle w:val="001000000000" w:firstRow="0" w:lastRow="0" w:firstColumn="1" w:lastColumn="0" w:oddVBand="0" w:evenVBand="0" w:oddHBand="0" w:evenHBand="0" w:firstRowFirstColumn="0" w:firstRowLastColumn="0" w:lastRowFirstColumn="0" w:lastRowLastColumn="0"/>
            <w:tcW w:w="2547" w:type="dxa"/>
          </w:tcPr>
          <w:p w14:paraId="1D739DDC" w14:textId="77777777" w:rsidR="009F7A60" w:rsidRPr="00EE6CAC" w:rsidRDefault="008A3FF8" w:rsidP="009F7A60">
            <w:pPr>
              <w:tabs>
                <w:tab w:val="left" w:pos="1440"/>
                <w:tab w:val="left" w:pos="1800"/>
                <w:tab w:val="left" w:pos="2880"/>
                <w:tab w:val="left" w:pos="3240"/>
                <w:tab w:val="left" w:pos="3600"/>
                <w:tab w:val="left" w:pos="3960"/>
              </w:tabs>
              <w:rPr>
                <w:rFonts w:cs="Arial"/>
                <w:b w:val="0"/>
                <w:sz w:val="24"/>
              </w:rPr>
            </w:pPr>
            <w:r w:rsidRPr="00EE6CAC">
              <w:rPr>
                <w:rFonts w:cs="Arial"/>
                <w:b w:val="0"/>
                <w:sz w:val="24"/>
              </w:rPr>
              <w:t xml:space="preserve">Policy revised </w:t>
            </w:r>
          </w:p>
        </w:tc>
        <w:tc>
          <w:tcPr>
            <w:tcW w:w="4507" w:type="dxa"/>
          </w:tcPr>
          <w:p w14:paraId="777BBD50" w14:textId="77777777" w:rsidR="009F7A60" w:rsidRPr="00EE6CAC" w:rsidRDefault="008A3FF8" w:rsidP="009F7A60">
            <w:pPr>
              <w:tabs>
                <w:tab w:val="left" w:pos="1440"/>
                <w:tab w:val="left" w:pos="1800"/>
                <w:tab w:val="left" w:pos="2880"/>
                <w:tab w:val="left" w:pos="3240"/>
                <w:tab w:val="left" w:pos="3600"/>
                <w:tab w:val="left" w:pos="3960"/>
              </w:tabs>
              <w:cnfStyle w:val="000000000000" w:firstRow="0" w:lastRow="0" w:firstColumn="0" w:lastColumn="0" w:oddVBand="0" w:evenVBand="0" w:oddHBand="0" w:evenHBand="0" w:firstRowFirstColumn="0" w:firstRowLastColumn="0" w:lastRowFirstColumn="0" w:lastRowLastColumn="0"/>
              <w:rPr>
                <w:rFonts w:cs="Arial"/>
                <w:sz w:val="24"/>
              </w:rPr>
            </w:pPr>
            <w:r w:rsidRPr="00EE6CAC">
              <w:rPr>
                <w:rFonts w:cs="Arial"/>
                <w:sz w:val="24"/>
              </w:rPr>
              <w:t>Anti-Discrimination Commissioner</w:t>
            </w:r>
          </w:p>
        </w:tc>
        <w:tc>
          <w:tcPr>
            <w:tcW w:w="2188" w:type="dxa"/>
          </w:tcPr>
          <w:p w14:paraId="611A8F56" w14:textId="77777777" w:rsidR="009F7A60" w:rsidRPr="00EE6CAC" w:rsidRDefault="008A3FF8" w:rsidP="009F7A60">
            <w:pPr>
              <w:tabs>
                <w:tab w:val="left" w:pos="1440"/>
                <w:tab w:val="left" w:pos="1800"/>
                <w:tab w:val="left" w:pos="2880"/>
                <w:tab w:val="left" w:pos="3240"/>
                <w:tab w:val="left" w:pos="3600"/>
                <w:tab w:val="left" w:pos="3960"/>
              </w:tabs>
              <w:cnfStyle w:val="000000000000" w:firstRow="0" w:lastRow="0" w:firstColumn="0" w:lastColumn="0" w:oddVBand="0" w:evenVBand="0" w:oddHBand="0" w:evenHBand="0" w:firstRowFirstColumn="0" w:firstRowLastColumn="0" w:lastRowFirstColumn="0" w:lastRowLastColumn="0"/>
              <w:rPr>
                <w:rFonts w:cs="Arial"/>
                <w:sz w:val="24"/>
              </w:rPr>
            </w:pPr>
            <w:r w:rsidRPr="00EE6CAC">
              <w:rPr>
                <w:rFonts w:cs="Arial"/>
                <w:sz w:val="24"/>
              </w:rPr>
              <w:t>September 2014</w:t>
            </w:r>
          </w:p>
        </w:tc>
      </w:tr>
      <w:tr w:rsidR="009F7A60" w:rsidRPr="009F7A60" w14:paraId="17BEAFF5" w14:textId="77777777" w:rsidTr="008A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159997" w14:textId="77777777" w:rsidR="009F7A60" w:rsidRPr="00EE6CAC" w:rsidRDefault="008A3FF8" w:rsidP="009F7A60">
            <w:pPr>
              <w:tabs>
                <w:tab w:val="left" w:pos="1440"/>
                <w:tab w:val="left" w:pos="1800"/>
                <w:tab w:val="left" w:pos="2880"/>
                <w:tab w:val="left" w:pos="3240"/>
                <w:tab w:val="left" w:pos="3600"/>
                <w:tab w:val="left" w:pos="3960"/>
              </w:tabs>
              <w:rPr>
                <w:rFonts w:cs="Arial"/>
                <w:b w:val="0"/>
                <w:sz w:val="24"/>
              </w:rPr>
            </w:pPr>
            <w:r w:rsidRPr="00EE6CAC">
              <w:rPr>
                <w:rFonts w:cs="Arial"/>
                <w:b w:val="0"/>
                <w:sz w:val="24"/>
              </w:rPr>
              <w:t>Policy revised</w:t>
            </w:r>
          </w:p>
        </w:tc>
        <w:tc>
          <w:tcPr>
            <w:tcW w:w="4507" w:type="dxa"/>
          </w:tcPr>
          <w:p w14:paraId="44B226C6" w14:textId="77777777" w:rsidR="009F7A60" w:rsidRPr="00EE6CAC" w:rsidRDefault="008A3FF8" w:rsidP="009F7A60">
            <w:pPr>
              <w:tabs>
                <w:tab w:val="left" w:pos="1440"/>
                <w:tab w:val="left" w:pos="1800"/>
                <w:tab w:val="left" w:pos="2880"/>
                <w:tab w:val="left" w:pos="3240"/>
                <w:tab w:val="left" w:pos="3600"/>
                <w:tab w:val="left" w:pos="3960"/>
              </w:tabs>
              <w:cnfStyle w:val="000000100000" w:firstRow="0" w:lastRow="0" w:firstColumn="0" w:lastColumn="0" w:oddVBand="0" w:evenVBand="0" w:oddHBand="1" w:evenHBand="0" w:firstRowFirstColumn="0" w:firstRowLastColumn="0" w:lastRowFirstColumn="0" w:lastRowLastColumn="0"/>
              <w:rPr>
                <w:rFonts w:cs="Arial"/>
                <w:sz w:val="24"/>
              </w:rPr>
            </w:pPr>
            <w:r w:rsidRPr="00EE6CAC">
              <w:rPr>
                <w:rFonts w:cs="Arial"/>
                <w:sz w:val="24"/>
              </w:rPr>
              <w:t>Human Rights Commissioner</w:t>
            </w:r>
          </w:p>
        </w:tc>
        <w:tc>
          <w:tcPr>
            <w:tcW w:w="2188" w:type="dxa"/>
          </w:tcPr>
          <w:p w14:paraId="01864982" w14:textId="77777777" w:rsidR="009F7A60" w:rsidRPr="00EE6CAC" w:rsidRDefault="0027774E" w:rsidP="0027774E">
            <w:pPr>
              <w:tabs>
                <w:tab w:val="left" w:pos="1440"/>
                <w:tab w:val="left" w:pos="1800"/>
                <w:tab w:val="left" w:pos="2880"/>
                <w:tab w:val="left" w:pos="3240"/>
                <w:tab w:val="left" w:pos="3600"/>
                <w:tab w:val="left" w:pos="3960"/>
              </w:tabs>
              <w:cnfStyle w:val="000000100000" w:firstRow="0" w:lastRow="0" w:firstColumn="0" w:lastColumn="0" w:oddVBand="0" w:evenVBand="0" w:oddHBand="1" w:evenHBand="0" w:firstRowFirstColumn="0" w:firstRowLastColumn="0" w:lastRowFirstColumn="0" w:lastRowLastColumn="0"/>
              <w:rPr>
                <w:rFonts w:cs="Arial"/>
                <w:sz w:val="24"/>
              </w:rPr>
            </w:pPr>
            <w:r w:rsidRPr="0027774E">
              <w:rPr>
                <w:rFonts w:cs="Arial"/>
                <w:sz w:val="24"/>
              </w:rPr>
              <w:t>February 2021</w:t>
            </w:r>
          </w:p>
        </w:tc>
      </w:tr>
      <w:tr w:rsidR="008A3FF8" w:rsidRPr="009F7A60" w14:paraId="41A0DE61" w14:textId="77777777" w:rsidTr="008A3FF8">
        <w:tc>
          <w:tcPr>
            <w:cnfStyle w:val="001000000000" w:firstRow="0" w:lastRow="0" w:firstColumn="1" w:lastColumn="0" w:oddVBand="0" w:evenVBand="0" w:oddHBand="0" w:evenHBand="0" w:firstRowFirstColumn="0" w:firstRowLastColumn="0" w:lastRowFirstColumn="0" w:lastRowLastColumn="0"/>
            <w:tcW w:w="2547" w:type="dxa"/>
          </w:tcPr>
          <w:p w14:paraId="09711889" w14:textId="77777777" w:rsidR="008A3FF8" w:rsidRPr="009F7A60" w:rsidRDefault="008A3FF8" w:rsidP="009F7A60">
            <w:pPr>
              <w:tabs>
                <w:tab w:val="left" w:pos="1440"/>
                <w:tab w:val="left" w:pos="1800"/>
                <w:tab w:val="left" w:pos="2880"/>
                <w:tab w:val="left" w:pos="3240"/>
                <w:tab w:val="left" w:pos="3600"/>
                <w:tab w:val="left" w:pos="3960"/>
              </w:tabs>
              <w:rPr>
                <w:rFonts w:cs="Arial"/>
                <w:sz w:val="22"/>
              </w:rPr>
            </w:pPr>
          </w:p>
        </w:tc>
        <w:tc>
          <w:tcPr>
            <w:tcW w:w="4507" w:type="dxa"/>
          </w:tcPr>
          <w:p w14:paraId="52C6E62B" w14:textId="77777777" w:rsidR="008A3FF8" w:rsidRPr="009F7A60" w:rsidRDefault="008A3FF8" w:rsidP="009F7A60">
            <w:pPr>
              <w:tabs>
                <w:tab w:val="left" w:pos="1440"/>
                <w:tab w:val="left" w:pos="1800"/>
                <w:tab w:val="left" w:pos="2880"/>
                <w:tab w:val="left" w:pos="3240"/>
                <w:tab w:val="left" w:pos="3600"/>
                <w:tab w:val="left" w:pos="3960"/>
              </w:tabs>
              <w:cnfStyle w:val="000000000000" w:firstRow="0" w:lastRow="0" w:firstColumn="0" w:lastColumn="0" w:oddVBand="0" w:evenVBand="0" w:oddHBand="0" w:evenHBand="0" w:firstRowFirstColumn="0" w:firstRowLastColumn="0" w:lastRowFirstColumn="0" w:lastRowLastColumn="0"/>
              <w:rPr>
                <w:rFonts w:cs="Arial"/>
                <w:sz w:val="22"/>
              </w:rPr>
            </w:pPr>
          </w:p>
        </w:tc>
        <w:tc>
          <w:tcPr>
            <w:tcW w:w="2188" w:type="dxa"/>
          </w:tcPr>
          <w:p w14:paraId="3378F021" w14:textId="77777777" w:rsidR="008A3FF8" w:rsidRPr="009F7A60" w:rsidRDefault="008A3FF8" w:rsidP="009F7A60">
            <w:pPr>
              <w:tabs>
                <w:tab w:val="left" w:pos="1440"/>
                <w:tab w:val="left" w:pos="1800"/>
                <w:tab w:val="left" w:pos="2880"/>
                <w:tab w:val="left" w:pos="3240"/>
                <w:tab w:val="left" w:pos="3600"/>
                <w:tab w:val="left" w:pos="3960"/>
              </w:tabs>
              <w:cnfStyle w:val="000000000000" w:firstRow="0" w:lastRow="0" w:firstColumn="0" w:lastColumn="0" w:oddVBand="0" w:evenVBand="0" w:oddHBand="0" w:evenHBand="0" w:firstRowFirstColumn="0" w:firstRowLastColumn="0" w:lastRowFirstColumn="0" w:lastRowLastColumn="0"/>
              <w:rPr>
                <w:rFonts w:cs="Arial"/>
                <w:sz w:val="22"/>
              </w:rPr>
            </w:pPr>
          </w:p>
        </w:tc>
      </w:tr>
    </w:tbl>
    <w:p w14:paraId="53801883" w14:textId="77777777" w:rsidR="009F7A60" w:rsidRPr="009F7A60" w:rsidRDefault="009F7A60" w:rsidP="009F7A60"/>
    <w:p w14:paraId="74393B4B" w14:textId="77777777" w:rsidR="009F7A60" w:rsidRPr="009F7A60" w:rsidRDefault="009F7A60" w:rsidP="005E46F9">
      <w:pPr>
        <w:rPr>
          <w:color w:val="347B9F"/>
          <w:sz w:val="36"/>
        </w:rPr>
      </w:pPr>
      <w:r w:rsidRPr="009F7A60">
        <w:rPr>
          <w:rFonts w:cs="Arial"/>
          <w:sz w:val="22"/>
          <w:szCs w:val="22"/>
        </w:rPr>
        <w:br w:type="page"/>
      </w:r>
      <w:bookmarkStart w:id="63" w:name="_Toc59022819"/>
      <w:r w:rsidR="00605D85">
        <w:rPr>
          <w:color w:val="347B9F"/>
          <w:sz w:val="36"/>
        </w:rPr>
        <w:lastRenderedPageBreak/>
        <w:t xml:space="preserve">Attachment 1: </w:t>
      </w:r>
      <w:r w:rsidR="008A3FF8">
        <w:rPr>
          <w:color w:val="347B9F"/>
          <w:sz w:val="36"/>
        </w:rPr>
        <w:t>Schedule</w:t>
      </w:r>
      <w:bookmarkEnd w:id="63"/>
    </w:p>
    <w:p w14:paraId="52A4A70E" w14:textId="77777777" w:rsidR="008A3FF8" w:rsidRPr="008A3FF8" w:rsidRDefault="008A3FF8" w:rsidP="008A3FF8">
      <w:pPr>
        <w:tabs>
          <w:tab w:val="left" w:pos="567"/>
        </w:tabs>
        <w:spacing w:before="240" w:after="120"/>
        <w:rPr>
          <w:rFonts w:cs="Arial"/>
          <w:b/>
          <w:sz w:val="24"/>
          <w:szCs w:val="24"/>
        </w:rPr>
      </w:pPr>
      <w:r w:rsidRPr="008A3FF8">
        <w:rPr>
          <w:rFonts w:cs="Arial"/>
          <w:b/>
          <w:sz w:val="24"/>
          <w:szCs w:val="24"/>
        </w:rPr>
        <w:t>What is Corrupt conduct?</w:t>
      </w:r>
    </w:p>
    <w:p w14:paraId="11A992D7" w14:textId="77777777" w:rsidR="008A3FF8" w:rsidRPr="00E0173F" w:rsidRDefault="008A3FF8" w:rsidP="008A3FF8">
      <w:pPr>
        <w:tabs>
          <w:tab w:val="left" w:pos="567"/>
        </w:tabs>
        <w:spacing w:after="120"/>
        <w:rPr>
          <w:rFonts w:cs="Arial"/>
          <w:sz w:val="24"/>
          <w:szCs w:val="24"/>
        </w:rPr>
      </w:pPr>
      <w:r w:rsidRPr="009D2736">
        <w:rPr>
          <w:rFonts w:cs="Arial"/>
          <w:sz w:val="24"/>
          <w:szCs w:val="24"/>
        </w:rPr>
        <w:t>Corrupt conduct</w:t>
      </w:r>
      <w:r w:rsidRPr="00E0173F">
        <w:rPr>
          <w:rFonts w:cs="Arial"/>
          <w:sz w:val="24"/>
          <w:szCs w:val="24"/>
        </w:rPr>
        <w:t xml:space="preserve"> is defined in the </w:t>
      </w:r>
      <w:r w:rsidRPr="00E0173F">
        <w:rPr>
          <w:rFonts w:cs="Arial"/>
          <w:i/>
          <w:sz w:val="24"/>
          <w:szCs w:val="24"/>
        </w:rPr>
        <w:t>Crime and Corruption Act 2001</w:t>
      </w:r>
      <w:r w:rsidRPr="00E0173F">
        <w:rPr>
          <w:rFonts w:cs="Arial"/>
          <w:sz w:val="24"/>
          <w:szCs w:val="24"/>
        </w:rPr>
        <w:t xml:space="preserve">.  </w:t>
      </w:r>
    </w:p>
    <w:p w14:paraId="3172F1E9" w14:textId="77777777" w:rsidR="008A3FF8" w:rsidRPr="00E0173F" w:rsidRDefault="008A3FF8" w:rsidP="008A3FF8">
      <w:pPr>
        <w:pStyle w:val="ListParagraph"/>
        <w:numPr>
          <w:ilvl w:val="0"/>
          <w:numId w:val="30"/>
        </w:numPr>
        <w:spacing w:after="120" w:line="264" w:lineRule="auto"/>
        <w:ind w:hanging="720"/>
        <w:contextualSpacing w:val="0"/>
        <w:rPr>
          <w:rFonts w:cs="Arial"/>
          <w:sz w:val="24"/>
          <w:szCs w:val="24"/>
        </w:rPr>
      </w:pPr>
      <w:r w:rsidRPr="009D2736">
        <w:rPr>
          <w:rFonts w:cs="Arial"/>
          <w:b/>
          <w:sz w:val="24"/>
          <w:szCs w:val="24"/>
        </w:rPr>
        <w:t>Corrupt conduct</w:t>
      </w:r>
      <w:r w:rsidRPr="00E0173F">
        <w:rPr>
          <w:rFonts w:cs="Arial"/>
          <w:sz w:val="24"/>
          <w:szCs w:val="24"/>
        </w:rPr>
        <w:t xml:space="preserve"> means conduct of a person, regardless of whether the person holds or held an appointment, that—</w:t>
      </w:r>
    </w:p>
    <w:p w14:paraId="21B74D24" w14:textId="77777777" w:rsidR="008A3FF8" w:rsidRPr="00E0173F" w:rsidRDefault="008A3FF8" w:rsidP="008A3FF8">
      <w:pPr>
        <w:pStyle w:val="ListParagraph"/>
        <w:numPr>
          <w:ilvl w:val="0"/>
          <w:numId w:val="27"/>
        </w:numPr>
        <w:autoSpaceDE w:val="0"/>
        <w:autoSpaceDN w:val="0"/>
        <w:adjustRightInd w:val="0"/>
        <w:spacing w:after="120" w:line="264" w:lineRule="auto"/>
        <w:ind w:left="1276" w:hanging="567"/>
        <w:contextualSpacing w:val="0"/>
        <w:jc w:val="both"/>
        <w:rPr>
          <w:rFonts w:cs="Arial"/>
          <w:sz w:val="24"/>
          <w:szCs w:val="24"/>
        </w:rPr>
      </w:pPr>
      <w:r w:rsidRPr="00E0173F">
        <w:rPr>
          <w:rFonts w:cs="Arial"/>
          <w:sz w:val="24"/>
          <w:szCs w:val="24"/>
        </w:rPr>
        <w:t>adversely affects, or could adversely affect, directly or indirectly, the performance of functions or the exercise of powers of—</w:t>
      </w:r>
    </w:p>
    <w:p w14:paraId="10171B39" w14:textId="77777777" w:rsidR="008A3FF8" w:rsidRPr="00E0173F" w:rsidRDefault="008A3FF8" w:rsidP="008A3FF8">
      <w:pPr>
        <w:pStyle w:val="ListParagraph"/>
        <w:numPr>
          <w:ilvl w:val="1"/>
          <w:numId w:val="24"/>
        </w:numPr>
        <w:autoSpaceDE w:val="0"/>
        <w:autoSpaceDN w:val="0"/>
        <w:adjustRightInd w:val="0"/>
        <w:spacing w:after="120" w:line="264" w:lineRule="auto"/>
        <w:ind w:left="1701" w:hanging="425"/>
        <w:contextualSpacing w:val="0"/>
        <w:jc w:val="both"/>
        <w:rPr>
          <w:rFonts w:cs="Arial"/>
          <w:sz w:val="24"/>
          <w:szCs w:val="24"/>
        </w:rPr>
      </w:pPr>
      <w:r w:rsidRPr="00E0173F">
        <w:rPr>
          <w:rFonts w:cs="Arial"/>
          <w:sz w:val="24"/>
          <w:szCs w:val="24"/>
        </w:rPr>
        <w:t>a unit of public administration; or</w:t>
      </w:r>
    </w:p>
    <w:p w14:paraId="617C1593" w14:textId="77777777" w:rsidR="008A3FF8" w:rsidRPr="00E0173F" w:rsidRDefault="008A3FF8" w:rsidP="008A3FF8">
      <w:pPr>
        <w:pStyle w:val="ListParagraph"/>
        <w:numPr>
          <w:ilvl w:val="1"/>
          <w:numId w:val="24"/>
        </w:numPr>
        <w:autoSpaceDE w:val="0"/>
        <w:autoSpaceDN w:val="0"/>
        <w:adjustRightInd w:val="0"/>
        <w:spacing w:after="120" w:line="264" w:lineRule="auto"/>
        <w:ind w:left="1701" w:hanging="425"/>
        <w:contextualSpacing w:val="0"/>
        <w:jc w:val="both"/>
        <w:rPr>
          <w:rFonts w:cs="Arial"/>
          <w:sz w:val="24"/>
          <w:szCs w:val="24"/>
        </w:rPr>
      </w:pPr>
      <w:r w:rsidRPr="00E0173F">
        <w:rPr>
          <w:rFonts w:cs="Arial"/>
          <w:sz w:val="24"/>
          <w:szCs w:val="24"/>
        </w:rPr>
        <w:t>a person holding an appointment; and</w:t>
      </w:r>
    </w:p>
    <w:p w14:paraId="70548742" w14:textId="77777777" w:rsidR="008A3FF8" w:rsidRPr="00E0173F" w:rsidRDefault="008A3FF8" w:rsidP="008A3FF8">
      <w:pPr>
        <w:pStyle w:val="ListParagraph"/>
        <w:numPr>
          <w:ilvl w:val="0"/>
          <w:numId w:val="27"/>
        </w:numPr>
        <w:autoSpaceDE w:val="0"/>
        <w:autoSpaceDN w:val="0"/>
        <w:adjustRightInd w:val="0"/>
        <w:spacing w:after="120" w:line="264" w:lineRule="auto"/>
        <w:ind w:left="1276" w:hanging="567"/>
        <w:contextualSpacing w:val="0"/>
        <w:jc w:val="both"/>
        <w:rPr>
          <w:rFonts w:cs="Arial"/>
          <w:sz w:val="24"/>
          <w:szCs w:val="24"/>
        </w:rPr>
      </w:pPr>
      <w:r w:rsidRPr="00E0173F">
        <w:rPr>
          <w:rFonts w:cs="Arial"/>
          <w:sz w:val="24"/>
          <w:szCs w:val="24"/>
        </w:rPr>
        <w:t xml:space="preserve">results, or could result, directly or indirectly, in the performance of functions or the exercise of powers mentioned in paragraph (a) in a way that— </w:t>
      </w:r>
    </w:p>
    <w:p w14:paraId="75D5ED87" w14:textId="77777777" w:rsidR="008A3FF8" w:rsidRPr="00E0173F" w:rsidRDefault="008A3FF8" w:rsidP="008A3FF8">
      <w:pPr>
        <w:pStyle w:val="ListParagraph"/>
        <w:numPr>
          <w:ilvl w:val="2"/>
          <w:numId w:val="24"/>
        </w:numPr>
        <w:autoSpaceDE w:val="0"/>
        <w:autoSpaceDN w:val="0"/>
        <w:adjustRightInd w:val="0"/>
        <w:spacing w:after="120" w:line="264" w:lineRule="auto"/>
        <w:ind w:left="1701" w:hanging="425"/>
        <w:contextualSpacing w:val="0"/>
        <w:jc w:val="both"/>
        <w:rPr>
          <w:rFonts w:cs="Arial"/>
          <w:sz w:val="24"/>
          <w:szCs w:val="24"/>
        </w:rPr>
      </w:pPr>
      <w:r w:rsidRPr="00E0173F">
        <w:rPr>
          <w:rFonts w:cs="Arial"/>
          <w:sz w:val="24"/>
          <w:szCs w:val="24"/>
        </w:rPr>
        <w:t>is not honest or is not impartial; or</w:t>
      </w:r>
    </w:p>
    <w:p w14:paraId="2B064C4E" w14:textId="77777777" w:rsidR="008A3FF8" w:rsidRPr="00E0173F" w:rsidRDefault="008A3FF8" w:rsidP="008A3FF8">
      <w:pPr>
        <w:pStyle w:val="ListParagraph"/>
        <w:numPr>
          <w:ilvl w:val="2"/>
          <w:numId w:val="24"/>
        </w:numPr>
        <w:autoSpaceDE w:val="0"/>
        <w:autoSpaceDN w:val="0"/>
        <w:adjustRightInd w:val="0"/>
        <w:spacing w:after="120" w:line="264" w:lineRule="auto"/>
        <w:ind w:left="1701" w:hanging="425"/>
        <w:contextualSpacing w:val="0"/>
        <w:jc w:val="both"/>
        <w:rPr>
          <w:rFonts w:cs="Arial"/>
          <w:sz w:val="24"/>
          <w:szCs w:val="24"/>
        </w:rPr>
      </w:pPr>
      <w:r w:rsidRPr="00E0173F">
        <w:rPr>
          <w:rFonts w:cs="Arial"/>
          <w:sz w:val="24"/>
          <w:szCs w:val="24"/>
        </w:rPr>
        <w:t>involves a breach of the trust placed in a person holding an appointment, either knowingly or recklessly; or</w:t>
      </w:r>
    </w:p>
    <w:p w14:paraId="2BAA1458" w14:textId="77777777" w:rsidR="008A3FF8" w:rsidRPr="00E0173F" w:rsidRDefault="008A3FF8" w:rsidP="008A3FF8">
      <w:pPr>
        <w:pStyle w:val="ListParagraph"/>
        <w:numPr>
          <w:ilvl w:val="1"/>
          <w:numId w:val="24"/>
        </w:numPr>
        <w:autoSpaceDE w:val="0"/>
        <w:autoSpaceDN w:val="0"/>
        <w:adjustRightInd w:val="0"/>
        <w:spacing w:after="120" w:line="264" w:lineRule="auto"/>
        <w:ind w:left="1701" w:hanging="425"/>
        <w:contextualSpacing w:val="0"/>
        <w:jc w:val="both"/>
        <w:rPr>
          <w:rFonts w:cs="Arial"/>
          <w:sz w:val="24"/>
          <w:szCs w:val="24"/>
        </w:rPr>
      </w:pPr>
      <w:r w:rsidRPr="00E0173F">
        <w:rPr>
          <w:rFonts w:cs="Arial"/>
          <w:sz w:val="24"/>
          <w:szCs w:val="24"/>
        </w:rPr>
        <w:t>involves misuse of information or material acquired in or in connection with the performance of functions or the exercise of powers of a person holding an appointment; and</w:t>
      </w:r>
    </w:p>
    <w:p w14:paraId="36DB3CCD" w14:textId="77777777" w:rsidR="008A3FF8" w:rsidRPr="00E0173F" w:rsidRDefault="008A3FF8" w:rsidP="008A3FF8">
      <w:pPr>
        <w:pStyle w:val="ListParagraph"/>
        <w:numPr>
          <w:ilvl w:val="0"/>
          <w:numId w:val="27"/>
        </w:numPr>
        <w:autoSpaceDE w:val="0"/>
        <w:autoSpaceDN w:val="0"/>
        <w:adjustRightInd w:val="0"/>
        <w:spacing w:after="120" w:line="264" w:lineRule="auto"/>
        <w:ind w:left="1276" w:hanging="567"/>
        <w:contextualSpacing w:val="0"/>
        <w:jc w:val="both"/>
        <w:rPr>
          <w:rFonts w:cs="Arial"/>
          <w:sz w:val="24"/>
          <w:szCs w:val="24"/>
        </w:rPr>
      </w:pPr>
      <w:r w:rsidRPr="00E0173F">
        <w:rPr>
          <w:rFonts w:cs="Arial"/>
          <w:sz w:val="24"/>
          <w:szCs w:val="24"/>
        </w:rPr>
        <w:t xml:space="preserve">would, if proved, be— </w:t>
      </w:r>
    </w:p>
    <w:p w14:paraId="13B84D3B" w14:textId="77777777" w:rsidR="008A3FF8" w:rsidRPr="00E0173F" w:rsidRDefault="008A3FF8" w:rsidP="008A3FF8">
      <w:pPr>
        <w:pStyle w:val="ListParagraph"/>
        <w:numPr>
          <w:ilvl w:val="2"/>
          <w:numId w:val="24"/>
        </w:numPr>
        <w:autoSpaceDE w:val="0"/>
        <w:autoSpaceDN w:val="0"/>
        <w:adjustRightInd w:val="0"/>
        <w:spacing w:after="120" w:line="264" w:lineRule="auto"/>
        <w:ind w:left="1701" w:hanging="425"/>
        <w:contextualSpacing w:val="0"/>
        <w:jc w:val="both"/>
        <w:rPr>
          <w:rFonts w:cs="Arial"/>
          <w:sz w:val="24"/>
          <w:szCs w:val="24"/>
        </w:rPr>
      </w:pPr>
      <w:r w:rsidRPr="00E0173F">
        <w:rPr>
          <w:rFonts w:cs="Arial"/>
          <w:sz w:val="24"/>
          <w:szCs w:val="24"/>
        </w:rPr>
        <w:t>a criminal offence; or</w:t>
      </w:r>
    </w:p>
    <w:p w14:paraId="20779239" w14:textId="77777777" w:rsidR="008A3FF8" w:rsidRPr="00E0173F" w:rsidRDefault="008A3FF8" w:rsidP="008A3FF8">
      <w:pPr>
        <w:pStyle w:val="ListParagraph"/>
        <w:numPr>
          <w:ilvl w:val="2"/>
          <w:numId w:val="24"/>
        </w:numPr>
        <w:autoSpaceDE w:val="0"/>
        <w:autoSpaceDN w:val="0"/>
        <w:adjustRightInd w:val="0"/>
        <w:spacing w:after="120" w:line="264" w:lineRule="auto"/>
        <w:ind w:left="1701" w:hanging="425"/>
        <w:contextualSpacing w:val="0"/>
        <w:jc w:val="both"/>
        <w:rPr>
          <w:rFonts w:cs="Arial"/>
          <w:sz w:val="24"/>
          <w:szCs w:val="24"/>
        </w:rPr>
      </w:pPr>
      <w:r w:rsidRPr="00E0173F">
        <w:rPr>
          <w:rFonts w:cs="Arial"/>
          <w:sz w:val="24"/>
          <w:szCs w:val="24"/>
        </w:rPr>
        <w:t>a disciplinary breach providing reasonable grounds for terminating the person’s services, if the person is or were the holder of an appointment.</w:t>
      </w:r>
    </w:p>
    <w:p w14:paraId="26315A9E" w14:textId="77777777" w:rsidR="008A3FF8" w:rsidRPr="00E0173F" w:rsidRDefault="008A3FF8" w:rsidP="008A3FF8">
      <w:pPr>
        <w:pStyle w:val="ListParagraph"/>
        <w:numPr>
          <w:ilvl w:val="0"/>
          <w:numId w:val="30"/>
        </w:numPr>
        <w:spacing w:before="240" w:after="120" w:line="264" w:lineRule="auto"/>
        <w:ind w:hanging="720"/>
        <w:contextualSpacing w:val="0"/>
        <w:rPr>
          <w:sz w:val="24"/>
          <w:szCs w:val="24"/>
        </w:rPr>
      </w:pPr>
      <w:r w:rsidRPr="009D2736">
        <w:rPr>
          <w:b/>
          <w:sz w:val="24"/>
          <w:szCs w:val="24"/>
        </w:rPr>
        <w:t>Corrupt conduct</w:t>
      </w:r>
      <w:r w:rsidRPr="00E0173F">
        <w:rPr>
          <w:b/>
          <w:i/>
          <w:sz w:val="24"/>
          <w:szCs w:val="24"/>
        </w:rPr>
        <w:t xml:space="preserve"> </w:t>
      </w:r>
      <w:r w:rsidRPr="00E0173F">
        <w:rPr>
          <w:sz w:val="24"/>
          <w:szCs w:val="24"/>
        </w:rPr>
        <w:t>also means conduct of a person, regardless of whether the person holds or held an appointment, that—</w:t>
      </w:r>
    </w:p>
    <w:p w14:paraId="4E6E24EE" w14:textId="77777777" w:rsidR="008A3FF8" w:rsidRPr="00E0173F" w:rsidRDefault="008A3FF8" w:rsidP="008A3FF8">
      <w:pPr>
        <w:pStyle w:val="ListParagraph"/>
        <w:numPr>
          <w:ilvl w:val="1"/>
          <w:numId w:val="30"/>
        </w:numPr>
        <w:spacing w:after="120" w:line="264" w:lineRule="auto"/>
        <w:ind w:left="1276" w:hanging="567"/>
        <w:contextualSpacing w:val="0"/>
        <w:rPr>
          <w:sz w:val="24"/>
          <w:szCs w:val="24"/>
        </w:rPr>
      </w:pPr>
      <w:r w:rsidRPr="00E0173F">
        <w:rPr>
          <w:sz w:val="24"/>
          <w:szCs w:val="24"/>
        </w:rPr>
        <w:t>impairs, or could impair, public confidence in public administration; and</w:t>
      </w:r>
    </w:p>
    <w:p w14:paraId="728BADE0" w14:textId="77777777" w:rsidR="008A3FF8" w:rsidRPr="00E0173F" w:rsidRDefault="008A3FF8" w:rsidP="008A3FF8">
      <w:pPr>
        <w:pStyle w:val="ListParagraph"/>
        <w:numPr>
          <w:ilvl w:val="1"/>
          <w:numId w:val="30"/>
        </w:numPr>
        <w:spacing w:after="120" w:line="264" w:lineRule="auto"/>
        <w:ind w:left="1276" w:hanging="567"/>
        <w:contextualSpacing w:val="0"/>
        <w:rPr>
          <w:sz w:val="24"/>
          <w:szCs w:val="24"/>
        </w:rPr>
      </w:pPr>
      <w:r w:rsidRPr="00E0173F">
        <w:rPr>
          <w:sz w:val="24"/>
          <w:szCs w:val="24"/>
        </w:rPr>
        <w:t>involves, or could involve, any of the following—</w:t>
      </w:r>
    </w:p>
    <w:p w14:paraId="739A6E65" w14:textId="77777777" w:rsidR="008A3FF8" w:rsidRPr="00E0173F" w:rsidRDefault="008A3FF8" w:rsidP="008A3FF8">
      <w:pPr>
        <w:pStyle w:val="ListParagraph"/>
        <w:numPr>
          <w:ilvl w:val="2"/>
          <w:numId w:val="30"/>
        </w:numPr>
        <w:spacing w:after="120" w:line="264" w:lineRule="auto"/>
        <w:ind w:left="1843" w:hanging="283"/>
        <w:contextualSpacing w:val="0"/>
        <w:rPr>
          <w:sz w:val="24"/>
          <w:szCs w:val="24"/>
        </w:rPr>
      </w:pPr>
      <w:r w:rsidRPr="00E0173F">
        <w:rPr>
          <w:sz w:val="24"/>
          <w:szCs w:val="24"/>
        </w:rPr>
        <w:t>collusive tendering;</w:t>
      </w:r>
    </w:p>
    <w:p w14:paraId="068A1AFF" w14:textId="77777777" w:rsidR="008A3FF8" w:rsidRPr="00E0173F" w:rsidRDefault="008A3FF8" w:rsidP="008A3FF8">
      <w:pPr>
        <w:pStyle w:val="ListParagraph"/>
        <w:numPr>
          <w:ilvl w:val="2"/>
          <w:numId w:val="30"/>
        </w:numPr>
        <w:spacing w:after="120" w:line="264" w:lineRule="auto"/>
        <w:ind w:left="1843" w:hanging="283"/>
        <w:contextualSpacing w:val="0"/>
        <w:rPr>
          <w:sz w:val="24"/>
          <w:szCs w:val="24"/>
        </w:rPr>
      </w:pPr>
      <w:r w:rsidRPr="00E0173F">
        <w:rPr>
          <w:sz w:val="24"/>
          <w:szCs w:val="24"/>
        </w:rPr>
        <w:t>fraud relating to an application for a licence, permit or other authority under an Act with a purpose or object of any of the following (however described)—</w:t>
      </w:r>
    </w:p>
    <w:p w14:paraId="7B3A5750" w14:textId="77777777" w:rsidR="008A3FF8" w:rsidRPr="00E0173F" w:rsidRDefault="008A3FF8" w:rsidP="008A3FF8">
      <w:pPr>
        <w:pStyle w:val="ListParagraph"/>
        <w:numPr>
          <w:ilvl w:val="3"/>
          <w:numId w:val="30"/>
        </w:numPr>
        <w:spacing w:after="120" w:line="264" w:lineRule="auto"/>
        <w:ind w:left="2410" w:hanging="567"/>
        <w:contextualSpacing w:val="0"/>
        <w:rPr>
          <w:sz w:val="24"/>
          <w:szCs w:val="24"/>
        </w:rPr>
      </w:pPr>
      <w:r w:rsidRPr="00E0173F">
        <w:rPr>
          <w:sz w:val="24"/>
          <w:szCs w:val="24"/>
        </w:rPr>
        <w:t>protecting health or safety of persons;</w:t>
      </w:r>
    </w:p>
    <w:p w14:paraId="08349E7D" w14:textId="77777777" w:rsidR="008A3FF8" w:rsidRPr="00E0173F" w:rsidRDefault="008A3FF8" w:rsidP="008A3FF8">
      <w:pPr>
        <w:pStyle w:val="ListParagraph"/>
        <w:numPr>
          <w:ilvl w:val="3"/>
          <w:numId w:val="30"/>
        </w:numPr>
        <w:spacing w:after="120" w:line="264" w:lineRule="auto"/>
        <w:ind w:left="2410" w:hanging="567"/>
        <w:contextualSpacing w:val="0"/>
        <w:rPr>
          <w:sz w:val="24"/>
          <w:szCs w:val="24"/>
        </w:rPr>
      </w:pPr>
      <w:r w:rsidRPr="00E0173F">
        <w:rPr>
          <w:sz w:val="24"/>
          <w:szCs w:val="24"/>
        </w:rPr>
        <w:t>protecting the environment;</w:t>
      </w:r>
    </w:p>
    <w:p w14:paraId="65B0CFCA" w14:textId="77777777" w:rsidR="008A3FF8" w:rsidRPr="00E0173F" w:rsidRDefault="008A3FF8" w:rsidP="008A3FF8">
      <w:pPr>
        <w:pStyle w:val="ListParagraph"/>
        <w:numPr>
          <w:ilvl w:val="3"/>
          <w:numId w:val="30"/>
        </w:numPr>
        <w:spacing w:after="120" w:line="264" w:lineRule="auto"/>
        <w:ind w:left="2410" w:hanging="567"/>
        <w:contextualSpacing w:val="0"/>
        <w:rPr>
          <w:sz w:val="24"/>
          <w:szCs w:val="24"/>
        </w:rPr>
      </w:pPr>
      <w:r w:rsidRPr="00E0173F">
        <w:rPr>
          <w:sz w:val="24"/>
          <w:szCs w:val="24"/>
        </w:rPr>
        <w:t>protecting or managing the use of the State’s natural, cultural, mining or energy resources</w:t>
      </w:r>
    </w:p>
    <w:p w14:paraId="4B2062EE" w14:textId="77777777" w:rsidR="008A3FF8" w:rsidRPr="00E0173F" w:rsidRDefault="008A3FF8" w:rsidP="008A3FF8">
      <w:pPr>
        <w:pStyle w:val="ListParagraph"/>
        <w:numPr>
          <w:ilvl w:val="2"/>
          <w:numId w:val="30"/>
        </w:numPr>
        <w:spacing w:after="120" w:line="264" w:lineRule="auto"/>
        <w:ind w:left="1843" w:hanging="283"/>
        <w:contextualSpacing w:val="0"/>
        <w:rPr>
          <w:sz w:val="24"/>
          <w:szCs w:val="24"/>
        </w:rPr>
      </w:pPr>
      <w:r w:rsidRPr="00E0173F">
        <w:rPr>
          <w:sz w:val="24"/>
          <w:szCs w:val="24"/>
        </w:rPr>
        <w:t>dishonestly obtaining, or helping someone to dishonestly obtain, a benefit from the payment or application of public funds or the disposition of State assets;</w:t>
      </w:r>
    </w:p>
    <w:p w14:paraId="3480298A" w14:textId="77777777" w:rsidR="008A3FF8" w:rsidRPr="00E0173F" w:rsidRDefault="008A3FF8" w:rsidP="008A3FF8">
      <w:pPr>
        <w:pStyle w:val="ListParagraph"/>
        <w:numPr>
          <w:ilvl w:val="2"/>
          <w:numId w:val="30"/>
        </w:numPr>
        <w:spacing w:after="120" w:line="264" w:lineRule="auto"/>
        <w:ind w:left="1843" w:hanging="283"/>
        <w:contextualSpacing w:val="0"/>
        <w:rPr>
          <w:sz w:val="24"/>
          <w:szCs w:val="24"/>
        </w:rPr>
      </w:pPr>
      <w:r w:rsidRPr="00E0173F">
        <w:rPr>
          <w:sz w:val="24"/>
          <w:szCs w:val="24"/>
        </w:rPr>
        <w:t>evading a State tax, levy or duty or otherwise fraudulently causing a loss of State revenue;</w:t>
      </w:r>
    </w:p>
    <w:p w14:paraId="33C66E3F" w14:textId="77777777" w:rsidR="008A3FF8" w:rsidRPr="00E0173F" w:rsidRDefault="008A3FF8" w:rsidP="008A3FF8">
      <w:pPr>
        <w:pStyle w:val="ListParagraph"/>
        <w:numPr>
          <w:ilvl w:val="2"/>
          <w:numId w:val="30"/>
        </w:numPr>
        <w:spacing w:after="120" w:line="264" w:lineRule="auto"/>
        <w:ind w:left="1843" w:hanging="283"/>
        <w:contextualSpacing w:val="0"/>
        <w:rPr>
          <w:sz w:val="24"/>
          <w:szCs w:val="24"/>
        </w:rPr>
      </w:pPr>
      <w:r w:rsidRPr="00E0173F">
        <w:rPr>
          <w:sz w:val="24"/>
          <w:szCs w:val="24"/>
        </w:rPr>
        <w:lastRenderedPageBreak/>
        <w:t>fraudulently obtaining or retaining an appointment; and</w:t>
      </w:r>
    </w:p>
    <w:p w14:paraId="5E803BEE" w14:textId="77777777" w:rsidR="008A3FF8" w:rsidRPr="00E0173F" w:rsidRDefault="008A3FF8" w:rsidP="008A3FF8">
      <w:pPr>
        <w:pStyle w:val="ListParagraph"/>
        <w:numPr>
          <w:ilvl w:val="1"/>
          <w:numId w:val="30"/>
        </w:numPr>
        <w:spacing w:after="120" w:line="264" w:lineRule="auto"/>
        <w:ind w:left="1276" w:hanging="567"/>
        <w:contextualSpacing w:val="0"/>
        <w:rPr>
          <w:sz w:val="24"/>
          <w:szCs w:val="24"/>
        </w:rPr>
      </w:pPr>
      <w:r w:rsidRPr="00E0173F">
        <w:rPr>
          <w:sz w:val="24"/>
          <w:szCs w:val="24"/>
        </w:rPr>
        <w:t>would, if proved, be—</w:t>
      </w:r>
    </w:p>
    <w:p w14:paraId="7887F984" w14:textId="77777777" w:rsidR="008A3FF8" w:rsidRPr="00E0173F" w:rsidRDefault="008A3FF8" w:rsidP="008A3FF8">
      <w:pPr>
        <w:pStyle w:val="ListParagraph"/>
        <w:numPr>
          <w:ilvl w:val="2"/>
          <w:numId w:val="30"/>
        </w:numPr>
        <w:spacing w:after="120" w:line="264" w:lineRule="auto"/>
        <w:ind w:left="1843" w:hanging="283"/>
        <w:contextualSpacing w:val="0"/>
        <w:rPr>
          <w:sz w:val="24"/>
          <w:szCs w:val="24"/>
        </w:rPr>
      </w:pPr>
      <w:r w:rsidRPr="00E0173F">
        <w:rPr>
          <w:sz w:val="24"/>
          <w:szCs w:val="24"/>
        </w:rPr>
        <w:t>a criminal offence; or</w:t>
      </w:r>
    </w:p>
    <w:p w14:paraId="137C37EA" w14:textId="77777777" w:rsidR="008A3FF8" w:rsidRPr="00E0173F" w:rsidRDefault="008A3FF8" w:rsidP="008A3FF8">
      <w:pPr>
        <w:pStyle w:val="ListParagraph"/>
        <w:numPr>
          <w:ilvl w:val="2"/>
          <w:numId w:val="30"/>
        </w:numPr>
        <w:spacing w:after="120" w:line="264" w:lineRule="auto"/>
        <w:ind w:left="1843" w:hanging="283"/>
        <w:contextualSpacing w:val="0"/>
        <w:rPr>
          <w:sz w:val="24"/>
          <w:szCs w:val="24"/>
        </w:rPr>
      </w:pPr>
      <w:r w:rsidRPr="00E0173F">
        <w:rPr>
          <w:sz w:val="24"/>
          <w:szCs w:val="24"/>
        </w:rPr>
        <w:t>a disciplinary breach providing reasonable grounds for terminating the person’s services, if the person is or were the holder of an appointment.</w:t>
      </w:r>
    </w:p>
    <w:p w14:paraId="1F79C255" w14:textId="77777777" w:rsidR="008A3FF8" w:rsidRPr="00E0173F" w:rsidRDefault="008A3FF8" w:rsidP="008A3FF8">
      <w:pPr>
        <w:tabs>
          <w:tab w:val="left" w:pos="567"/>
        </w:tabs>
        <w:spacing w:after="120"/>
        <w:rPr>
          <w:rFonts w:cs="Arial"/>
          <w:sz w:val="24"/>
          <w:szCs w:val="24"/>
        </w:rPr>
      </w:pPr>
      <w:r w:rsidRPr="009D2736">
        <w:rPr>
          <w:rFonts w:cs="Arial"/>
          <w:sz w:val="24"/>
          <w:szCs w:val="24"/>
        </w:rPr>
        <w:t>Conduct</w:t>
      </w:r>
      <w:r w:rsidRPr="00E0173F">
        <w:rPr>
          <w:rFonts w:cs="Arial"/>
          <w:i/>
          <w:sz w:val="24"/>
          <w:szCs w:val="24"/>
        </w:rPr>
        <w:t xml:space="preserve"> </w:t>
      </w:r>
      <w:r w:rsidRPr="00E0173F">
        <w:rPr>
          <w:rFonts w:cs="Arial"/>
          <w:sz w:val="24"/>
          <w:szCs w:val="24"/>
        </w:rPr>
        <w:t>includes:</w:t>
      </w:r>
    </w:p>
    <w:p w14:paraId="1D2104CF" w14:textId="77777777" w:rsidR="008A3FF8" w:rsidRPr="00E0173F" w:rsidRDefault="008A3FF8" w:rsidP="008A3FF8">
      <w:pPr>
        <w:pStyle w:val="ListParagraph"/>
        <w:numPr>
          <w:ilvl w:val="0"/>
          <w:numId w:val="29"/>
        </w:numPr>
        <w:tabs>
          <w:tab w:val="left" w:pos="567"/>
        </w:tabs>
        <w:spacing w:after="120"/>
        <w:ind w:left="993" w:hanging="633"/>
        <w:rPr>
          <w:rFonts w:cs="Arial"/>
          <w:sz w:val="24"/>
          <w:szCs w:val="24"/>
        </w:rPr>
      </w:pPr>
      <w:r w:rsidRPr="00E0173F">
        <w:rPr>
          <w:rFonts w:cs="Arial"/>
          <w:sz w:val="24"/>
          <w:szCs w:val="24"/>
        </w:rPr>
        <w:t>neglect, failure and inaction; and</w:t>
      </w:r>
    </w:p>
    <w:p w14:paraId="16C22915" w14:textId="77777777" w:rsidR="008A3FF8" w:rsidRPr="00E0173F" w:rsidRDefault="008A3FF8" w:rsidP="008A3FF8">
      <w:pPr>
        <w:pStyle w:val="ListParagraph"/>
        <w:numPr>
          <w:ilvl w:val="0"/>
          <w:numId w:val="29"/>
        </w:numPr>
        <w:tabs>
          <w:tab w:val="left" w:pos="567"/>
        </w:tabs>
        <w:spacing w:after="120"/>
        <w:ind w:left="993" w:hanging="633"/>
        <w:rPr>
          <w:rFonts w:cs="Arial"/>
          <w:sz w:val="24"/>
          <w:szCs w:val="24"/>
        </w:rPr>
      </w:pPr>
      <w:r w:rsidRPr="00E0173F">
        <w:rPr>
          <w:rFonts w:cs="Arial"/>
          <w:sz w:val="24"/>
          <w:szCs w:val="24"/>
        </w:rPr>
        <w:t>conspiracy to engage in conduct; and</w:t>
      </w:r>
    </w:p>
    <w:p w14:paraId="31AEC0BA" w14:textId="77777777" w:rsidR="008A3FF8" w:rsidRPr="00E0173F" w:rsidRDefault="008A3FF8" w:rsidP="008A3FF8">
      <w:pPr>
        <w:pStyle w:val="ListParagraph"/>
        <w:numPr>
          <w:ilvl w:val="0"/>
          <w:numId w:val="29"/>
        </w:numPr>
        <w:tabs>
          <w:tab w:val="left" w:pos="567"/>
        </w:tabs>
        <w:spacing w:after="120"/>
        <w:ind w:left="993" w:hanging="633"/>
        <w:rPr>
          <w:rFonts w:cs="Arial"/>
          <w:sz w:val="24"/>
          <w:szCs w:val="24"/>
        </w:rPr>
      </w:pPr>
      <w:r w:rsidRPr="00E0173F">
        <w:rPr>
          <w:rFonts w:cs="Arial"/>
          <w:sz w:val="24"/>
          <w:szCs w:val="24"/>
        </w:rPr>
        <w:t>attempt to engage in conduct.</w:t>
      </w:r>
    </w:p>
    <w:p w14:paraId="18247EF5" w14:textId="77777777" w:rsidR="008A3FF8" w:rsidRPr="00E0173F" w:rsidRDefault="008A3FF8" w:rsidP="008A3FF8">
      <w:pPr>
        <w:tabs>
          <w:tab w:val="left" w:pos="567"/>
        </w:tabs>
        <w:spacing w:after="120"/>
        <w:rPr>
          <w:rFonts w:cs="Arial"/>
          <w:sz w:val="24"/>
          <w:szCs w:val="24"/>
        </w:rPr>
      </w:pPr>
      <w:r w:rsidRPr="00E0173F">
        <w:rPr>
          <w:rFonts w:cs="Arial"/>
          <w:sz w:val="24"/>
          <w:szCs w:val="24"/>
        </w:rPr>
        <w:t xml:space="preserve">Examples of </w:t>
      </w:r>
      <w:r w:rsidRPr="009D2736">
        <w:rPr>
          <w:rFonts w:cs="Arial"/>
          <w:sz w:val="24"/>
          <w:szCs w:val="24"/>
        </w:rPr>
        <w:t>corrupt conduct</w:t>
      </w:r>
      <w:r w:rsidRPr="00E0173F">
        <w:rPr>
          <w:rFonts w:cs="Arial"/>
          <w:sz w:val="24"/>
          <w:szCs w:val="24"/>
        </w:rPr>
        <w:t xml:space="preserve"> include:</w:t>
      </w:r>
    </w:p>
    <w:p w14:paraId="4B27393F"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rPr>
          <w:rFonts w:cs="Arial"/>
          <w:sz w:val="24"/>
          <w:szCs w:val="24"/>
        </w:rPr>
      </w:pPr>
      <w:r w:rsidRPr="00E0173F">
        <w:rPr>
          <w:rFonts w:cs="Arial"/>
          <w:sz w:val="24"/>
          <w:szCs w:val="24"/>
        </w:rPr>
        <w:t xml:space="preserve">abuse of public office; </w:t>
      </w:r>
    </w:p>
    <w:p w14:paraId="3ACC013A"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bribery, including bribery relating to an election;</w:t>
      </w:r>
    </w:p>
    <w:p w14:paraId="3F57D1A8"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extortion;</w:t>
      </w:r>
    </w:p>
    <w:p w14:paraId="2712EDBA"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obtaining or offering a secret commission;</w:t>
      </w:r>
    </w:p>
    <w:p w14:paraId="1C36CE4A"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fraud;</w:t>
      </w:r>
    </w:p>
    <w:p w14:paraId="7D94BEED"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stealing;</w:t>
      </w:r>
    </w:p>
    <w:p w14:paraId="4E6D8654"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forgery;</w:t>
      </w:r>
    </w:p>
    <w:p w14:paraId="5AC724A6"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perverting the course of justice;</w:t>
      </w:r>
    </w:p>
    <w:p w14:paraId="24D5CFDE"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an offence relating to an electoral donation;</w:t>
      </w:r>
    </w:p>
    <w:p w14:paraId="39945024"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loss of revenue of the State;</w:t>
      </w:r>
    </w:p>
    <w:p w14:paraId="09D33C6A"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sedition;</w:t>
      </w:r>
    </w:p>
    <w:p w14:paraId="07C15EFD"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homicide, serious assault or assault occasioning bodily harm or grievous bodily harm;</w:t>
      </w:r>
    </w:p>
    <w:p w14:paraId="2065D765" w14:textId="77777777" w:rsidR="008A3FF8" w:rsidRPr="00E0173F" w:rsidRDefault="008A3FF8" w:rsidP="008A3FF8">
      <w:pPr>
        <w:pStyle w:val="ListParagraph"/>
        <w:numPr>
          <w:ilvl w:val="0"/>
          <w:numId w:val="28"/>
        </w:numPr>
        <w:autoSpaceDE w:val="0"/>
        <w:autoSpaceDN w:val="0"/>
        <w:adjustRightInd w:val="0"/>
        <w:spacing w:before="120" w:after="120"/>
        <w:ind w:left="709" w:hanging="283"/>
        <w:contextualSpacing w:val="0"/>
        <w:jc w:val="both"/>
        <w:rPr>
          <w:rFonts w:cs="Arial"/>
          <w:sz w:val="24"/>
          <w:szCs w:val="24"/>
        </w:rPr>
      </w:pPr>
      <w:r w:rsidRPr="00E0173F">
        <w:rPr>
          <w:rFonts w:cs="Arial"/>
          <w:sz w:val="24"/>
          <w:szCs w:val="24"/>
        </w:rPr>
        <w:t>obtaining a financial benefit from procuring prostitution or from unlawful prostitution engaged in by another person;</w:t>
      </w:r>
    </w:p>
    <w:p w14:paraId="7E04FC1A"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illegal drug trafficking;</w:t>
      </w:r>
    </w:p>
    <w:p w14:paraId="20487D6A" w14:textId="77777777" w:rsidR="008A3FF8" w:rsidRPr="00E0173F" w:rsidRDefault="008A3FF8" w:rsidP="008A3FF8">
      <w:pPr>
        <w:pStyle w:val="ListParagraph"/>
        <w:numPr>
          <w:ilvl w:val="0"/>
          <w:numId w:val="28"/>
        </w:numPr>
        <w:autoSpaceDE w:val="0"/>
        <w:autoSpaceDN w:val="0"/>
        <w:adjustRightInd w:val="0"/>
        <w:spacing w:before="120" w:after="120"/>
        <w:ind w:left="851" w:hanging="425"/>
        <w:contextualSpacing w:val="0"/>
        <w:jc w:val="both"/>
        <w:rPr>
          <w:rFonts w:cs="Arial"/>
          <w:sz w:val="24"/>
          <w:szCs w:val="24"/>
        </w:rPr>
      </w:pPr>
      <w:r w:rsidRPr="00E0173F">
        <w:rPr>
          <w:rFonts w:cs="Arial"/>
          <w:sz w:val="24"/>
          <w:szCs w:val="24"/>
        </w:rPr>
        <w:t>illegal gambling.</w:t>
      </w:r>
    </w:p>
    <w:p w14:paraId="18000AAD" w14:textId="77777777" w:rsidR="008A3FF8" w:rsidRPr="00E0173F" w:rsidRDefault="008A3FF8" w:rsidP="008A3FF8">
      <w:pPr>
        <w:tabs>
          <w:tab w:val="left" w:pos="567"/>
        </w:tabs>
        <w:spacing w:after="120"/>
        <w:rPr>
          <w:rFonts w:cs="Arial"/>
          <w:sz w:val="24"/>
          <w:szCs w:val="24"/>
        </w:rPr>
      </w:pPr>
    </w:p>
    <w:p w14:paraId="54A6470B" w14:textId="77777777" w:rsidR="008A3FF8" w:rsidRPr="009D2736" w:rsidRDefault="008A3FF8" w:rsidP="008A3FF8">
      <w:pPr>
        <w:tabs>
          <w:tab w:val="left" w:pos="567"/>
        </w:tabs>
        <w:spacing w:before="240" w:after="120"/>
        <w:rPr>
          <w:rFonts w:cs="Arial"/>
          <w:b/>
          <w:sz w:val="24"/>
          <w:szCs w:val="24"/>
        </w:rPr>
      </w:pPr>
      <w:r w:rsidRPr="009D2736">
        <w:rPr>
          <w:rFonts w:cs="Arial"/>
          <w:b/>
          <w:sz w:val="24"/>
          <w:szCs w:val="24"/>
        </w:rPr>
        <w:t>What is Maladministration?</w:t>
      </w:r>
    </w:p>
    <w:p w14:paraId="0A0053AE" w14:textId="77777777" w:rsidR="008A3FF8" w:rsidRPr="00E0173F" w:rsidRDefault="008A3FF8" w:rsidP="008A3FF8">
      <w:pPr>
        <w:tabs>
          <w:tab w:val="left" w:pos="567"/>
        </w:tabs>
        <w:spacing w:after="120"/>
        <w:rPr>
          <w:rFonts w:cs="Arial"/>
          <w:sz w:val="24"/>
          <w:szCs w:val="24"/>
        </w:rPr>
      </w:pPr>
      <w:r w:rsidRPr="009D2736">
        <w:rPr>
          <w:rFonts w:cs="Arial"/>
          <w:sz w:val="24"/>
          <w:szCs w:val="24"/>
        </w:rPr>
        <w:t>Maladministration</w:t>
      </w:r>
      <w:r w:rsidRPr="00E0173F">
        <w:rPr>
          <w:rFonts w:cs="Arial"/>
          <w:sz w:val="24"/>
          <w:szCs w:val="24"/>
        </w:rPr>
        <w:t xml:space="preserve"> is defined in the </w:t>
      </w:r>
      <w:r w:rsidRPr="00E0173F">
        <w:rPr>
          <w:rFonts w:cs="Arial"/>
          <w:i/>
          <w:sz w:val="24"/>
          <w:szCs w:val="24"/>
        </w:rPr>
        <w:t>Public Interest Disclosure Act 2010</w:t>
      </w:r>
      <w:r w:rsidRPr="00E0173F">
        <w:rPr>
          <w:rFonts w:cs="Arial"/>
          <w:sz w:val="24"/>
          <w:szCs w:val="24"/>
        </w:rPr>
        <w:t>.</w:t>
      </w:r>
    </w:p>
    <w:p w14:paraId="4996F627" w14:textId="77777777" w:rsidR="008A3FF8" w:rsidRPr="00E0173F" w:rsidRDefault="008A3FF8" w:rsidP="008A3FF8">
      <w:pPr>
        <w:tabs>
          <w:tab w:val="left" w:pos="567"/>
        </w:tabs>
        <w:spacing w:after="120"/>
        <w:rPr>
          <w:rFonts w:cs="Arial"/>
          <w:sz w:val="24"/>
          <w:szCs w:val="24"/>
        </w:rPr>
      </w:pPr>
      <w:r w:rsidRPr="00E0173F">
        <w:rPr>
          <w:rFonts w:cs="Arial"/>
          <w:sz w:val="24"/>
          <w:szCs w:val="24"/>
        </w:rPr>
        <w:t>It means administrative action that was:</w:t>
      </w:r>
    </w:p>
    <w:p w14:paraId="3F6E1BFF" w14:textId="77777777" w:rsidR="008A3FF8" w:rsidRPr="00E0173F" w:rsidRDefault="008A3FF8" w:rsidP="008A3FF8">
      <w:pPr>
        <w:numPr>
          <w:ilvl w:val="0"/>
          <w:numId w:val="25"/>
        </w:numPr>
        <w:tabs>
          <w:tab w:val="left" w:pos="567"/>
        </w:tabs>
        <w:spacing w:after="120"/>
        <w:rPr>
          <w:rFonts w:cs="Arial"/>
          <w:sz w:val="24"/>
          <w:szCs w:val="24"/>
        </w:rPr>
      </w:pPr>
      <w:r w:rsidRPr="00E0173F">
        <w:rPr>
          <w:rFonts w:cs="Arial"/>
          <w:sz w:val="24"/>
          <w:szCs w:val="24"/>
        </w:rPr>
        <w:t xml:space="preserve">taken contrary to law; </w:t>
      </w:r>
    </w:p>
    <w:p w14:paraId="7E34D9B4" w14:textId="77777777" w:rsidR="008A3FF8" w:rsidRPr="00E0173F" w:rsidRDefault="008A3FF8" w:rsidP="008A3FF8">
      <w:pPr>
        <w:numPr>
          <w:ilvl w:val="0"/>
          <w:numId w:val="25"/>
        </w:numPr>
        <w:tabs>
          <w:tab w:val="left" w:pos="567"/>
        </w:tabs>
        <w:spacing w:after="120"/>
        <w:rPr>
          <w:rFonts w:cs="Arial"/>
          <w:sz w:val="24"/>
          <w:szCs w:val="24"/>
        </w:rPr>
      </w:pPr>
      <w:r w:rsidRPr="00E0173F">
        <w:rPr>
          <w:rFonts w:cs="Arial"/>
          <w:sz w:val="24"/>
          <w:szCs w:val="24"/>
        </w:rPr>
        <w:t>unreasonable, unjust, oppressive, or improperly discriminatory;</w:t>
      </w:r>
    </w:p>
    <w:p w14:paraId="4C90C6F3" w14:textId="77777777" w:rsidR="008A3FF8" w:rsidRPr="00E0173F" w:rsidRDefault="008A3FF8" w:rsidP="008A3FF8">
      <w:pPr>
        <w:numPr>
          <w:ilvl w:val="0"/>
          <w:numId w:val="25"/>
        </w:numPr>
        <w:tabs>
          <w:tab w:val="left" w:pos="567"/>
        </w:tabs>
        <w:spacing w:after="120"/>
        <w:rPr>
          <w:rFonts w:cs="Arial"/>
          <w:sz w:val="24"/>
          <w:szCs w:val="24"/>
        </w:rPr>
      </w:pPr>
      <w:r w:rsidRPr="00E0173F">
        <w:rPr>
          <w:rFonts w:cs="Arial"/>
          <w:sz w:val="24"/>
          <w:szCs w:val="24"/>
        </w:rPr>
        <w:t>in accordance with a rule of law or a provision of an Act or a practice that is or may be unreasonable, unjust, oppressive, or improperly discriminatory in the particular circumstances;</w:t>
      </w:r>
    </w:p>
    <w:p w14:paraId="692D3C28" w14:textId="77777777" w:rsidR="008A3FF8" w:rsidRPr="00E0173F" w:rsidRDefault="008A3FF8" w:rsidP="008A3FF8">
      <w:pPr>
        <w:numPr>
          <w:ilvl w:val="0"/>
          <w:numId w:val="25"/>
        </w:numPr>
        <w:tabs>
          <w:tab w:val="left" w:pos="567"/>
        </w:tabs>
        <w:spacing w:after="120"/>
        <w:rPr>
          <w:rFonts w:cs="Arial"/>
          <w:sz w:val="24"/>
          <w:szCs w:val="24"/>
        </w:rPr>
      </w:pPr>
      <w:r w:rsidRPr="00E0173F">
        <w:rPr>
          <w:rFonts w:cs="Arial"/>
          <w:sz w:val="24"/>
          <w:szCs w:val="24"/>
        </w:rPr>
        <w:t xml:space="preserve">taken - </w:t>
      </w:r>
    </w:p>
    <w:p w14:paraId="0769A93F" w14:textId="77777777" w:rsidR="008A3FF8" w:rsidRPr="00E0173F" w:rsidRDefault="008A3FF8" w:rsidP="008A3FF8">
      <w:pPr>
        <w:numPr>
          <w:ilvl w:val="1"/>
          <w:numId w:val="25"/>
        </w:numPr>
        <w:tabs>
          <w:tab w:val="left" w:pos="567"/>
        </w:tabs>
        <w:spacing w:after="120"/>
        <w:rPr>
          <w:rFonts w:cs="Arial"/>
          <w:sz w:val="24"/>
          <w:szCs w:val="24"/>
        </w:rPr>
      </w:pPr>
      <w:r w:rsidRPr="00E0173F">
        <w:rPr>
          <w:rFonts w:cs="Arial"/>
          <w:sz w:val="24"/>
          <w:szCs w:val="24"/>
        </w:rPr>
        <w:t>for an improper purpose;</w:t>
      </w:r>
    </w:p>
    <w:p w14:paraId="7B8E79C6" w14:textId="77777777" w:rsidR="008A3FF8" w:rsidRPr="00E0173F" w:rsidRDefault="008A3FF8" w:rsidP="008A3FF8">
      <w:pPr>
        <w:numPr>
          <w:ilvl w:val="1"/>
          <w:numId w:val="25"/>
        </w:numPr>
        <w:tabs>
          <w:tab w:val="left" w:pos="567"/>
        </w:tabs>
        <w:spacing w:after="120"/>
        <w:rPr>
          <w:rFonts w:cs="Arial"/>
          <w:sz w:val="24"/>
          <w:szCs w:val="24"/>
        </w:rPr>
      </w:pPr>
      <w:r w:rsidRPr="00E0173F">
        <w:rPr>
          <w:rFonts w:cs="Arial"/>
          <w:sz w:val="24"/>
          <w:szCs w:val="24"/>
        </w:rPr>
        <w:lastRenderedPageBreak/>
        <w:t>on irrelevant grounds; or</w:t>
      </w:r>
    </w:p>
    <w:p w14:paraId="23E2A15C" w14:textId="77777777" w:rsidR="008A3FF8" w:rsidRPr="00E0173F" w:rsidRDefault="008A3FF8" w:rsidP="008A3FF8">
      <w:pPr>
        <w:numPr>
          <w:ilvl w:val="1"/>
          <w:numId w:val="25"/>
        </w:numPr>
        <w:tabs>
          <w:tab w:val="left" w:pos="567"/>
        </w:tabs>
        <w:spacing w:after="120"/>
        <w:rPr>
          <w:rFonts w:cs="Arial"/>
          <w:sz w:val="24"/>
          <w:szCs w:val="24"/>
        </w:rPr>
      </w:pPr>
      <w:r w:rsidRPr="00E0173F">
        <w:rPr>
          <w:rFonts w:cs="Arial"/>
          <w:sz w:val="24"/>
          <w:szCs w:val="24"/>
        </w:rPr>
        <w:t>having regard to irrelevant considerations</w:t>
      </w:r>
    </w:p>
    <w:p w14:paraId="485506C9" w14:textId="77777777" w:rsidR="008A3FF8" w:rsidRPr="00E0173F" w:rsidRDefault="008A3FF8" w:rsidP="008A3FF8">
      <w:pPr>
        <w:numPr>
          <w:ilvl w:val="0"/>
          <w:numId w:val="25"/>
        </w:numPr>
        <w:tabs>
          <w:tab w:val="left" w:pos="567"/>
        </w:tabs>
        <w:spacing w:after="120"/>
        <w:rPr>
          <w:rFonts w:cs="Arial"/>
          <w:sz w:val="24"/>
          <w:szCs w:val="24"/>
        </w:rPr>
      </w:pPr>
      <w:r w:rsidRPr="00E0173F">
        <w:rPr>
          <w:rFonts w:cs="Arial"/>
          <w:sz w:val="24"/>
          <w:szCs w:val="24"/>
        </w:rPr>
        <w:t>an action for which reasons should have been given, but were not given;</w:t>
      </w:r>
    </w:p>
    <w:p w14:paraId="00F227FD" w14:textId="77777777" w:rsidR="008A3FF8" w:rsidRPr="00E0173F" w:rsidRDefault="008A3FF8" w:rsidP="008A3FF8">
      <w:pPr>
        <w:numPr>
          <w:ilvl w:val="0"/>
          <w:numId w:val="25"/>
        </w:numPr>
        <w:tabs>
          <w:tab w:val="left" w:pos="567"/>
        </w:tabs>
        <w:spacing w:after="120"/>
        <w:rPr>
          <w:rFonts w:cs="Arial"/>
          <w:sz w:val="24"/>
          <w:szCs w:val="24"/>
        </w:rPr>
      </w:pPr>
      <w:r w:rsidRPr="00E0173F">
        <w:rPr>
          <w:rFonts w:cs="Arial"/>
          <w:sz w:val="24"/>
          <w:szCs w:val="24"/>
        </w:rPr>
        <w:t>based wholly or partly on a mistake of law or fact; or</w:t>
      </w:r>
    </w:p>
    <w:p w14:paraId="64F4B5A7" w14:textId="77777777" w:rsidR="008A3FF8" w:rsidRPr="00E0173F" w:rsidRDefault="008A3FF8" w:rsidP="008A3FF8">
      <w:pPr>
        <w:numPr>
          <w:ilvl w:val="0"/>
          <w:numId w:val="25"/>
        </w:numPr>
        <w:tabs>
          <w:tab w:val="left" w:pos="567"/>
        </w:tabs>
        <w:spacing w:after="120"/>
        <w:rPr>
          <w:rFonts w:cs="Arial"/>
          <w:sz w:val="24"/>
          <w:szCs w:val="24"/>
        </w:rPr>
      </w:pPr>
      <w:r w:rsidRPr="00E0173F">
        <w:rPr>
          <w:rFonts w:cs="Arial"/>
          <w:sz w:val="24"/>
          <w:szCs w:val="24"/>
        </w:rPr>
        <w:t>wrong.</w:t>
      </w:r>
    </w:p>
    <w:p w14:paraId="1AE9AFF9" w14:textId="77777777" w:rsidR="008A3FF8" w:rsidRPr="00E0173F" w:rsidRDefault="008A3FF8" w:rsidP="008A3FF8">
      <w:pPr>
        <w:tabs>
          <w:tab w:val="left" w:pos="567"/>
        </w:tabs>
        <w:spacing w:after="120"/>
        <w:rPr>
          <w:rFonts w:cs="Arial"/>
          <w:sz w:val="24"/>
          <w:szCs w:val="24"/>
        </w:rPr>
      </w:pPr>
      <w:r w:rsidRPr="009D2736">
        <w:rPr>
          <w:rFonts w:cs="Arial"/>
          <w:sz w:val="24"/>
          <w:szCs w:val="24"/>
        </w:rPr>
        <w:t>Administrative</w:t>
      </w:r>
      <w:r w:rsidRPr="00784E0E">
        <w:rPr>
          <w:rFonts w:cs="Arial"/>
          <w:sz w:val="24"/>
          <w:szCs w:val="24"/>
        </w:rPr>
        <w:t xml:space="preserve"> action</w:t>
      </w:r>
      <w:r w:rsidRPr="00E0173F">
        <w:rPr>
          <w:rFonts w:cs="Arial"/>
          <w:sz w:val="24"/>
          <w:szCs w:val="24"/>
        </w:rPr>
        <w:t>:</w:t>
      </w:r>
    </w:p>
    <w:p w14:paraId="12109C68" w14:textId="77777777" w:rsidR="008A3FF8" w:rsidRPr="00E0173F" w:rsidRDefault="008A3FF8" w:rsidP="008A3FF8">
      <w:pPr>
        <w:numPr>
          <w:ilvl w:val="0"/>
          <w:numId w:val="26"/>
        </w:numPr>
        <w:tabs>
          <w:tab w:val="left" w:pos="567"/>
        </w:tabs>
        <w:spacing w:after="120"/>
        <w:rPr>
          <w:rFonts w:cs="Arial"/>
          <w:sz w:val="24"/>
          <w:szCs w:val="24"/>
        </w:rPr>
      </w:pPr>
      <w:r w:rsidRPr="00E0173F">
        <w:rPr>
          <w:rFonts w:cs="Arial"/>
          <w:sz w:val="24"/>
          <w:szCs w:val="24"/>
        </w:rPr>
        <w:t>means any action about a matter of administration, including, for example:</w:t>
      </w:r>
    </w:p>
    <w:p w14:paraId="224CF70F" w14:textId="77777777" w:rsidR="008A3FF8" w:rsidRPr="00E0173F" w:rsidRDefault="008A3FF8" w:rsidP="008A3FF8">
      <w:pPr>
        <w:numPr>
          <w:ilvl w:val="1"/>
          <w:numId w:val="26"/>
        </w:numPr>
        <w:tabs>
          <w:tab w:val="left" w:pos="567"/>
        </w:tabs>
        <w:spacing w:after="120"/>
        <w:rPr>
          <w:rFonts w:cs="Arial"/>
          <w:sz w:val="24"/>
          <w:szCs w:val="24"/>
        </w:rPr>
      </w:pPr>
      <w:r w:rsidRPr="00E0173F">
        <w:rPr>
          <w:rFonts w:cs="Arial"/>
          <w:sz w:val="24"/>
          <w:szCs w:val="24"/>
        </w:rPr>
        <w:t>a decision and an act;</w:t>
      </w:r>
    </w:p>
    <w:p w14:paraId="7DAEB38B" w14:textId="77777777" w:rsidR="008A3FF8" w:rsidRPr="00E0173F" w:rsidRDefault="008A3FF8" w:rsidP="008A3FF8">
      <w:pPr>
        <w:numPr>
          <w:ilvl w:val="1"/>
          <w:numId w:val="26"/>
        </w:numPr>
        <w:tabs>
          <w:tab w:val="left" w:pos="567"/>
        </w:tabs>
        <w:spacing w:after="120"/>
        <w:rPr>
          <w:rFonts w:cs="Arial"/>
          <w:sz w:val="24"/>
          <w:szCs w:val="24"/>
        </w:rPr>
      </w:pPr>
      <w:r w:rsidRPr="00E0173F">
        <w:rPr>
          <w:rFonts w:cs="Arial"/>
          <w:sz w:val="24"/>
          <w:szCs w:val="24"/>
        </w:rPr>
        <w:t>a failure to make a decision or do an act, including a failure to provide a written statement of reasons for a decision;</w:t>
      </w:r>
    </w:p>
    <w:p w14:paraId="322AC512" w14:textId="77777777" w:rsidR="008A3FF8" w:rsidRPr="00E0173F" w:rsidRDefault="008A3FF8" w:rsidP="008A3FF8">
      <w:pPr>
        <w:numPr>
          <w:ilvl w:val="1"/>
          <w:numId w:val="26"/>
        </w:numPr>
        <w:tabs>
          <w:tab w:val="left" w:pos="567"/>
        </w:tabs>
        <w:spacing w:after="120"/>
        <w:rPr>
          <w:rFonts w:cs="Arial"/>
          <w:sz w:val="24"/>
          <w:szCs w:val="24"/>
        </w:rPr>
      </w:pPr>
      <w:r w:rsidRPr="00E0173F">
        <w:rPr>
          <w:rFonts w:cs="Arial"/>
          <w:sz w:val="24"/>
          <w:szCs w:val="24"/>
        </w:rPr>
        <w:t>the formulation of a proposal or intention;</w:t>
      </w:r>
    </w:p>
    <w:p w14:paraId="2DD71AD5" w14:textId="77777777" w:rsidR="008A3FF8" w:rsidRPr="00E0173F" w:rsidRDefault="008A3FF8" w:rsidP="008A3FF8">
      <w:pPr>
        <w:numPr>
          <w:ilvl w:val="1"/>
          <w:numId w:val="26"/>
        </w:numPr>
        <w:tabs>
          <w:tab w:val="left" w:pos="567"/>
        </w:tabs>
        <w:spacing w:after="120"/>
        <w:rPr>
          <w:rFonts w:cs="Arial"/>
          <w:sz w:val="24"/>
          <w:szCs w:val="24"/>
        </w:rPr>
      </w:pPr>
      <w:r w:rsidRPr="00E0173F">
        <w:rPr>
          <w:rFonts w:cs="Arial"/>
          <w:sz w:val="24"/>
          <w:szCs w:val="24"/>
        </w:rPr>
        <w:t xml:space="preserve">the making of a recommendation, including a recommendation made to a Minister; </w:t>
      </w:r>
    </w:p>
    <w:p w14:paraId="302D284F" w14:textId="77777777" w:rsidR="008A3FF8" w:rsidRPr="00E0173F" w:rsidRDefault="008A3FF8" w:rsidP="008A3FF8">
      <w:pPr>
        <w:numPr>
          <w:ilvl w:val="1"/>
          <w:numId w:val="26"/>
        </w:numPr>
        <w:tabs>
          <w:tab w:val="left" w:pos="567"/>
        </w:tabs>
        <w:spacing w:after="120"/>
        <w:rPr>
          <w:rFonts w:cs="Arial"/>
          <w:sz w:val="24"/>
          <w:szCs w:val="24"/>
        </w:rPr>
      </w:pPr>
      <w:r w:rsidRPr="00E0173F">
        <w:rPr>
          <w:rFonts w:cs="Arial"/>
          <w:sz w:val="24"/>
          <w:szCs w:val="24"/>
        </w:rPr>
        <w:t>an action taken because of a recommendation made to a Minister; and</w:t>
      </w:r>
    </w:p>
    <w:p w14:paraId="4F702AC0" w14:textId="77777777" w:rsidR="008A3FF8" w:rsidRPr="00E0173F" w:rsidRDefault="008A3FF8" w:rsidP="008A3FF8">
      <w:pPr>
        <w:numPr>
          <w:ilvl w:val="0"/>
          <w:numId w:val="26"/>
        </w:numPr>
        <w:tabs>
          <w:tab w:val="left" w:pos="567"/>
        </w:tabs>
        <w:spacing w:after="120"/>
        <w:rPr>
          <w:rFonts w:cs="Arial"/>
          <w:sz w:val="24"/>
          <w:szCs w:val="24"/>
        </w:rPr>
      </w:pPr>
      <w:r w:rsidRPr="00E0173F">
        <w:rPr>
          <w:rFonts w:cs="Arial"/>
          <w:sz w:val="24"/>
          <w:szCs w:val="24"/>
        </w:rPr>
        <w:t>does not include an operational action of a police officer or of an officer of the Crime and Corruption Commission.</w:t>
      </w:r>
    </w:p>
    <w:bookmarkEnd w:id="16"/>
    <w:bookmarkEnd w:id="17"/>
    <w:bookmarkEnd w:id="18"/>
    <w:p w14:paraId="1D24EF9A" w14:textId="77777777" w:rsidR="004A5213" w:rsidRPr="004A5213" w:rsidRDefault="004A5213" w:rsidP="004A5213"/>
    <w:sectPr w:rsidR="004A5213" w:rsidRPr="004A5213" w:rsidSect="00DA1889">
      <w:headerReference w:type="default" r:id="rId13"/>
      <w:type w:val="oddPage"/>
      <w:pgSz w:w="11907" w:h="16840" w:code="9"/>
      <w:pgMar w:top="709" w:right="1134" w:bottom="993" w:left="1134" w:header="720" w:footer="40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1399" w14:textId="77777777" w:rsidR="00FA1813" w:rsidRDefault="00FA1813">
      <w:r>
        <w:separator/>
      </w:r>
    </w:p>
  </w:endnote>
  <w:endnote w:type="continuationSeparator" w:id="0">
    <w:p w14:paraId="094611BD" w14:textId="77777777" w:rsidR="00FA1813" w:rsidRDefault="00FA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9869" w14:textId="77777777" w:rsidR="00FA1813" w:rsidRDefault="00FA1813">
      <w:r>
        <w:separator/>
      </w:r>
    </w:p>
  </w:footnote>
  <w:footnote w:type="continuationSeparator" w:id="0">
    <w:p w14:paraId="02606042" w14:textId="77777777" w:rsidR="00FA1813" w:rsidRDefault="00FA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A7FF" w14:textId="77777777" w:rsidR="00FA1813" w:rsidRDefault="00FA1813">
    <w:pPr>
      <w:pStyle w:val="Header"/>
      <w:rPr>
        <w:rFonts w:ascii="Arial" w:hAnsi="Arial"/>
      </w:rPr>
    </w:pP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1AD4"/>
    <w:multiLevelType w:val="hybridMultilevel"/>
    <w:tmpl w:val="E48C8808"/>
    <w:lvl w:ilvl="0" w:tplc="1C5C668A">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FC772D"/>
    <w:multiLevelType w:val="hybridMultilevel"/>
    <w:tmpl w:val="572CCE3C"/>
    <w:lvl w:ilvl="0" w:tplc="F9C6BC50">
      <w:start w:val="1"/>
      <w:numFmt w:val="lowerLetter"/>
      <w:lvlText w:val="(%1)"/>
      <w:lvlJc w:val="left"/>
      <w:pPr>
        <w:ind w:left="720" w:hanging="360"/>
      </w:pPr>
      <w:rPr>
        <w:rFonts w:hint="default"/>
      </w:rPr>
    </w:lvl>
    <w:lvl w:ilvl="1" w:tplc="58A2A2D6">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C666F"/>
    <w:multiLevelType w:val="hybridMultilevel"/>
    <w:tmpl w:val="DAC8C7A4"/>
    <w:lvl w:ilvl="0" w:tplc="122678C0">
      <w:start w:val="1"/>
      <w:numFmt w:val="bullet"/>
      <w:lvlText w:val=""/>
      <w:lvlJc w:val="left"/>
      <w:pPr>
        <w:tabs>
          <w:tab w:val="num" w:pos="360"/>
        </w:tabs>
        <w:ind w:left="360" w:hanging="360"/>
      </w:pPr>
      <w:rPr>
        <w:rFonts w:ascii="Wingdings 2" w:hAnsi="Wingdings 2" w:hint="default"/>
      </w:rPr>
    </w:lvl>
    <w:lvl w:ilvl="1" w:tplc="F648EA58">
      <w:start w:val="1"/>
      <w:numFmt w:val="bullet"/>
      <w:lvlText w:val="-"/>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3F4207"/>
    <w:multiLevelType w:val="hybridMultilevel"/>
    <w:tmpl w:val="95682696"/>
    <w:lvl w:ilvl="0" w:tplc="0C090001">
      <w:start w:val="1"/>
      <w:numFmt w:val="bullet"/>
      <w:lvlText w:val=""/>
      <w:lvlJc w:val="left"/>
      <w:pPr>
        <w:ind w:left="1636"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0806D1"/>
    <w:multiLevelType w:val="hybridMultilevel"/>
    <w:tmpl w:val="4E209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1B0620"/>
    <w:multiLevelType w:val="hybridMultilevel"/>
    <w:tmpl w:val="2D161D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AC0807"/>
    <w:multiLevelType w:val="hybridMultilevel"/>
    <w:tmpl w:val="67769D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8A61A2"/>
    <w:multiLevelType w:val="hybridMultilevel"/>
    <w:tmpl w:val="51CA06B6"/>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BD4E4B"/>
    <w:multiLevelType w:val="hybridMultilevel"/>
    <w:tmpl w:val="8258E00E"/>
    <w:lvl w:ilvl="0" w:tplc="F648EA58">
      <w:start w:val="1"/>
      <w:numFmt w:val="bullet"/>
      <w:lvlText w:val="-"/>
      <w:lvlJc w:val="left"/>
      <w:pPr>
        <w:tabs>
          <w:tab w:val="num" w:pos="405"/>
        </w:tabs>
        <w:ind w:left="405" w:hanging="360"/>
      </w:pPr>
      <w:rPr>
        <w:rFonts w:ascii="Courier New" w:hAnsi="Courier New" w:hint="default"/>
      </w:rPr>
    </w:lvl>
    <w:lvl w:ilvl="1" w:tplc="F648EA58">
      <w:start w:val="1"/>
      <w:numFmt w:val="bullet"/>
      <w:lvlText w:val="-"/>
      <w:lvlJc w:val="left"/>
      <w:pPr>
        <w:tabs>
          <w:tab w:val="num" w:pos="1485"/>
        </w:tabs>
        <w:ind w:left="1485" w:hanging="360"/>
      </w:pPr>
      <w:rPr>
        <w:rFonts w:ascii="Courier New" w:hAnsi="Courier New" w:hint="default"/>
      </w:rPr>
    </w:lvl>
    <w:lvl w:ilvl="2" w:tplc="0C090005">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C500061"/>
    <w:multiLevelType w:val="hybridMultilevel"/>
    <w:tmpl w:val="73863F66"/>
    <w:lvl w:ilvl="0" w:tplc="0C090005">
      <w:start w:val="1"/>
      <w:numFmt w:val="bullet"/>
      <w:lvlText w:val=""/>
      <w:lvlJc w:val="left"/>
      <w:pPr>
        <w:ind w:left="785" w:hanging="360"/>
      </w:pPr>
      <w:rPr>
        <w:rFonts w:ascii="Wingdings" w:hAnsi="Wingdings"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 w15:restartNumberingAfterBreak="0">
    <w:nsid w:val="40E72A9C"/>
    <w:multiLevelType w:val="hybridMultilevel"/>
    <w:tmpl w:val="8E920060"/>
    <w:lvl w:ilvl="0" w:tplc="5B96FF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5D4D84"/>
    <w:multiLevelType w:val="hybridMultilevel"/>
    <w:tmpl w:val="88546764"/>
    <w:lvl w:ilvl="0" w:tplc="1A36DCD8">
      <w:start w:val="1"/>
      <w:numFmt w:val="lowerLetter"/>
      <w:lvlText w:val="(%1)"/>
      <w:lvlJc w:val="left"/>
      <w:pPr>
        <w:ind w:left="720" w:hanging="360"/>
      </w:pPr>
      <w:rPr>
        <w:rFonts w:hint="default"/>
      </w:rPr>
    </w:lvl>
    <w:lvl w:ilvl="1" w:tplc="58A2A2D6">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3E6E84"/>
    <w:multiLevelType w:val="hybridMultilevel"/>
    <w:tmpl w:val="D55E1026"/>
    <w:lvl w:ilvl="0" w:tplc="0C090001">
      <w:start w:val="1"/>
      <w:numFmt w:val="bullet"/>
      <w:lvlText w:val=""/>
      <w:lvlJc w:val="left"/>
      <w:pPr>
        <w:ind w:left="720" w:hanging="360"/>
      </w:pPr>
      <w:rPr>
        <w:rFonts w:ascii="Symbol" w:hAnsi="Symbol" w:hint="default"/>
      </w:rPr>
    </w:lvl>
    <w:lvl w:ilvl="1" w:tplc="48D46FA6">
      <w:start w:val="1"/>
      <w:numFmt w:val="lowerRoman"/>
      <w:lvlText w:val="(%2)"/>
      <w:lvlJc w:val="left"/>
      <w:pPr>
        <w:ind w:left="1440" w:hanging="360"/>
      </w:pPr>
      <w:rPr>
        <w:rFonts w:ascii="Arial" w:hAnsi="Arial" w:hint="default"/>
        <w:b w:val="0"/>
        <w:i w:val="0"/>
        <w:sz w:val="22"/>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EF3B1B"/>
    <w:multiLevelType w:val="hybridMultilevel"/>
    <w:tmpl w:val="CB94845C"/>
    <w:lvl w:ilvl="0" w:tplc="308CE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B0223A"/>
    <w:multiLevelType w:val="hybridMultilevel"/>
    <w:tmpl w:val="8D22B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1F537F"/>
    <w:multiLevelType w:val="hybridMultilevel"/>
    <w:tmpl w:val="F1DE7B06"/>
    <w:lvl w:ilvl="0" w:tplc="122678C0">
      <w:start w:val="1"/>
      <w:numFmt w:val="bullet"/>
      <w:lvlText w:val=""/>
      <w:lvlJc w:val="left"/>
      <w:pPr>
        <w:tabs>
          <w:tab w:val="num" w:pos="360"/>
        </w:tabs>
        <w:ind w:left="360" w:hanging="360"/>
      </w:pPr>
      <w:rPr>
        <w:rFonts w:ascii="Wingdings 2" w:hAnsi="Wingdings 2" w:hint="default"/>
      </w:rPr>
    </w:lvl>
    <w:lvl w:ilvl="1" w:tplc="F648EA58">
      <w:start w:val="1"/>
      <w:numFmt w:val="bullet"/>
      <w:lvlText w:val="-"/>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D4E7E69"/>
    <w:multiLevelType w:val="hybridMultilevel"/>
    <w:tmpl w:val="A0E636F0"/>
    <w:lvl w:ilvl="0" w:tplc="122678C0">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267C6F"/>
    <w:multiLevelType w:val="hybridMultilevel"/>
    <w:tmpl w:val="1D3A90E6"/>
    <w:lvl w:ilvl="0" w:tplc="F648EA58">
      <w:start w:val="1"/>
      <w:numFmt w:val="bullet"/>
      <w:lvlText w:val="-"/>
      <w:lvlJc w:val="left"/>
      <w:pPr>
        <w:tabs>
          <w:tab w:val="num" w:pos="648"/>
        </w:tabs>
        <w:ind w:left="648" w:hanging="360"/>
      </w:pPr>
      <w:rPr>
        <w:rFonts w:ascii="Courier New" w:hAnsi="Courier New" w:hint="default"/>
      </w:rPr>
    </w:lvl>
    <w:lvl w:ilvl="1" w:tplc="F648EA58">
      <w:start w:val="1"/>
      <w:numFmt w:val="bullet"/>
      <w:lvlText w:val="-"/>
      <w:lvlJc w:val="left"/>
      <w:pPr>
        <w:tabs>
          <w:tab w:val="num" w:pos="1008"/>
        </w:tabs>
        <w:ind w:left="1008" w:hanging="360"/>
      </w:pPr>
      <w:rPr>
        <w:rFonts w:ascii="Courier New" w:hAnsi="Courier New" w:hint="default"/>
      </w:rPr>
    </w:lvl>
    <w:lvl w:ilvl="2" w:tplc="0C090005" w:tentative="1">
      <w:start w:val="1"/>
      <w:numFmt w:val="bullet"/>
      <w:lvlText w:val=""/>
      <w:lvlJc w:val="left"/>
      <w:pPr>
        <w:tabs>
          <w:tab w:val="num" w:pos="2088"/>
        </w:tabs>
        <w:ind w:left="2088" w:hanging="360"/>
      </w:pPr>
      <w:rPr>
        <w:rFonts w:ascii="Wingdings" w:hAnsi="Wingdings" w:hint="default"/>
      </w:rPr>
    </w:lvl>
    <w:lvl w:ilvl="3" w:tplc="0C090001" w:tentative="1">
      <w:start w:val="1"/>
      <w:numFmt w:val="bullet"/>
      <w:lvlText w:val=""/>
      <w:lvlJc w:val="left"/>
      <w:pPr>
        <w:tabs>
          <w:tab w:val="num" w:pos="2808"/>
        </w:tabs>
        <w:ind w:left="2808" w:hanging="360"/>
      </w:pPr>
      <w:rPr>
        <w:rFonts w:ascii="Symbol" w:hAnsi="Symbol" w:hint="default"/>
      </w:rPr>
    </w:lvl>
    <w:lvl w:ilvl="4" w:tplc="0C090003" w:tentative="1">
      <w:start w:val="1"/>
      <w:numFmt w:val="bullet"/>
      <w:lvlText w:val="o"/>
      <w:lvlJc w:val="left"/>
      <w:pPr>
        <w:tabs>
          <w:tab w:val="num" w:pos="3528"/>
        </w:tabs>
        <w:ind w:left="3528" w:hanging="360"/>
      </w:pPr>
      <w:rPr>
        <w:rFonts w:ascii="Courier New" w:hAnsi="Courier New" w:cs="Courier New" w:hint="default"/>
      </w:rPr>
    </w:lvl>
    <w:lvl w:ilvl="5" w:tplc="0C090005" w:tentative="1">
      <w:start w:val="1"/>
      <w:numFmt w:val="bullet"/>
      <w:lvlText w:val=""/>
      <w:lvlJc w:val="left"/>
      <w:pPr>
        <w:tabs>
          <w:tab w:val="num" w:pos="4248"/>
        </w:tabs>
        <w:ind w:left="4248" w:hanging="360"/>
      </w:pPr>
      <w:rPr>
        <w:rFonts w:ascii="Wingdings" w:hAnsi="Wingdings" w:hint="default"/>
      </w:rPr>
    </w:lvl>
    <w:lvl w:ilvl="6" w:tplc="0C090001" w:tentative="1">
      <w:start w:val="1"/>
      <w:numFmt w:val="bullet"/>
      <w:lvlText w:val=""/>
      <w:lvlJc w:val="left"/>
      <w:pPr>
        <w:tabs>
          <w:tab w:val="num" w:pos="4968"/>
        </w:tabs>
        <w:ind w:left="4968" w:hanging="360"/>
      </w:pPr>
      <w:rPr>
        <w:rFonts w:ascii="Symbol" w:hAnsi="Symbol" w:hint="default"/>
      </w:rPr>
    </w:lvl>
    <w:lvl w:ilvl="7" w:tplc="0C090003" w:tentative="1">
      <w:start w:val="1"/>
      <w:numFmt w:val="bullet"/>
      <w:lvlText w:val="o"/>
      <w:lvlJc w:val="left"/>
      <w:pPr>
        <w:tabs>
          <w:tab w:val="num" w:pos="5688"/>
        </w:tabs>
        <w:ind w:left="5688" w:hanging="360"/>
      </w:pPr>
      <w:rPr>
        <w:rFonts w:ascii="Courier New" w:hAnsi="Courier New" w:cs="Courier New" w:hint="default"/>
      </w:rPr>
    </w:lvl>
    <w:lvl w:ilvl="8" w:tplc="0C090005" w:tentative="1">
      <w:start w:val="1"/>
      <w:numFmt w:val="bullet"/>
      <w:lvlText w:val=""/>
      <w:lvlJc w:val="left"/>
      <w:pPr>
        <w:tabs>
          <w:tab w:val="num" w:pos="6408"/>
        </w:tabs>
        <w:ind w:left="6408" w:hanging="360"/>
      </w:pPr>
      <w:rPr>
        <w:rFonts w:ascii="Wingdings" w:hAnsi="Wingdings" w:hint="default"/>
      </w:rPr>
    </w:lvl>
  </w:abstractNum>
  <w:abstractNum w:abstractNumId="18" w15:restartNumberingAfterBreak="0">
    <w:nsid w:val="51AD285D"/>
    <w:multiLevelType w:val="hybridMultilevel"/>
    <w:tmpl w:val="693C9BBA"/>
    <w:lvl w:ilvl="0" w:tplc="130AC008">
      <w:start w:val="1"/>
      <w:numFmt w:val="decimal"/>
      <w:lvlText w:val="(%1)"/>
      <w:lvlJc w:val="left"/>
      <w:pPr>
        <w:ind w:left="720" w:hanging="360"/>
      </w:pPr>
      <w:rPr>
        <w:rFonts w:ascii="Arial" w:hAnsi="Arial" w:hint="default"/>
        <w:b w:val="0"/>
        <w:i w:val="0"/>
        <w:sz w:val="22"/>
      </w:rPr>
    </w:lvl>
    <w:lvl w:ilvl="1" w:tplc="088C559A">
      <w:start w:val="1"/>
      <w:numFmt w:val="lowerLetter"/>
      <w:lvlText w:val="(%2)"/>
      <w:lvlJc w:val="left"/>
      <w:pPr>
        <w:ind w:left="1440" w:hanging="360"/>
      </w:pPr>
      <w:rPr>
        <w:rFonts w:ascii="Arial" w:hAnsi="Arial" w:cs="Arial" w:hint="default"/>
        <w:b w:val="0"/>
        <w:i w:val="0"/>
        <w:sz w:val="22"/>
      </w:rPr>
    </w:lvl>
    <w:lvl w:ilvl="2" w:tplc="AE92C8F6">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09690B"/>
    <w:multiLevelType w:val="hybridMultilevel"/>
    <w:tmpl w:val="2DEE48FE"/>
    <w:lvl w:ilvl="0" w:tplc="122678C0">
      <w:start w:val="1"/>
      <w:numFmt w:val="bullet"/>
      <w:lvlText w:val=""/>
      <w:lvlJc w:val="left"/>
      <w:pPr>
        <w:tabs>
          <w:tab w:val="num" w:pos="360"/>
        </w:tabs>
        <w:ind w:left="360" w:hanging="360"/>
      </w:pPr>
      <w:rPr>
        <w:rFonts w:ascii="Wingdings 2" w:hAnsi="Wingdings 2" w:hint="default"/>
      </w:rPr>
    </w:lvl>
    <w:lvl w:ilvl="1" w:tplc="F648EA58">
      <w:start w:val="1"/>
      <w:numFmt w:val="bullet"/>
      <w:lvlText w:val="-"/>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7E2252"/>
    <w:multiLevelType w:val="hybridMultilevel"/>
    <w:tmpl w:val="6476A204"/>
    <w:lvl w:ilvl="0" w:tplc="E5E046F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8CC4184"/>
    <w:multiLevelType w:val="hybridMultilevel"/>
    <w:tmpl w:val="3A2E7DAE"/>
    <w:lvl w:ilvl="0" w:tplc="F648EA58">
      <w:start w:val="1"/>
      <w:numFmt w:val="bullet"/>
      <w:lvlText w:val="-"/>
      <w:lvlJc w:val="left"/>
      <w:pPr>
        <w:tabs>
          <w:tab w:val="num" w:pos="648"/>
        </w:tabs>
        <w:ind w:left="648" w:hanging="360"/>
      </w:pPr>
      <w:rPr>
        <w:rFonts w:ascii="Courier New" w:hAnsi="Courier New" w:hint="default"/>
      </w:rPr>
    </w:lvl>
    <w:lvl w:ilvl="1" w:tplc="F648EA58">
      <w:start w:val="1"/>
      <w:numFmt w:val="bullet"/>
      <w:lvlText w:val="-"/>
      <w:lvlJc w:val="left"/>
      <w:pPr>
        <w:tabs>
          <w:tab w:val="num" w:pos="1008"/>
        </w:tabs>
        <w:ind w:left="1008" w:hanging="360"/>
      </w:pPr>
      <w:rPr>
        <w:rFonts w:ascii="Courier New" w:hAnsi="Courier New" w:hint="default"/>
      </w:rPr>
    </w:lvl>
    <w:lvl w:ilvl="2" w:tplc="0C090005" w:tentative="1">
      <w:start w:val="1"/>
      <w:numFmt w:val="bullet"/>
      <w:lvlText w:val=""/>
      <w:lvlJc w:val="left"/>
      <w:pPr>
        <w:tabs>
          <w:tab w:val="num" w:pos="2088"/>
        </w:tabs>
        <w:ind w:left="2088" w:hanging="360"/>
      </w:pPr>
      <w:rPr>
        <w:rFonts w:ascii="Wingdings" w:hAnsi="Wingdings" w:hint="default"/>
      </w:rPr>
    </w:lvl>
    <w:lvl w:ilvl="3" w:tplc="0C090001" w:tentative="1">
      <w:start w:val="1"/>
      <w:numFmt w:val="bullet"/>
      <w:lvlText w:val=""/>
      <w:lvlJc w:val="left"/>
      <w:pPr>
        <w:tabs>
          <w:tab w:val="num" w:pos="2808"/>
        </w:tabs>
        <w:ind w:left="2808" w:hanging="360"/>
      </w:pPr>
      <w:rPr>
        <w:rFonts w:ascii="Symbol" w:hAnsi="Symbol" w:hint="default"/>
      </w:rPr>
    </w:lvl>
    <w:lvl w:ilvl="4" w:tplc="0C090003" w:tentative="1">
      <w:start w:val="1"/>
      <w:numFmt w:val="bullet"/>
      <w:lvlText w:val="o"/>
      <w:lvlJc w:val="left"/>
      <w:pPr>
        <w:tabs>
          <w:tab w:val="num" w:pos="3528"/>
        </w:tabs>
        <w:ind w:left="3528" w:hanging="360"/>
      </w:pPr>
      <w:rPr>
        <w:rFonts w:ascii="Courier New" w:hAnsi="Courier New" w:cs="Courier New" w:hint="default"/>
      </w:rPr>
    </w:lvl>
    <w:lvl w:ilvl="5" w:tplc="0C090005" w:tentative="1">
      <w:start w:val="1"/>
      <w:numFmt w:val="bullet"/>
      <w:lvlText w:val=""/>
      <w:lvlJc w:val="left"/>
      <w:pPr>
        <w:tabs>
          <w:tab w:val="num" w:pos="4248"/>
        </w:tabs>
        <w:ind w:left="4248" w:hanging="360"/>
      </w:pPr>
      <w:rPr>
        <w:rFonts w:ascii="Wingdings" w:hAnsi="Wingdings" w:hint="default"/>
      </w:rPr>
    </w:lvl>
    <w:lvl w:ilvl="6" w:tplc="0C090001" w:tentative="1">
      <w:start w:val="1"/>
      <w:numFmt w:val="bullet"/>
      <w:lvlText w:val=""/>
      <w:lvlJc w:val="left"/>
      <w:pPr>
        <w:tabs>
          <w:tab w:val="num" w:pos="4968"/>
        </w:tabs>
        <w:ind w:left="4968" w:hanging="360"/>
      </w:pPr>
      <w:rPr>
        <w:rFonts w:ascii="Symbol" w:hAnsi="Symbol" w:hint="default"/>
      </w:rPr>
    </w:lvl>
    <w:lvl w:ilvl="7" w:tplc="0C090003" w:tentative="1">
      <w:start w:val="1"/>
      <w:numFmt w:val="bullet"/>
      <w:lvlText w:val="o"/>
      <w:lvlJc w:val="left"/>
      <w:pPr>
        <w:tabs>
          <w:tab w:val="num" w:pos="5688"/>
        </w:tabs>
        <w:ind w:left="5688" w:hanging="360"/>
      </w:pPr>
      <w:rPr>
        <w:rFonts w:ascii="Courier New" w:hAnsi="Courier New" w:cs="Courier New" w:hint="default"/>
      </w:rPr>
    </w:lvl>
    <w:lvl w:ilvl="8" w:tplc="0C090005" w:tentative="1">
      <w:start w:val="1"/>
      <w:numFmt w:val="bullet"/>
      <w:lvlText w:val=""/>
      <w:lvlJc w:val="left"/>
      <w:pPr>
        <w:tabs>
          <w:tab w:val="num" w:pos="6408"/>
        </w:tabs>
        <w:ind w:left="6408" w:hanging="360"/>
      </w:pPr>
      <w:rPr>
        <w:rFonts w:ascii="Wingdings" w:hAnsi="Wingdings" w:hint="default"/>
      </w:rPr>
    </w:lvl>
  </w:abstractNum>
  <w:abstractNum w:abstractNumId="22" w15:restartNumberingAfterBreak="0">
    <w:nsid w:val="5A553540"/>
    <w:multiLevelType w:val="hybridMultilevel"/>
    <w:tmpl w:val="18781FA0"/>
    <w:lvl w:ilvl="0" w:tplc="786C4E46">
      <w:start w:val="1"/>
      <w:numFmt w:val="lowerLetter"/>
      <w:lvlText w:val="(%1)"/>
      <w:lvlJc w:val="left"/>
      <w:pPr>
        <w:ind w:left="720" w:hanging="360"/>
      </w:pPr>
      <w:rPr>
        <w:rFonts w:ascii="Arial" w:hAnsi="Arial" w:cs="Arial" w:hint="default"/>
        <w:b w:val="0"/>
        <w:i w:val="0"/>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561948"/>
    <w:multiLevelType w:val="hybridMultilevel"/>
    <w:tmpl w:val="4850763A"/>
    <w:lvl w:ilvl="0" w:tplc="122678C0">
      <w:start w:val="1"/>
      <w:numFmt w:val="bullet"/>
      <w:lvlText w:val=""/>
      <w:lvlJc w:val="left"/>
      <w:pPr>
        <w:tabs>
          <w:tab w:val="num" w:pos="360"/>
        </w:tabs>
        <w:ind w:left="360" w:hanging="360"/>
      </w:pPr>
      <w:rPr>
        <w:rFonts w:ascii="Wingdings 2" w:hAnsi="Wingdings 2" w:hint="default"/>
      </w:rPr>
    </w:lvl>
    <w:lvl w:ilvl="1" w:tplc="F648EA58">
      <w:start w:val="1"/>
      <w:numFmt w:val="bullet"/>
      <w:lvlText w:val="-"/>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EB339F"/>
    <w:multiLevelType w:val="hybridMultilevel"/>
    <w:tmpl w:val="38B8609E"/>
    <w:lvl w:ilvl="0" w:tplc="8F448FC0">
      <w:start w:val="1"/>
      <w:numFmt w:val="bullet"/>
      <w:lvlText w:val=""/>
      <w:lvlJc w:val="left"/>
      <w:pPr>
        <w:tabs>
          <w:tab w:val="num" w:pos="405"/>
        </w:tabs>
        <w:ind w:left="405"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780935"/>
    <w:multiLevelType w:val="hybridMultilevel"/>
    <w:tmpl w:val="1D0A856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967DA1"/>
    <w:multiLevelType w:val="hybridMultilevel"/>
    <w:tmpl w:val="C458E494"/>
    <w:lvl w:ilvl="0" w:tplc="122678C0">
      <w:start w:val="1"/>
      <w:numFmt w:val="bullet"/>
      <w:lvlText w:val=""/>
      <w:lvlJc w:val="left"/>
      <w:pPr>
        <w:tabs>
          <w:tab w:val="num" w:pos="360"/>
        </w:tabs>
        <w:ind w:left="360" w:hanging="360"/>
      </w:pPr>
      <w:rPr>
        <w:rFonts w:ascii="Wingdings 2" w:hAnsi="Wingdings 2" w:hint="default"/>
      </w:rPr>
    </w:lvl>
    <w:lvl w:ilvl="1" w:tplc="F648EA58">
      <w:start w:val="1"/>
      <w:numFmt w:val="bullet"/>
      <w:lvlText w:val="-"/>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5E940CD"/>
    <w:multiLevelType w:val="hybridMultilevel"/>
    <w:tmpl w:val="8D2AF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AC0D6B"/>
    <w:multiLevelType w:val="hybridMultilevel"/>
    <w:tmpl w:val="7414B1A0"/>
    <w:lvl w:ilvl="0" w:tplc="BFCA551C">
      <w:start w:val="1"/>
      <w:numFmt w:val="decimal"/>
      <w:lvlText w:val="(%1)"/>
      <w:lvlJc w:val="left"/>
      <w:pPr>
        <w:ind w:left="720" w:hanging="360"/>
      </w:pPr>
      <w:rPr>
        <w:rFonts w:hint="default"/>
        <w:sz w:val="22"/>
        <w:szCs w:val="22"/>
      </w:rPr>
    </w:lvl>
    <w:lvl w:ilvl="1" w:tplc="1FA665D2">
      <w:start w:val="1"/>
      <w:numFmt w:val="lowerLetter"/>
      <w:lvlText w:val="(%2)"/>
      <w:lvlJc w:val="left"/>
      <w:pPr>
        <w:ind w:left="1440" w:hanging="360"/>
      </w:pPr>
      <w:rPr>
        <w:rFonts w:hint="default"/>
      </w:rPr>
    </w:lvl>
    <w:lvl w:ilvl="2" w:tplc="BC26B34A">
      <w:start w:val="1"/>
      <w:numFmt w:val="lowerRoman"/>
      <w:lvlText w:val="(%3)"/>
      <w:lvlJc w:val="right"/>
      <w:pPr>
        <w:ind w:left="2160" w:hanging="180"/>
      </w:pPr>
      <w:rPr>
        <w:rFonts w:hint="default"/>
      </w:rPr>
    </w:lvl>
    <w:lvl w:ilvl="3" w:tplc="5EC643B6">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FE1AAE"/>
    <w:multiLevelType w:val="hybridMultilevel"/>
    <w:tmpl w:val="105255BC"/>
    <w:lvl w:ilvl="0" w:tplc="9620B3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1235422">
    <w:abstractNumId w:val="8"/>
  </w:num>
  <w:num w:numId="2" w16cid:durableId="625816783">
    <w:abstractNumId w:val="16"/>
  </w:num>
  <w:num w:numId="3" w16cid:durableId="366567722">
    <w:abstractNumId w:val="24"/>
  </w:num>
  <w:num w:numId="4" w16cid:durableId="1393773440">
    <w:abstractNumId w:val="17"/>
  </w:num>
  <w:num w:numId="5" w16cid:durableId="918488812">
    <w:abstractNumId w:val="0"/>
  </w:num>
  <w:num w:numId="6" w16cid:durableId="224872766">
    <w:abstractNumId w:val="26"/>
  </w:num>
  <w:num w:numId="7" w16cid:durableId="435827116">
    <w:abstractNumId w:val="21"/>
  </w:num>
  <w:num w:numId="8" w16cid:durableId="707797823">
    <w:abstractNumId w:val="19"/>
  </w:num>
  <w:num w:numId="9" w16cid:durableId="1242760533">
    <w:abstractNumId w:val="15"/>
  </w:num>
  <w:num w:numId="10" w16cid:durableId="382868664">
    <w:abstractNumId w:val="2"/>
  </w:num>
  <w:num w:numId="11" w16cid:durableId="2105296377">
    <w:abstractNumId w:val="23"/>
  </w:num>
  <w:num w:numId="12" w16cid:durableId="257641754">
    <w:abstractNumId w:val="29"/>
  </w:num>
  <w:num w:numId="13" w16cid:durableId="1378435100">
    <w:abstractNumId w:val="20"/>
  </w:num>
  <w:num w:numId="14" w16cid:durableId="339894810">
    <w:abstractNumId w:val="27"/>
  </w:num>
  <w:num w:numId="15" w16cid:durableId="243610253">
    <w:abstractNumId w:val="4"/>
  </w:num>
  <w:num w:numId="16" w16cid:durableId="1409960662">
    <w:abstractNumId w:val="14"/>
  </w:num>
  <w:num w:numId="17" w16cid:durableId="2113235628">
    <w:abstractNumId w:val="18"/>
  </w:num>
  <w:num w:numId="18" w16cid:durableId="709037449">
    <w:abstractNumId w:val="10"/>
  </w:num>
  <w:num w:numId="19" w16cid:durableId="974219000">
    <w:abstractNumId w:val="9"/>
  </w:num>
  <w:num w:numId="20" w16cid:durableId="2123381539">
    <w:abstractNumId w:val="7"/>
  </w:num>
  <w:num w:numId="21" w16cid:durableId="1092705961">
    <w:abstractNumId w:val="25"/>
  </w:num>
  <w:num w:numId="22" w16cid:durableId="1015110534">
    <w:abstractNumId w:val="5"/>
  </w:num>
  <w:num w:numId="23" w16cid:durableId="1455751653">
    <w:abstractNumId w:val="6"/>
  </w:num>
  <w:num w:numId="24" w16cid:durableId="1843932607">
    <w:abstractNumId w:val="12"/>
  </w:num>
  <w:num w:numId="25" w16cid:durableId="2001616352">
    <w:abstractNumId w:val="11"/>
  </w:num>
  <w:num w:numId="26" w16cid:durableId="531112434">
    <w:abstractNumId w:val="1"/>
  </w:num>
  <w:num w:numId="27" w16cid:durableId="1745175440">
    <w:abstractNumId w:val="22"/>
  </w:num>
  <w:num w:numId="28" w16cid:durableId="1431392806">
    <w:abstractNumId w:val="3"/>
  </w:num>
  <w:num w:numId="29" w16cid:durableId="771585674">
    <w:abstractNumId w:val="13"/>
  </w:num>
  <w:num w:numId="30" w16cid:durableId="7097606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0A"/>
    <w:rsid w:val="000206BE"/>
    <w:rsid w:val="00021B1D"/>
    <w:rsid w:val="00030C48"/>
    <w:rsid w:val="0003109E"/>
    <w:rsid w:val="00036EB8"/>
    <w:rsid w:val="00043657"/>
    <w:rsid w:val="00050C23"/>
    <w:rsid w:val="00057A3A"/>
    <w:rsid w:val="000610BD"/>
    <w:rsid w:val="0006765E"/>
    <w:rsid w:val="00070962"/>
    <w:rsid w:val="00085BC4"/>
    <w:rsid w:val="0009665C"/>
    <w:rsid w:val="000A6D6D"/>
    <w:rsid w:val="000B1406"/>
    <w:rsid w:val="000B29F3"/>
    <w:rsid w:val="000D0EE1"/>
    <w:rsid w:val="000D1E5C"/>
    <w:rsid w:val="000D2100"/>
    <w:rsid w:val="000D261E"/>
    <w:rsid w:val="001231DD"/>
    <w:rsid w:val="00147C12"/>
    <w:rsid w:val="00167AC8"/>
    <w:rsid w:val="00170EBB"/>
    <w:rsid w:val="001B1E8C"/>
    <w:rsid w:val="001B6625"/>
    <w:rsid w:val="001C2E58"/>
    <w:rsid w:val="001F4893"/>
    <w:rsid w:val="00206077"/>
    <w:rsid w:val="00236153"/>
    <w:rsid w:val="002514ED"/>
    <w:rsid w:val="002539DE"/>
    <w:rsid w:val="002664AD"/>
    <w:rsid w:val="0027774E"/>
    <w:rsid w:val="00282398"/>
    <w:rsid w:val="002A2C48"/>
    <w:rsid w:val="002A322C"/>
    <w:rsid w:val="002B0B79"/>
    <w:rsid w:val="002B773B"/>
    <w:rsid w:val="002D30F4"/>
    <w:rsid w:val="002E09D6"/>
    <w:rsid w:val="002F383C"/>
    <w:rsid w:val="00303337"/>
    <w:rsid w:val="003067FA"/>
    <w:rsid w:val="00310B3C"/>
    <w:rsid w:val="003660F2"/>
    <w:rsid w:val="003907BB"/>
    <w:rsid w:val="00396965"/>
    <w:rsid w:val="003A4954"/>
    <w:rsid w:val="003A715D"/>
    <w:rsid w:val="003B0C7E"/>
    <w:rsid w:val="003C3284"/>
    <w:rsid w:val="003D3A48"/>
    <w:rsid w:val="003D431F"/>
    <w:rsid w:val="003D6118"/>
    <w:rsid w:val="003F52C3"/>
    <w:rsid w:val="004039E2"/>
    <w:rsid w:val="0040730B"/>
    <w:rsid w:val="00441754"/>
    <w:rsid w:val="00466124"/>
    <w:rsid w:val="004862D2"/>
    <w:rsid w:val="004A0302"/>
    <w:rsid w:val="004A5213"/>
    <w:rsid w:val="004C0311"/>
    <w:rsid w:val="004E5D12"/>
    <w:rsid w:val="004E7DE4"/>
    <w:rsid w:val="00504D24"/>
    <w:rsid w:val="00507CD4"/>
    <w:rsid w:val="00511D19"/>
    <w:rsid w:val="00536847"/>
    <w:rsid w:val="00543979"/>
    <w:rsid w:val="00544D83"/>
    <w:rsid w:val="0054632E"/>
    <w:rsid w:val="00546AE3"/>
    <w:rsid w:val="00560AEC"/>
    <w:rsid w:val="00561396"/>
    <w:rsid w:val="00572C31"/>
    <w:rsid w:val="00573B63"/>
    <w:rsid w:val="0057778F"/>
    <w:rsid w:val="00583C1B"/>
    <w:rsid w:val="00587271"/>
    <w:rsid w:val="005962DB"/>
    <w:rsid w:val="005A7D42"/>
    <w:rsid w:val="005D1435"/>
    <w:rsid w:val="005D6136"/>
    <w:rsid w:val="005E46F9"/>
    <w:rsid w:val="005F11BA"/>
    <w:rsid w:val="00605D85"/>
    <w:rsid w:val="006232AC"/>
    <w:rsid w:val="00634512"/>
    <w:rsid w:val="00640551"/>
    <w:rsid w:val="0064126C"/>
    <w:rsid w:val="00643237"/>
    <w:rsid w:val="00647B7F"/>
    <w:rsid w:val="00652FF6"/>
    <w:rsid w:val="00654F32"/>
    <w:rsid w:val="0069652C"/>
    <w:rsid w:val="006A6605"/>
    <w:rsid w:val="006B0442"/>
    <w:rsid w:val="006B6DC2"/>
    <w:rsid w:val="006C0E7B"/>
    <w:rsid w:val="006D0612"/>
    <w:rsid w:val="006D624C"/>
    <w:rsid w:val="00701328"/>
    <w:rsid w:val="00701848"/>
    <w:rsid w:val="00707FAD"/>
    <w:rsid w:val="007264DF"/>
    <w:rsid w:val="007620BE"/>
    <w:rsid w:val="00784E0E"/>
    <w:rsid w:val="0079150B"/>
    <w:rsid w:val="007945FF"/>
    <w:rsid w:val="007C116A"/>
    <w:rsid w:val="007D0723"/>
    <w:rsid w:val="007E1F15"/>
    <w:rsid w:val="007F673E"/>
    <w:rsid w:val="0081032C"/>
    <w:rsid w:val="00810AE4"/>
    <w:rsid w:val="0081689E"/>
    <w:rsid w:val="00816ED1"/>
    <w:rsid w:val="00841742"/>
    <w:rsid w:val="00855FF0"/>
    <w:rsid w:val="008873A4"/>
    <w:rsid w:val="0089630A"/>
    <w:rsid w:val="008A208B"/>
    <w:rsid w:val="008A3FF8"/>
    <w:rsid w:val="008D43B4"/>
    <w:rsid w:val="008E133E"/>
    <w:rsid w:val="008E60A4"/>
    <w:rsid w:val="008F64A1"/>
    <w:rsid w:val="00923B18"/>
    <w:rsid w:val="00934386"/>
    <w:rsid w:val="00936EA6"/>
    <w:rsid w:val="0094114E"/>
    <w:rsid w:val="0094130D"/>
    <w:rsid w:val="0096070E"/>
    <w:rsid w:val="0096715B"/>
    <w:rsid w:val="009709A0"/>
    <w:rsid w:val="0097247A"/>
    <w:rsid w:val="00980211"/>
    <w:rsid w:val="009926D2"/>
    <w:rsid w:val="009D2736"/>
    <w:rsid w:val="009E3FE3"/>
    <w:rsid w:val="009F6C76"/>
    <w:rsid w:val="009F7A60"/>
    <w:rsid w:val="00A1692E"/>
    <w:rsid w:val="00A37207"/>
    <w:rsid w:val="00A5221C"/>
    <w:rsid w:val="00A66F49"/>
    <w:rsid w:val="00A84DE4"/>
    <w:rsid w:val="00A95138"/>
    <w:rsid w:val="00AD2591"/>
    <w:rsid w:val="00AE29BC"/>
    <w:rsid w:val="00AE32C9"/>
    <w:rsid w:val="00AF136A"/>
    <w:rsid w:val="00B10228"/>
    <w:rsid w:val="00B14A4F"/>
    <w:rsid w:val="00B311E8"/>
    <w:rsid w:val="00B41A73"/>
    <w:rsid w:val="00B44C9D"/>
    <w:rsid w:val="00B63D11"/>
    <w:rsid w:val="00B703D8"/>
    <w:rsid w:val="00B75EB4"/>
    <w:rsid w:val="00B775B7"/>
    <w:rsid w:val="00B85342"/>
    <w:rsid w:val="00B93874"/>
    <w:rsid w:val="00BF1F82"/>
    <w:rsid w:val="00BF724C"/>
    <w:rsid w:val="00C07D30"/>
    <w:rsid w:val="00C37172"/>
    <w:rsid w:val="00C63D02"/>
    <w:rsid w:val="00C705CC"/>
    <w:rsid w:val="00C92ED4"/>
    <w:rsid w:val="00CA06E9"/>
    <w:rsid w:val="00CA5F44"/>
    <w:rsid w:val="00CA722D"/>
    <w:rsid w:val="00CB2527"/>
    <w:rsid w:val="00CF2C34"/>
    <w:rsid w:val="00CF462E"/>
    <w:rsid w:val="00CF704D"/>
    <w:rsid w:val="00D13646"/>
    <w:rsid w:val="00D56FAA"/>
    <w:rsid w:val="00D61F2D"/>
    <w:rsid w:val="00D656BF"/>
    <w:rsid w:val="00D66FE4"/>
    <w:rsid w:val="00D91A6A"/>
    <w:rsid w:val="00DA1889"/>
    <w:rsid w:val="00DA52CC"/>
    <w:rsid w:val="00DB3027"/>
    <w:rsid w:val="00DD543D"/>
    <w:rsid w:val="00DE4652"/>
    <w:rsid w:val="00E045D4"/>
    <w:rsid w:val="00E0481D"/>
    <w:rsid w:val="00E060C2"/>
    <w:rsid w:val="00E1375F"/>
    <w:rsid w:val="00E32EA5"/>
    <w:rsid w:val="00E43331"/>
    <w:rsid w:val="00E4565A"/>
    <w:rsid w:val="00E4760B"/>
    <w:rsid w:val="00E86BDE"/>
    <w:rsid w:val="00E9013F"/>
    <w:rsid w:val="00E91DDC"/>
    <w:rsid w:val="00ED51AD"/>
    <w:rsid w:val="00EE63B5"/>
    <w:rsid w:val="00EE6CAC"/>
    <w:rsid w:val="00F132F2"/>
    <w:rsid w:val="00F321A7"/>
    <w:rsid w:val="00F55F5A"/>
    <w:rsid w:val="00F804B7"/>
    <w:rsid w:val="00F82B32"/>
    <w:rsid w:val="00FA1813"/>
    <w:rsid w:val="00FB02A9"/>
    <w:rsid w:val="00FC04E2"/>
    <w:rsid w:val="00FC0A58"/>
    <w:rsid w:val="00FC20AF"/>
    <w:rsid w:val="00FD496A"/>
    <w:rsid w:val="00FE4F66"/>
    <w:rsid w:val="00FE5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3D31A47"/>
  <w15:docId w15:val="{9FF31BAE-F2E5-4E11-AD42-37F43E9A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5CC"/>
    <w:rPr>
      <w:rFonts w:ascii="Arial" w:hAnsi="Arial"/>
    </w:rPr>
  </w:style>
  <w:style w:type="paragraph" w:styleId="Heading1">
    <w:name w:val="heading 1"/>
    <w:basedOn w:val="Normal"/>
    <w:next w:val="Normal"/>
    <w:qFormat/>
    <w:rsid w:val="00D56FAA"/>
    <w:pPr>
      <w:keepNext/>
      <w:tabs>
        <w:tab w:val="right" w:pos="10490"/>
      </w:tabs>
      <w:outlineLvl w:val="0"/>
    </w:pPr>
    <w:rPr>
      <w:color w:val="347B9F"/>
      <w:sz w:val="36"/>
    </w:rPr>
  </w:style>
  <w:style w:type="paragraph" w:styleId="Heading2">
    <w:name w:val="heading 2"/>
    <w:basedOn w:val="Normal"/>
    <w:next w:val="Normal"/>
    <w:qFormat/>
    <w:rsid w:val="000D0EE1"/>
    <w:pPr>
      <w:keepNext/>
      <w:spacing w:before="240" w:after="60"/>
      <w:outlineLvl w:val="1"/>
    </w:pPr>
    <w:rPr>
      <w:color w:val="357B9F"/>
      <w:sz w:val="28"/>
    </w:rPr>
  </w:style>
  <w:style w:type="paragraph" w:styleId="Heading3">
    <w:name w:val="heading 3"/>
    <w:basedOn w:val="Normal"/>
    <w:next w:val="Normal"/>
    <w:qFormat/>
    <w:rsid w:val="00D56FAA"/>
    <w:pPr>
      <w:keepNext/>
      <w:spacing w:before="240" w:after="60"/>
      <w:outlineLvl w:val="2"/>
    </w:pPr>
    <w:rPr>
      <w:rFonts w:cs="Arial"/>
      <w:bCs/>
      <w:color w:val="347B9F"/>
      <w:sz w:val="24"/>
      <w:szCs w:val="26"/>
    </w:rPr>
  </w:style>
  <w:style w:type="paragraph" w:styleId="Heading4">
    <w:name w:val="heading 4"/>
    <w:basedOn w:val="Normal"/>
    <w:next w:val="Normal"/>
    <w:qFormat/>
    <w:rsid w:val="000B1406"/>
    <w:pPr>
      <w:keepNext/>
      <w:spacing w:before="240" w:after="60"/>
      <w:outlineLvl w:val="3"/>
    </w:pPr>
    <w:rPr>
      <w:rFonts w:ascii="Times New Roman" w:hAnsi="Times New Roman"/>
      <w:b/>
      <w:bCs/>
      <w:sz w:val="28"/>
      <w:szCs w:val="28"/>
    </w:rPr>
  </w:style>
  <w:style w:type="paragraph" w:styleId="Heading7">
    <w:name w:val="heading 7"/>
    <w:basedOn w:val="Normal"/>
    <w:next w:val="Normal"/>
    <w:qFormat/>
    <w:rsid w:val="000B1406"/>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705CC"/>
    <w:pPr>
      <w:tabs>
        <w:tab w:val="right" w:leader="dot" w:pos="9629"/>
      </w:tabs>
      <w:spacing w:before="360"/>
    </w:pPr>
    <w:rPr>
      <w:bCs/>
      <w:noProof/>
      <w:color w:val="000000" w:themeColor="text1"/>
      <w:sz w:val="22"/>
      <w:szCs w:val="24"/>
    </w:rPr>
  </w:style>
  <w:style w:type="paragraph" w:styleId="TOC2">
    <w:name w:val="toc 2"/>
    <w:basedOn w:val="Normal"/>
    <w:next w:val="Normal"/>
    <w:autoRedefine/>
    <w:uiPriority w:val="39"/>
    <w:qFormat/>
    <w:rsid w:val="00ED51AD"/>
    <w:pPr>
      <w:spacing w:before="240"/>
      <w:ind w:left="113"/>
    </w:pPr>
    <w:rPr>
      <w:rFonts w:cstheme="minorHAnsi"/>
      <w:bCs/>
      <w:sz w:val="22"/>
    </w:rPr>
  </w:style>
  <w:style w:type="paragraph" w:styleId="Header">
    <w:name w:val="header"/>
    <w:basedOn w:val="Normal"/>
    <w:pPr>
      <w:tabs>
        <w:tab w:val="center" w:pos="4153"/>
        <w:tab w:val="right" w:pos="8306"/>
      </w:tabs>
    </w:pPr>
    <w:rPr>
      <w:rFonts w:ascii="Times New Roman" w:hAnsi="Times New Roman"/>
      <w:sz w:val="24"/>
    </w:rPr>
  </w:style>
  <w:style w:type="paragraph" w:styleId="BodyText">
    <w:name w:val="Body Text"/>
    <w:basedOn w:val="Normal"/>
    <w:rPr>
      <w:b/>
      <w:sz w:val="24"/>
    </w:rPr>
  </w:style>
  <w:style w:type="character" w:styleId="PageNumber">
    <w:name w:val="page number"/>
    <w:basedOn w:val="DefaultParagraphFont"/>
  </w:style>
  <w:style w:type="paragraph" w:styleId="Footer">
    <w:name w:val="footer"/>
    <w:basedOn w:val="Normal"/>
    <w:rsid w:val="00D56FAA"/>
    <w:pPr>
      <w:tabs>
        <w:tab w:val="center" w:pos="4153"/>
        <w:tab w:val="right" w:pos="8306"/>
      </w:tabs>
    </w:pPr>
    <w:rPr>
      <w:color w:val="373D41"/>
    </w:rPr>
  </w:style>
  <w:style w:type="paragraph" w:styleId="BodyText2">
    <w:name w:val="Body Text 2"/>
    <w:basedOn w:val="Normal"/>
    <w:pPr>
      <w:tabs>
        <w:tab w:val="left" w:pos="567"/>
      </w:tabs>
    </w:pPr>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9652C"/>
    <w:rPr>
      <w:rFonts w:ascii="Tahoma" w:hAnsi="Tahoma" w:cs="Tahoma"/>
      <w:sz w:val="16"/>
      <w:szCs w:val="16"/>
    </w:rPr>
  </w:style>
  <w:style w:type="paragraph" w:styleId="BodyTextIndent2">
    <w:name w:val="Body Text Indent 2"/>
    <w:basedOn w:val="Normal"/>
    <w:rsid w:val="005D6136"/>
    <w:pPr>
      <w:spacing w:after="120" w:line="480" w:lineRule="auto"/>
      <w:ind w:left="283"/>
    </w:pPr>
  </w:style>
  <w:style w:type="table" w:styleId="TableGrid">
    <w:name w:val="Table Grid"/>
    <w:basedOn w:val="TableNormal"/>
    <w:rsid w:val="00C0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C2E58"/>
    <w:pPr>
      <w:spacing w:after="120"/>
    </w:pPr>
    <w:rPr>
      <w:sz w:val="16"/>
      <w:szCs w:val="16"/>
    </w:rPr>
  </w:style>
  <w:style w:type="paragraph" w:styleId="Title">
    <w:name w:val="Title"/>
    <w:basedOn w:val="Normal"/>
    <w:next w:val="Normal"/>
    <w:link w:val="TitleChar"/>
    <w:uiPriority w:val="10"/>
    <w:qFormat/>
    <w:rsid w:val="00441754"/>
    <w:pPr>
      <w:pBdr>
        <w:bottom w:val="single" w:sz="8" w:space="4" w:color="4F81BD"/>
      </w:pBdr>
      <w:spacing w:after="300"/>
      <w:contextualSpacing/>
    </w:pPr>
    <w:rPr>
      <w:rFonts w:ascii="Cambria" w:eastAsia="MS Gothic" w:hAnsi="Cambria"/>
      <w:color w:val="17365D"/>
      <w:spacing w:val="5"/>
      <w:kern w:val="28"/>
      <w:sz w:val="52"/>
      <w:szCs w:val="52"/>
      <w:lang w:val="en-US" w:eastAsia="ja-JP"/>
    </w:rPr>
  </w:style>
  <w:style w:type="character" w:customStyle="1" w:styleId="TitleChar">
    <w:name w:val="Title Char"/>
    <w:link w:val="Title"/>
    <w:uiPriority w:val="10"/>
    <w:rsid w:val="00441754"/>
    <w:rPr>
      <w:rFonts w:ascii="Cambria" w:eastAsia="MS Gothic" w:hAnsi="Cambria"/>
      <w:color w:val="17365D"/>
      <w:spacing w:val="5"/>
      <w:kern w:val="28"/>
      <w:sz w:val="52"/>
      <w:szCs w:val="52"/>
      <w:lang w:val="en-US" w:eastAsia="ja-JP"/>
    </w:rPr>
  </w:style>
  <w:style w:type="paragraph" w:styleId="Subtitle">
    <w:name w:val="Subtitle"/>
    <w:basedOn w:val="Normal"/>
    <w:next w:val="Normal"/>
    <w:link w:val="SubtitleChar"/>
    <w:uiPriority w:val="11"/>
    <w:qFormat/>
    <w:rsid w:val="00441754"/>
    <w:pPr>
      <w:numPr>
        <w:ilvl w:val="1"/>
      </w:numPr>
      <w:spacing w:after="200" w:line="276" w:lineRule="auto"/>
    </w:pPr>
    <w:rPr>
      <w:rFonts w:ascii="Cambria" w:eastAsia="MS Gothic" w:hAnsi="Cambria"/>
      <w:i/>
      <w:iCs/>
      <w:color w:val="4F81BD"/>
      <w:spacing w:val="15"/>
      <w:sz w:val="24"/>
      <w:szCs w:val="24"/>
      <w:lang w:val="en-US" w:eastAsia="ja-JP"/>
    </w:rPr>
  </w:style>
  <w:style w:type="character" w:customStyle="1" w:styleId="SubtitleChar">
    <w:name w:val="Subtitle Char"/>
    <w:link w:val="Subtitle"/>
    <w:uiPriority w:val="11"/>
    <w:rsid w:val="00441754"/>
    <w:rPr>
      <w:rFonts w:ascii="Cambria" w:eastAsia="MS Gothic" w:hAnsi="Cambria"/>
      <w:i/>
      <w:iCs/>
      <w:color w:val="4F81BD"/>
      <w:spacing w:val="15"/>
      <w:sz w:val="24"/>
      <w:szCs w:val="24"/>
      <w:lang w:val="en-US" w:eastAsia="ja-JP"/>
    </w:rPr>
  </w:style>
  <w:style w:type="paragraph" w:styleId="NoSpacing">
    <w:name w:val="No Spacing"/>
    <w:link w:val="NoSpacingChar"/>
    <w:uiPriority w:val="1"/>
    <w:qFormat/>
    <w:rsid w:val="00441754"/>
    <w:rPr>
      <w:rFonts w:ascii="Calibri" w:eastAsia="MS Mincho" w:hAnsi="Calibri" w:cs="Arial"/>
      <w:sz w:val="22"/>
      <w:szCs w:val="22"/>
      <w:lang w:val="en-US" w:eastAsia="ja-JP"/>
    </w:rPr>
  </w:style>
  <w:style w:type="character" w:customStyle="1" w:styleId="NoSpacingChar">
    <w:name w:val="No Spacing Char"/>
    <w:link w:val="NoSpacing"/>
    <w:uiPriority w:val="1"/>
    <w:rsid w:val="00441754"/>
    <w:rPr>
      <w:rFonts w:ascii="Calibri" w:eastAsia="MS Mincho" w:hAnsi="Calibri" w:cs="Arial"/>
      <w:sz w:val="22"/>
      <w:szCs w:val="22"/>
      <w:lang w:val="en-US" w:eastAsia="ja-JP"/>
    </w:rPr>
  </w:style>
  <w:style w:type="paragraph" w:styleId="ListParagraph">
    <w:name w:val="List Paragraph"/>
    <w:basedOn w:val="Normal"/>
    <w:uiPriority w:val="34"/>
    <w:qFormat/>
    <w:rsid w:val="00C37172"/>
    <w:pPr>
      <w:ind w:left="720"/>
      <w:contextualSpacing/>
    </w:pPr>
  </w:style>
  <w:style w:type="paragraph" w:styleId="TOC3">
    <w:name w:val="toc 3"/>
    <w:basedOn w:val="Normal"/>
    <w:next w:val="Normal"/>
    <w:autoRedefine/>
    <w:uiPriority w:val="39"/>
    <w:unhideWhenUsed/>
    <w:qFormat/>
    <w:rsid w:val="00C705CC"/>
    <w:pPr>
      <w:ind w:left="200"/>
    </w:pPr>
    <w:rPr>
      <w:rFonts w:asciiTheme="minorHAnsi" w:hAnsiTheme="minorHAnsi" w:cstheme="minorHAnsi"/>
    </w:rPr>
  </w:style>
  <w:style w:type="paragraph" w:styleId="TOCHeading">
    <w:name w:val="TOC Heading"/>
    <w:basedOn w:val="Heading1"/>
    <w:next w:val="Normal"/>
    <w:uiPriority w:val="39"/>
    <w:semiHidden/>
    <w:unhideWhenUsed/>
    <w:qFormat/>
    <w:rsid w:val="00FC04E2"/>
    <w:pPr>
      <w:keepLines/>
      <w:tabs>
        <w:tab w:val="clear" w:pos="10490"/>
      </w:tab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4">
    <w:name w:val="toc 4"/>
    <w:basedOn w:val="Normal"/>
    <w:next w:val="Normal"/>
    <w:autoRedefine/>
    <w:uiPriority w:val="39"/>
    <w:unhideWhenUsed/>
    <w:rsid w:val="00FC04E2"/>
    <w:pPr>
      <w:ind w:left="400"/>
    </w:pPr>
    <w:rPr>
      <w:rFonts w:asciiTheme="minorHAnsi" w:hAnsiTheme="minorHAnsi" w:cstheme="minorHAnsi"/>
    </w:rPr>
  </w:style>
  <w:style w:type="paragraph" w:styleId="TOC5">
    <w:name w:val="toc 5"/>
    <w:basedOn w:val="Normal"/>
    <w:next w:val="Normal"/>
    <w:autoRedefine/>
    <w:uiPriority w:val="39"/>
    <w:unhideWhenUsed/>
    <w:rsid w:val="00FC04E2"/>
    <w:pPr>
      <w:ind w:left="600"/>
    </w:pPr>
    <w:rPr>
      <w:rFonts w:asciiTheme="minorHAnsi" w:hAnsiTheme="minorHAnsi" w:cstheme="minorHAnsi"/>
    </w:rPr>
  </w:style>
  <w:style w:type="paragraph" w:styleId="TOC6">
    <w:name w:val="toc 6"/>
    <w:basedOn w:val="Normal"/>
    <w:next w:val="Normal"/>
    <w:autoRedefine/>
    <w:uiPriority w:val="39"/>
    <w:unhideWhenUsed/>
    <w:rsid w:val="00FC04E2"/>
    <w:pPr>
      <w:ind w:left="800"/>
    </w:pPr>
    <w:rPr>
      <w:rFonts w:asciiTheme="minorHAnsi" w:hAnsiTheme="minorHAnsi" w:cstheme="minorHAnsi"/>
    </w:rPr>
  </w:style>
  <w:style w:type="paragraph" w:styleId="TOC7">
    <w:name w:val="toc 7"/>
    <w:basedOn w:val="Normal"/>
    <w:next w:val="Normal"/>
    <w:autoRedefine/>
    <w:uiPriority w:val="39"/>
    <w:unhideWhenUsed/>
    <w:rsid w:val="00FC04E2"/>
    <w:pPr>
      <w:ind w:left="1000"/>
    </w:pPr>
    <w:rPr>
      <w:rFonts w:asciiTheme="minorHAnsi" w:hAnsiTheme="minorHAnsi" w:cstheme="minorHAnsi"/>
    </w:rPr>
  </w:style>
  <w:style w:type="paragraph" w:styleId="TOC8">
    <w:name w:val="toc 8"/>
    <w:basedOn w:val="Normal"/>
    <w:next w:val="Normal"/>
    <w:autoRedefine/>
    <w:uiPriority w:val="39"/>
    <w:unhideWhenUsed/>
    <w:rsid w:val="00FC04E2"/>
    <w:pPr>
      <w:ind w:left="1200"/>
    </w:pPr>
    <w:rPr>
      <w:rFonts w:asciiTheme="minorHAnsi" w:hAnsiTheme="minorHAnsi" w:cstheme="minorHAnsi"/>
    </w:rPr>
  </w:style>
  <w:style w:type="paragraph" w:styleId="TOC9">
    <w:name w:val="toc 9"/>
    <w:basedOn w:val="Normal"/>
    <w:next w:val="Normal"/>
    <w:autoRedefine/>
    <w:uiPriority w:val="39"/>
    <w:unhideWhenUsed/>
    <w:rsid w:val="00FC04E2"/>
    <w:pPr>
      <w:ind w:left="1400"/>
    </w:pPr>
    <w:rPr>
      <w:rFonts w:asciiTheme="minorHAnsi" w:hAnsiTheme="minorHAnsi" w:cstheme="minorHAnsi"/>
    </w:rPr>
  </w:style>
  <w:style w:type="table" w:styleId="GridTable1Light-Accent5">
    <w:name w:val="Grid Table 1 Light Accent 5"/>
    <w:basedOn w:val="TableNormal"/>
    <w:uiPriority w:val="46"/>
    <w:rsid w:val="00EE63B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EE63B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Default">
    <w:name w:val="Default"/>
    <w:rsid w:val="00167AC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h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kah.leong@qhrc.qld.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lie.ball@qhrc.qld.gov.a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C829E-7E59-4C49-9417-0C88F21F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5895</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38270</CharactersWithSpaces>
  <SharedDoc>false</SharedDoc>
  <HLinks>
    <vt:vector size="60" baseType="variant">
      <vt:variant>
        <vt:i4>1835058</vt:i4>
      </vt:variant>
      <vt:variant>
        <vt:i4>56</vt:i4>
      </vt:variant>
      <vt:variant>
        <vt:i4>0</vt:i4>
      </vt:variant>
      <vt:variant>
        <vt:i4>5</vt:i4>
      </vt:variant>
      <vt:variant>
        <vt:lpwstr/>
      </vt:variant>
      <vt:variant>
        <vt:lpwstr>_Toc156730693</vt:lpwstr>
      </vt:variant>
      <vt:variant>
        <vt:i4>1835058</vt:i4>
      </vt:variant>
      <vt:variant>
        <vt:i4>50</vt:i4>
      </vt:variant>
      <vt:variant>
        <vt:i4>0</vt:i4>
      </vt:variant>
      <vt:variant>
        <vt:i4>5</vt:i4>
      </vt:variant>
      <vt:variant>
        <vt:lpwstr/>
      </vt:variant>
      <vt:variant>
        <vt:lpwstr>_Toc156730692</vt:lpwstr>
      </vt:variant>
      <vt:variant>
        <vt:i4>1835058</vt:i4>
      </vt:variant>
      <vt:variant>
        <vt:i4>44</vt:i4>
      </vt:variant>
      <vt:variant>
        <vt:i4>0</vt:i4>
      </vt:variant>
      <vt:variant>
        <vt:i4>5</vt:i4>
      </vt:variant>
      <vt:variant>
        <vt:lpwstr/>
      </vt:variant>
      <vt:variant>
        <vt:lpwstr>_Toc156730691</vt:lpwstr>
      </vt:variant>
      <vt:variant>
        <vt:i4>1835058</vt:i4>
      </vt:variant>
      <vt:variant>
        <vt:i4>38</vt:i4>
      </vt:variant>
      <vt:variant>
        <vt:i4>0</vt:i4>
      </vt:variant>
      <vt:variant>
        <vt:i4>5</vt:i4>
      </vt:variant>
      <vt:variant>
        <vt:lpwstr/>
      </vt:variant>
      <vt:variant>
        <vt:lpwstr>_Toc156730690</vt:lpwstr>
      </vt:variant>
      <vt:variant>
        <vt:i4>1900594</vt:i4>
      </vt:variant>
      <vt:variant>
        <vt:i4>32</vt:i4>
      </vt:variant>
      <vt:variant>
        <vt:i4>0</vt:i4>
      </vt:variant>
      <vt:variant>
        <vt:i4>5</vt:i4>
      </vt:variant>
      <vt:variant>
        <vt:lpwstr/>
      </vt:variant>
      <vt:variant>
        <vt:lpwstr>_Toc156730689</vt:lpwstr>
      </vt:variant>
      <vt:variant>
        <vt:i4>1900594</vt:i4>
      </vt:variant>
      <vt:variant>
        <vt:i4>26</vt:i4>
      </vt:variant>
      <vt:variant>
        <vt:i4>0</vt:i4>
      </vt:variant>
      <vt:variant>
        <vt:i4>5</vt:i4>
      </vt:variant>
      <vt:variant>
        <vt:lpwstr/>
      </vt:variant>
      <vt:variant>
        <vt:lpwstr>_Toc156730688</vt:lpwstr>
      </vt:variant>
      <vt:variant>
        <vt:i4>1900594</vt:i4>
      </vt:variant>
      <vt:variant>
        <vt:i4>20</vt:i4>
      </vt:variant>
      <vt:variant>
        <vt:i4>0</vt:i4>
      </vt:variant>
      <vt:variant>
        <vt:i4>5</vt:i4>
      </vt:variant>
      <vt:variant>
        <vt:lpwstr/>
      </vt:variant>
      <vt:variant>
        <vt:lpwstr>_Toc156730687</vt:lpwstr>
      </vt:variant>
      <vt:variant>
        <vt:i4>1900594</vt:i4>
      </vt:variant>
      <vt:variant>
        <vt:i4>14</vt:i4>
      </vt:variant>
      <vt:variant>
        <vt:i4>0</vt:i4>
      </vt:variant>
      <vt:variant>
        <vt:i4>5</vt:i4>
      </vt:variant>
      <vt:variant>
        <vt:lpwstr/>
      </vt:variant>
      <vt:variant>
        <vt:lpwstr>_Toc156730686</vt:lpwstr>
      </vt:variant>
      <vt:variant>
        <vt:i4>1900594</vt:i4>
      </vt:variant>
      <vt:variant>
        <vt:i4>8</vt:i4>
      </vt:variant>
      <vt:variant>
        <vt:i4>0</vt:i4>
      </vt:variant>
      <vt:variant>
        <vt:i4>5</vt:i4>
      </vt:variant>
      <vt:variant>
        <vt:lpwstr/>
      </vt:variant>
      <vt:variant>
        <vt:lpwstr>_Toc156730685</vt:lpwstr>
      </vt:variant>
      <vt:variant>
        <vt:i4>1900594</vt:i4>
      </vt:variant>
      <vt:variant>
        <vt:i4>2</vt:i4>
      </vt:variant>
      <vt:variant>
        <vt:i4>0</vt:i4>
      </vt:variant>
      <vt:variant>
        <vt:i4>5</vt:i4>
      </vt:variant>
      <vt:variant>
        <vt:lpwstr/>
      </vt:variant>
      <vt:variant>
        <vt:lpwstr>_Toc156730684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Justice</dc:creator>
  <cp:lastModifiedBy>Kate Marsh</cp:lastModifiedBy>
  <cp:revision>3</cp:revision>
  <cp:lastPrinted>2007-01-22T23:37:00Z</cp:lastPrinted>
  <dcterms:created xsi:type="dcterms:W3CDTF">2024-04-02T05:00:00Z</dcterms:created>
  <dcterms:modified xsi:type="dcterms:W3CDTF">2024-04-02T05:08:00Z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897637319</vt:i4>
  </property>
  <property fmtid="{D5CDD505-2E9C-101B-9397-08002B2CF9AE}" pid="3" name="_EmailSubject">
    <vt:lpwstr>Policy</vt:lpwstr>
  </property>
  <property fmtid="{D5CDD505-2E9C-101B-9397-08002B2CF9AE}" pid="4" name="_AuthorEmail">
    <vt:lpwstr>Sally.Winter@justice.qld.gov.au</vt:lpwstr>
  </property>
  <property fmtid="{D5CDD505-2E9C-101B-9397-08002B2CF9AE}" pid="5" name="_AuthorEmailDisplayName">
    <vt:lpwstr>Sally Winter</vt:lpwstr>
  </property>
  <property fmtid="{D5CDD505-2E9C-101B-9397-08002B2CF9AE}" pid="6" name="_ReviewingToolsShownOnce">
    <vt:lpwstr/>
  </property>
</Properties>
</file>